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9E1F6" w14:textId="77777777" w:rsidR="000273E1" w:rsidRDefault="000273E1" w:rsidP="000273E1">
      <w:pPr>
        <w:pStyle w:val="Rubrik1"/>
        <w:spacing w:before="1400"/>
      </w:pPr>
      <w:bookmarkStart w:id="0" w:name="_Hlk190944519"/>
      <w:r>
        <w:t>Blödarsjuka – handläggning av faktorkoncentrat, SÄS (VGR)</w:t>
      </w:r>
    </w:p>
    <w:p w14:paraId="216E4E4B" w14:textId="77777777" w:rsidR="000273E1" w:rsidRDefault="000273E1" w:rsidP="000273E1">
      <w:pPr>
        <w:pStyle w:val="Rubrik2"/>
      </w:pPr>
      <w:bookmarkStart w:id="1" w:name="_Toc176952221"/>
      <w:bookmarkEnd w:id="0"/>
      <w:r>
        <w:t>Sammanfattning</w:t>
      </w:r>
      <w:bookmarkEnd w:id="1"/>
    </w:p>
    <w:p w14:paraId="1FBE685E" w14:textId="77777777" w:rsidR="000273E1" w:rsidRDefault="000273E1" w:rsidP="000273E1">
      <w:r>
        <w:t xml:space="preserve">Rutinen är ett lokalt tillägg till regional rutin </w:t>
      </w:r>
      <w:hyperlink r:id="rId12">
        <w:r w:rsidRPr="2E6C862F">
          <w:rPr>
            <w:rStyle w:val="Hyperlnk"/>
          </w:rPr>
          <w:t>QSA903 Tillgång till faktorkoncentrat för patienter med blödarsjuka</w:t>
        </w:r>
      </w:hyperlink>
      <w:r>
        <w:t xml:space="preserve"> och syftar till att tydliggöra ansvarsfördelning och lagerhållning inom SÄS.</w:t>
      </w:r>
    </w:p>
    <w:p w14:paraId="66B69ECF" w14:textId="77777777" w:rsidR="000273E1" w:rsidRDefault="000273E1" w:rsidP="000273E1">
      <w:pPr>
        <w:pStyle w:val="Rubrik2"/>
        <w:ind w:right="707"/>
      </w:pPr>
      <w:bookmarkStart w:id="2" w:name="_Toc176952222"/>
      <w:r>
        <w:t>Förändringar sedan föregående version</w:t>
      </w:r>
      <w:bookmarkEnd w:id="2"/>
    </w:p>
    <w:p w14:paraId="06F7620A" w14:textId="77777777" w:rsidR="000273E1" w:rsidRDefault="000273E1" w:rsidP="000273E1">
      <w:r>
        <w:t xml:space="preserve">Ny rutin. </w:t>
      </w:r>
    </w:p>
    <w:p w14:paraId="5B78D041" w14:textId="77777777" w:rsidR="000273E1" w:rsidRDefault="000273E1" w:rsidP="000273E1">
      <w:pPr>
        <w:pStyle w:val="Rubrik2"/>
      </w:pPr>
      <w:r>
        <w:t>Extern länk</w:t>
      </w:r>
    </w:p>
    <w:p w14:paraId="44DA3769" w14:textId="7E5EB1E0" w:rsidR="000273E1" w:rsidRDefault="000273E1" w:rsidP="000273E1">
      <w:r>
        <w:t xml:space="preserve">Se regional rutin </w:t>
      </w:r>
      <w:hyperlink r:id="rId13">
        <w:r w:rsidRPr="2E6C862F">
          <w:rPr>
            <w:rStyle w:val="Hyperlnk"/>
          </w:rPr>
          <w:t>QSA903 Tillgång till faktorkoncentrat för patienter med blödar</w:t>
        </w:r>
        <w:r w:rsidRPr="2E6C862F">
          <w:rPr>
            <w:rStyle w:val="Hyperlnk"/>
          </w:rPr>
          <w:t>s</w:t>
        </w:r>
        <w:r w:rsidRPr="2E6C862F">
          <w:rPr>
            <w:rStyle w:val="Hyperlnk"/>
          </w:rPr>
          <w:t>juka</w:t>
        </w:r>
      </w:hyperlink>
      <w:r w:rsidRPr="006558C8">
        <w:rPr>
          <w:rStyle w:val="Hyperlnk"/>
          <w:u w:val="none"/>
        </w:rPr>
        <w:t xml:space="preserve"> </w:t>
      </w:r>
      <w:r>
        <w:t xml:space="preserve">upprättad via </w:t>
      </w:r>
      <w:r w:rsidR="00B52D9D">
        <w:t>S</w:t>
      </w:r>
      <w:r>
        <w:t>jukvårdsapoteket VGR.</w:t>
      </w:r>
    </w:p>
    <w:p w14:paraId="028CA345" w14:textId="77777777" w:rsidR="000273E1" w:rsidRDefault="000273E1" w:rsidP="000273E1">
      <w:pPr>
        <w:pStyle w:val="Rubrik2"/>
        <w:spacing w:before="480"/>
      </w:pPr>
      <w:r>
        <w:t>Lokalt tillägg SÄS</w:t>
      </w:r>
    </w:p>
    <w:p w14:paraId="686045A9" w14:textId="77777777" w:rsidR="000273E1" w:rsidRDefault="000273E1" w:rsidP="000273E1">
      <w:r>
        <w:t xml:space="preserve">Sjukvårdsapotek VGR/SÄS ansvarar för att bevaka och informera vid förändringar i den regional rutinen. </w:t>
      </w:r>
    </w:p>
    <w:p w14:paraId="505D5C0F" w14:textId="77777777" w:rsidR="000273E1" w:rsidRDefault="000273E1" w:rsidP="000273E1">
      <w:r>
        <w:t>Akutmottagningen SÄS ansvarar för att lagerhålla det regionalt överenskomna sortimentet av hemofililäkemedel i anslutning till antidotlagret, för att möjliggöra tillgänglighet för hela sjukhuset.</w:t>
      </w:r>
    </w:p>
    <w:p w14:paraId="28A17900" w14:textId="77777777" w:rsidR="000273E1" w:rsidRDefault="000273E1" w:rsidP="000273E1">
      <w:r>
        <w:t>Beställning och lagerhållning sköts via Hamlet av akutmottagningen på motsvarande sätt som för antidotlagret.</w:t>
      </w:r>
    </w:p>
    <w:p w14:paraId="55ABCEC3" w14:textId="77777777" w:rsidR="000273E1" w:rsidRDefault="000273E1" w:rsidP="000273E1">
      <w:r>
        <w:t>För sjukvårdspersonal på SÄS är hemofilipreparaten sökbara, utöver denna rutin, via Hamlet genom att välja “Sök i andra enheters PNL”, se bild nedan.</w:t>
      </w:r>
    </w:p>
    <w:p w14:paraId="3B27FFE8" w14:textId="77777777" w:rsidR="000273E1" w:rsidRDefault="000273E1" w:rsidP="000273E1"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273A84A8" wp14:editId="0AFFD855">
            <wp:simplePos x="1257300" y="901700"/>
            <wp:positionH relativeFrom="column">
              <wp:align>left</wp:align>
            </wp:positionH>
            <wp:positionV relativeFrom="paragraph">
              <wp:align>top</wp:align>
            </wp:positionV>
            <wp:extent cx="3917379" cy="3030053"/>
            <wp:effectExtent l="0" t="0" r="6985" b="0"/>
            <wp:wrapSquare wrapText="bothSides"/>
            <wp:docPr id="363566281" name="Bildobjekt 363566281" descr="skärmklipp från läkemedelsmodulen Haml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566281" name="Bildobjekt 363566281" descr="skärmklipp från läkemedelsmodulen Hamlet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7379" cy="30300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089144CC" w14:textId="77777777" w:rsidR="000273E1" w:rsidRDefault="000273E1" w:rsidP="000273E1">
      <w:pPr>
        <w:pStyle w:val="Rubrik2"/>
      </w:pPr>
      <w:bookmarkStart w:id="3" w:name="_Toc176952225"/>
      <w:r>
        <w:t>Dokumentinformation</w:t>
      </w:r>
      <w:bookmarkEnd w:id="3"/>
    </w:p>
    <w:p w14:paraId="4808ED99" w14:textId="77777777" w:rsidR="000273E1" w:rsidRPr="00D476FA" w:rsidRDefault="000273E1" w:rsidP="000273E1">
      <w:pPr>
        <w:spacing w:after="0"/>
        <w:rPr>
          <w:b/>
          <w:bCs/>
        </w:rPr>
      </w:pPr>
      <w:r w:rsidRPr="2E6C862F">
        <w:rPr>
          <w:b/>
          <w:bCs/>
        </w:rPr>
        <w:t>För innehållet svarar</w:t>
      </w:r>
    </w:p>
    <w:p w14:paraId="198FD5DC" w14:textId="77777777" w:rsidR="000273E1" w:rsidRDefault="000273E1" w:rsidP="000273E1">
      <w:r>
        <w:t>Milan Popovic, enhetschef, sjukvårdsapotek VGR/SÄS</w:t>
      </w:r>
    </w:p>
    <w:p w14:paraId="3E0C1324" w14:textId="77777777" w:rsidR="000273E1" w:rsidRPr="00D476FA" w:rsidRDefault="000273E1" w:rsidP="000273E1">
      <w:pPr>
        <w:spacing w:after="0"/>
        <w:rPr>
          <w:b/>
          <w:bCs/>
        </w:rPr>
      </w:pPr>
      <w:r w:rsidRPr="2E6C862F">
        <w:rPr>
          <w:b/>
          <w:bCs/>
        </w:rPr>
        <w:t>Remissinstanser</w:t>
      </w:r>
    </w:p>
    <w:p w14:paraId="70472B16" w14:textId="77777777" w:rsidR="000273E1" w:rsidRDefault="000273E1" w:rsidP="000273E1">
      <w:r>
        <w:t>Levente Tanacs, överläkare, VO akutsjukvård, SÄS</w:t>
      </w:r>
      <w:r>
        <w:br/>
        <w:t xml:space="preserve">Patrik Lundh, enhetschef, VO akutsjukvård, SÄS </w:t>
      </w:r>
      <w:r>
        <w:br/>
        <w:t>Medicinskt beredningsutskott, SÄS</w:t>
      </w:r>
    </w:p>
    <w:p w14:paraId="754CD11E" w14:textId="77777777" w:rsidR="000273E1" w:rsidRPr="00D476FA" w:rsidRDefault="000273E1" w:rsidP="000273E1">
      <w:pPr>
        <w:spacing w:after="0"/>
        <w:rPr>
          <w:b/>
          <w:bCs/>
        </w:rPr>
      </w:pPr>
      <w:r w:rsidRPr="2E6C862F">
        <w:rPr>
          <w:b/>
          <w:bCs/>
        </w:rPr>
        <w:t>Fastställt av</w:t>
      </w:r>
    </w:p>
    <w:p w14:paraId="1EFF5BEB" w14:textId="77777777" w:rsidR="000273E1" w:rsidRDefault="000273E1" w:rsidP="000273E1">
      <w:r>
        <w:t>Jerker Nilson, chefläkare, SÄS</w:t>
      </w:r>
    </w:p>
    <w:p w14:paraId="45760F20" w14:textId="77777777" w:rsidR="000273E1" w:rsidRPr="00D476FA" w:rsidRDefault="000273E1" w:rsidP="000273E1">
      <w:pPr>
        <w:spacing w:after="0"/>
        <w:rPr>
          <w:b/>
          <w:bCs/>
        </w:rPr>
      </w:pPr>
      <w:r w:rsidRPr="2E6C862F">
        <w:rPr>
          <w:b/>
          <w:bCs/>
        </w:rPr>
        <w:t>Nyckelord</w:t>
      </w:r>
    </w:p>
    <w:p w14:paraId="5D2F26C6" w14:textId="77777777" w:rsidR="000273E1" w:rsidRDefault="000273E1" w:rsidP="000273E1">
      <w:r>
        <w:t xml:space="preserve">Blödarsjuka, hemofili, koagulationsstörningar, blodkoagulering, blodlevringssjukdom, blodsjukdomar, blodkoagulation, blödningsbenägenhet, läkemedelsbehandling, lagerhållning, antidotförråd, von Willebrands sjukdom </w:t>
      </w:r>
    </w:p>
    <w:p w14:paraId="74EF6633" w14:textId="77777777" w:rsidR="000273E1" w:rsidRDefault="000273E1" w:rsidP="000273E1">
      <w:pPr>
        <w:pStyle w:val="Rubrik2"/>
      </w:pPr>
      <w:bookmarkStart w:id="4" w:name="_Toc176952226"/>
      <w:r>
        <w:t>Länkförteckning</w:t>
      </w:r>
      <w:bookmarkEnd w:id="4"/>
    </w:p>
    <w:p w14:paraId="1F309E6D" w14:textId="77777777" w:rsidR="000273E1" w:rsidRDefault="000273E1" w:rsidP="000273E1">
      <w:pPr>
        <w:pStyle w:val="Punktlista"/>
      </w:pPr>
      <w:r>
        <w:t>QSA903 Tillgång till faktorkoncentrat för patienter med blödarsjuka. Regional rutin upprättad av sjukvårdsapoteket VGR</w:t>
      </w:r>
      <w:r>
        <w:br/>
      </w:r>
      <w:hyperlink r:id="rId15">
        <w:r w:rsidRPr="2E6C862F">
          <w:rPr>
            <w:rStyle w:val="Hyperlnk"/>
          </w:rPr>
          <w:t>https://insidan.vgregion.se/forvaltningar/sodra-alvsborgs-sjukhus/styrdokument</w:t>
        </w:r>
      </w:hyperlink>
      <w:r>
        <w:t xml:space="preserve"> (ändra filtreringen)</w:t>
      </w:r>
    </w:p>
    <w:p w14:paraId="25F64E7A" w14:textId="6C75F521" w:rsidR="008F314A" w:rsidRPr="000273E1" w:rsidRDefault="008F314A" w:rsidP="000273E1">
      <w:pPr>
        <w:rPr>
          <w:rFonts w:eastAsia="Georgia"/>
        </w:rPr>
      </w:pPr>
    </w:p>
    <w:sectPr w:rsidR="008F314A" w:rsidRPr="000273E1" w:rsidSect="00DE1FBD">
      <w:headerReference w:type="default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382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08037" w14:textId="77777777" w:rsidR="00873419" w:rsidRDefault="00873419">
      <w:r>
        <w:separator/>
      </w:r>
    </w:p>
  </w:endnote>
  <w:endnote w:type="continuationSeparator" w:id="0">
    <w:p w14:paraId="5477F330" w14:textId="77777777" w:rsidR="00873419" w:rsidRDefault="00873419">
      <w:r>
        <w:continuationSeparator/>
      </w:r>
    </w:p>
  </w:endnote>
  <w:endnote w:type="continuationNotice" w:id="1">
    <w:p w14:paraId="1776CC66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6B21C" w14:textId="052E4292" w:rsidR="008250CC" w:rsidRDefault="008250CC" w:rsidP="008250CC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938AB" w14:textId="77777777" w:rsidR="00DE1FBD" w:rsidRDefault="00DE1FBD" w:rsidP="00FB2F0F">
    <w:pPr>
      <w:pStyle w:val="Sidfot"/>
      <w:ind w:left="6237" w:hanging="141"/>
      <w:jc w:val="left"/>
    </w:pPr>
  </w:p>
  <w:p w14:paraId="1FE2B822" w14:textId="1ED35806" w:rsidR="00660269" w:rsidRDefault="00DE1FBD" w:rsidP="00DE1FBD">
    <w:pPr>
      <w:pStyle w:val="Sidfot"/>
      <w:ind w:left="6237" w:firstLine="993"/>
      <w:jc w:val="left"/>
    </w:pPr>
    <w:r>
      <w:rPr>
        <w:noProof/>
      </w:rPr>
      <w:drawing>
        <wp:inline distT="0" distB="0" distL="0" distR="0" wp14:anchorId="2CE4A583" wp14:editId="5AAE696E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C2094" w14:textId="77777777" w:rsidR="00873419" w:rsidRDefault="00873419"/>
  </w:footnote>
  <w:footnote w:type="continuationSeparator" w:id="0">
    <w:p w14:paraId="5FE23AA8" w14:textId="77777777" w:rsidR="00873419" w:rsidRDefault="00873419">
      <w:r>
        <w:continuationSeparator/>
      </w:r>
    </w:p>
  </w:footnote>
  <w:footnote w:type="continuationNotice" w:id="1">
    <w:p w14:paraId="330015E8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101F6" w14:textId="5EF6644D" w:rsidR="004B5C86" w:rsidRDefault="004B5C86" w:rsidP="004B5C86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8A93A21" w:rsidR="008A4EB9" w:rsidRDefault="00A5066F" w:rsidP="00532C4F">
    <w:pPr>
      <w:pStyle w:val="Sidhuvud"/>
      <w:spacing w:after="0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FFA9B8" wp14:editId="6F27E1A5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.1pt;margin-top:-.4pt;width:367.65pt;height:2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FFFFFFFF">
      <w:start w:val="1"/>
      <w:numFmt w:val="bullet"/>
      <w:pStyle w:val="Punktlista"/>
      <w:lvlText w:val="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915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F72"/>
    <w:rsid w:val="000051D5"/>
    <w:rsid w:val="00006D2A"/>
    <w:rsid w:val="00010D47"/>
    <w:rsid w:val="00016CF0"/>
    <w:rsid w:val="000273E1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26B4"/>
    <w:rsid w:val="00084024"/>
    <w:rsid w:val="0009062C"/>
    <w:rsid w:val="000948AC"/>
    <w:rsid w:val="00095368"/>
    <w:rsid w:val="000954C4"/>
    <w:rsid w:val="000A611A"/>
    <w:rsid w:val="000B12D9"/>
    <w:rsid w:val="000B1584"/>
    <w:rsid w:val="000B4536"/>
    <w:rsid w:val="000B7715"/>
    <w:rsid w:val="000D1F7A"/>
    <w:rsid w:val="000D776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7056C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71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9E4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0C1B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0765A"/>
    <w:rsid w:val="00413A60"/>
    <w:rsid w:val="004230F7"/>
    <w:rsid w:val="0043167E"/>
    <w:rsid w:val="0043409A"/>
    <w:rsid w:val="00443A8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C86"/>
    <w:rsid w:val="004C3536"/>
    <w:rsid w:val="004D7BA3"/>
    <w:rsid w:val="004F4518"/>
    <w:rsid w:val="004F4C62"/>
    <w:rsid w:val="004F56BF"/>
    <w:rsid w:val="00501433"/>
    <w:rsid w:val="005113D5"/>
    <w:rsid w:val="00511CC4"/>
    <w:rsid w:val="00531E60"/>
    <w:rsid w:val="00532C4F"/>
    <w:rsid w:val="00541D07"/>
    <w:rsid w:val="00544BAB"/>
    <w:rsid w:val="00545F31"/>
    <w:rsid w:val="005578FA"/>
    <w:rsid w:val="00565129"/>
    <w:rsid w:val="00565CD0"/>
    <w:rsid w:val="00566751"/>
    <w:rsid w:val="00567820"/>
    <w:rsid w:val="005770AD"/>
    <w:rsid w:val="00581414"/>
    <w:rsid w:val="00582490"/>
    <w:rsid w:val="00595402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12D"/>
    <w:rsid w:val="00606D97"/>
    <w:rsid w:val="00614E64"/>
    <w:rsid w:val="00617710"/>
    <w:rsid w:val="00617EE6"/>
    <w:rsid w:val="0062184C"/>
    <w:rsid w:val="00623724"/>
    <w:rsid w:val="00623CFA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533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6AB7"/>
    <w:rsid w:val="007D4241"/>
    <w:rsid w:val="007D4317"/>
    <w:rsid w:val="007D4EA3"/>
    <w:rsid w:val="007F1CFF"/>
    <w:rsid w:val="007F21D2"/>
    <w:rsid w:val="007F5DD5"/>
    <w:rsid w:val="00821A1B"/>
    <w:rsid w:val="008250CC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314A"/>
    <w:rsid w:val="008F33B8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37FB"/>
    <w:rsid w:val="00971D93"/>
    <w:rsid w:val="009A07DC"/>
    <w:rsid w:val="009A148A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50C"/>
    <w:rsid w:val="00A264BE"/>
    <w:rsid w:val="00A272CA"/>
    <w:rsid w:val="00A33051"/>
    <w:rsid w:val="00A407AD"/>
    <w:rsid w:val="00A40923"/>
    <w:rsid w:val="00A41554"/>
    <w:rsid w:val="00A41C05"/>
    <w:rsid w:val="00A42426"/>
    <w:rsid w:val="00A5066F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5A2F"/>
    <w:rsid w:val="00B13F4C"/>
    <w:rsid w:val="00B16219"/>
    <w:rsid w:val="00B16C59"/>
    <w:rsid w:val="00B33FDD"/>
    <w:rsid w:val="00B359CC"/>
    <w:rsid w:val="00B36107"/>
    <w:rsid w:val="00B41789"/>
    <w:rsid w:val="00B46C03"/>
    <w:rsid w:val="00B52D9D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BA2"/>
    <w:rsid w:val="00C6400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562"/>
    <w:rsid w:val="00CB0493"/>
    <w:rsid w:val="00CB17FF"/>
    <w:rsid w:val="00CB1ED7"/>
    <w:rsid w:val="00CB62BF"/>
    <w:rsid w:val="00CC167C"/>
    <w:rsid w:val="00CC52D9"/>
    <w:rsid w:val="00CD6647"/>
    <w:rsid w:val="00CE4B73"/>
    <w:rsid w:val="00CF32C5"/>
    <w:rsid w:val="00CF70BB"/>
    <w:rsid w:val="00D074DB"/>
    <w:rsid w:val="00D139CF"/>
    <w:rsid w:val="00D20779"/>
    <w:rsid w:val="00D37E7F"/>
    <w:rsid w:val="00D476FA"/>
    <w:rsid w:val="00D47AD7"/>
    <w:rsid w:val="00D51529"/>
    <w:rsid w:val="00D85218"/>
    <w:rsid w:val="00D915B1"/>
    <w:rsid w:val="00DA299D"/>
    <w:rsid w:val="00DA65C4"/>
    <w:rsid w:val="00DC7C32"/>
    <w:rsid w:val="00DD068E"/>
    <w:rsid w:val="00DE1FBD"/>
    <w:rsid w:val="00DE4447"/>
    <w:rsid w:val="00DE5DA2"/>
    <w:rsid w:val="00DE63C6"/>
    <w:rsid w:val="00DF0033"/>
    <w:rsid w:val="00E026BF"/>
    <w:rsid w:val="00E07B1B"/>
    <w:rsid w:val="00E11853"/>
    <w:rsid w:val="00E225D6"/>
    <w:rsid w:val="00E52A86"/>
    <w:rsid w:val="00E54B47"/>
    <w:rsid w:val="00E553BF"/>
    <w:rsid w:val="00E55D93"/>
    <w:rsid w:val="00E61294"/>
    <w:rsid w:val="00E7163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FD7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343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33FFD1"/>
    <w:rsid w:val="024801E3"/>
    <w:rsid w:val="04FAEF7E"/>
    <w:rsid w:val="0598D295"/>
    <w:rsid w:val="0707A7AE"/>
    <w:rsid w:val="07BB9363"/>
    <w:rsid w:val="09D99BB6"/>
    <w:rsid w:val="0BD65883"/>
    <w:rsid w:val="0CBA0476"/>
    <w:rsid w:val="0F1CD165"/>
    <w:rsid w:val="1243E229"/>
    <w:rsid w:val="12A855DE"/>
    <w:rsid w:val="142E75EE"/>
    <w:rsid w:val="18C3FF4A"/>
    <w:rsid w:val="18C5DBC8"/>
    <w:rsid w:val="198480DE"/>
    <w:rsid w:val="1B706BCF"/>
    <w:rsid w:val="1E70C4BB"/>
    <w:rsid w:val="1EE8512B"/>
    <w:rsid w:val="2290468D"/>
    <w:rsid w:val="240ECB02"/>
    <w:rsid w:val="2963FBD7"/>
    <w:rsid w:val="2C643B00"/>
    <w:rsid w:val="2CB71DBC"/>
    <w:rsid w:val="2FCE8B64"/>
    <w:rsid w:val="30E06D30"/>
    <w:rsid w:val="36DD4990"/>
    <w:rsid w:val="379BBB09"/>
    <w:rsid w:val="3DE98E85"/>
    <w:rsid w:val="42F3C24B"/>
    <w:rsid w:val="45FDDD38"/>
    <w:rsid w:val="485BE682"/>
    <w:rsid w:val="4A1D39A3"/>
    <w:rsid w:val="4C2F5674"/>
    <w:rsid w:val="52D7C203"/>
    <w:rsid w:val="55236282"/>
    <w:rsid w:val="567B7E78"/>
    <w:rsid w:val="5994390A"/>
    <w:rsid w:val="5A2C5AFA"/>
    <w:rsid w:val="5E754492"/>
    <w:rsid w:val="5E98539C"/>
    <w:rsid w:val="613E423D"/>
    <w:rsid w:val="647B2B65"/>
    <w:rsid w:val="65442B18"/>
    <w:rsid w:val="6B2CF8ED"/>
    <w:rsid w:val="71E46A45"/>
    <w:rsid w:val="744D72B6"/>
    <w:rsid w:val="788B0BC4"/>
    <w:rsid w:val="792FD0F7"/>
    <w:rsid w:val="7980EA4C"/>
    <w:rsid w:val="7A45AFA1"/>
    <w:rsid w:val="7BA57E4F"/>
    <w:rsid w:val="7BF43AA1"/>
    <w:rsid w:val="7D3E95C3"/>
    <w:rsid w:val="7DE3D8A2"/>
    <w:rsid w:val="7F73B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BA2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57BA2"/>
    <w:pPr>
      <w:keepNext/>
      <w:spacing w:before="1600"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C57BA2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C57BA2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57BA2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C57BA2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C57BA2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57BA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E225D6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rFonts w:ascii="Georgia" w:hAnsi="Georgia"/>
      <w:sz w:val="24"/>
      <w:szCs w:val="24"/>
    </w:rPr>
  </w:style>
  <w:style w:type="paragraph" w:customStyle="1" w:styleId="Punktlistaniv2">
    <w:name w:val="Punktlista nivå 2"/>
    <w:qFormat/>
    <w:rsid w:val="00C57BA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rFonts w:ascii="Georgia" w:hAnsi="Georgia"/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C57BA2"/>
    <w:pPr>
      <w:numPr>
        <w:ilvl w:val="1"/>
      </w:numPr>
      <w:spacing w:before="120" w:after="0"/>
      <w:ind w:left="992"/>
    </w:pPr>
    <w:rPr>
      <w:rFonts w:ascii="Verdana" w:eastAsiaTheme="minorEastAsia" w:hAnsi="Verdana" w:cstheme="minorBidi"/>
      <w:szCs w:val="22"/>
    </w:rPr>
  </w:style>
  <w:style w:type="character" w:customStyle="1" w:styleId="UnderrubrikChar">
    <w:name w:val="Underrubrik Char"/>
    <w:basedOn w:val="Standardstycketeckensnitt"/>
    <w:link w:val="Underrubrik"/>
    <w:rsid w:val="00C57BA2"/>
    <w:rPr>
      <w:rFonts w:ascii="Verdana" w:eastAsiaTheme="minorEastAsia" w:hAnsi="Verdana" w:cstheme="minorBidi"/>
      <w:sz w:val="24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3D0C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hs9924-923386695-32/surrogate/QSA903%20Tillg%c3%a5ng%20till%20faktorpreparat%20f%c3%b6r%20patienter%20med%20bl%c3%b6darsjuka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hs9924-923386695-32/surrogate/QSA903%20Tillg%c3%a5ng%20till%20faktorpreparat%20f%c3%b6r%20patienter%20med%20bl%c3%b6darsjuka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sidan.vgregion.se/forvaltningar/sodra-alvsborgs-sjukhus/styrdokument" TargetMode="External" Id="rId15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1.png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198</Words>
  <Characters>2178</Characters>
  <Application>Microsoft Office Word</Application>
  <DocSecurity>0</DocSecurity>
  <Lines>18</Lines>
  <Paragraphs>4</Paragraphs>
  <ScaleCrop>false</ScaleCrop>
  <Manager/>
  <Company/>
  <LinksUpToDate>false</LinksUpToDate>
  <CharactersWithSpaces>2372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Blödarsjuka – handläggning av faktorkoncentrat, SÄS (VGR)</dc:title>
  <dc:subject/>
  <dc:creator/>
  <keywords/>
  <lastModifiedBy/>
  <revision>9</revision>
  <dcterms:created xsi:type="dcterms:W3CDTF">2025-02-20T10:50:00.0000000Z</dcterms:created>
  <dcterms:modified xsi:type="dcterms:W3CDTF">2025-04-11T09:44:00.0000000Z</dcterms:modified>
</coreProperties>
</file>