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CA255B5" w:rsidR="00184167" w:rsidRDefault="00DC5D44" w:rsidP="009A32ED">
      <w:pPr>
        <w:pStyle w:val="Rubrik1"/>
      </w:pPr>
      <w:bookmarkStart w:id="0" w:name="_Toc321146591"/>
      <w:r>
        <w:t>Parenteral nutrition för vuxna, SÄS</w:t>
      </w:r>
    </w:p>
    <w:p w14:paraId="78CF957D" w14:textId="37AFA972" w:rsidR="009A32ED" w:rsidRDefault="009A32ED" w:rsidP="002C0254">
      <w:pPr>
        <w:pStyle w:val="Rubrik2"/>
        <w:ind w:right="-143"/>
      </w:pPr>
      <w:bookmarkStart w:id="1" w:name="_Toc100327184"/>
      <w:bookmarkStart w:id="2" w:name="_Toc212712549"/>
      <w:bookmarkEnd w:id="0"/>
      <w:r>
        <w:t>Förändringar sedan föregående version</w:t>
      </w:r>
      <w:bookmarkEnd w:id="1"/>
      <w:bookmarkEnd w:id="2"/>
    </w:p>
    <w:p w14:paraId="231BBC29" w14:textId="7F1164E1" w:rsidR="002C0254" w:rsidRDefault="002C0254" w:rsidP="009A32ED">
      <w:pPr>
        <w:ind w:right="-143"/>
      </w:pPr>
      <w:r w:rsidRPr="002C0254">
        <w:t>Förtydligad och justerad version avseende behandling med parenteral nutrition (PN) för att tydliggöra flöde. Justeringar har gjorts gällande substituering och detaljer kring hur fosfat, magnesium och tiamin bör ges. Inför utskrivning och hemgång med parenteral nutrition, se rutinen Parenteral nutrition för vuxna efter utskrivning från vårdavdelning, SÄS.</w:t>
      </w:r>
      <w:r w:rsidR="008559B4">
        <w:t xml:space="preserve"> (länk kommer)</w:t>
      </w:r>
    </w:p>
    <w:p w14:paraId="12570B26" w14:textId="024A6E46" w:rsidR="009A32ED" w:rsidRDefault="009A32ED" w:rsidP="002C0254">
      <w:pPr>
        <w:pStyle w:val="Rubrik2"/>
        <w:ind w:right="-143"/>
      </w:pPr>
      <w:bookmarkStart w:id="3" w:name="_Toc100327185"/>
      <w:bookmarkStart w:id="4" w:name="_Toc212712550"/>
      <w:bookmarkStart w:id="5" w:name="_Toc72840807"/>
      <w:r>
        <w:t>Sammanfattning</w:t>
      </w:r>
      <w:bookmarkEnd w:id="3"/>
      <w:bookmarkEnd w:id="4"/>
    </w:p>
    <w:p w14:paraId="305361E2" w14:textId="2FEA86CD" w:rsidR="009A32ED" w:rsidRDefault="002C0254" w:rsidP="009A32ED">
      <w:pPr>
        <w:ind w:right="-143"/>
      </w:pPr>
      <w:r w:rsidRPr="002C0254">
        <w:t>Rutinen är en vägledning för att starta upp, monitorera och utvärdera parenteral nutritionsbehandling samt beskriva förberedelser vid utskrivning och hur uppföljning i hemmet ska ske. Rutinen är ett komplement till regionala riktlinjer om parenteral Nutrition (PN) med tillägg anpassade till SÄS förhållanden.</w:t>
      </w:r>
    </w:p>
    <w:p w14:paraId="427D2035" w14:textId="33DAE7DF" w:rsidR="00B405A1" w:rsidRPr="00B405A1" w:rsidRDefault="00B405A1" w:rsidP="00537A96">
      <w:pPr>
        <w:pStyle w:val="UnderrubrikVGR"/>
      </w:pPr>
      <w:r>
        <w:t>Innehållsförteckning</w:t>
      </w:r>
    </w:p>
    <w:p w14:paraId="4A12488E" w14:textId="10E5DB9F" w:rsidR="009A1B79" w:rsidRDefault="007D3C00">
      <w:pPr>
        <w:pStyle w:val="Innehll2"/>
        <w:rPr>
          <w:rFonts w:asciiTheme="minorHAnsi" w:eastAsiaTheme="minorEastAsia" w:hAnsiTheme="minorHAnsi" w:cstheme="minorBidi"/>
          <w:noProof/>
          <w:kern w:val="2"/>
          <w14:ligatures w14:val="standardContextual"/>
        </w:rPr>
      </w:pPr>
      <w:r>
        <w:fldChar w:fldCharType="begin"/>
      </w:r>
      <w:r>
        <w:instrText xml:space="preserve"> TOC \o "2-2" \h \z \t "Rubrik 3;3;Rubrik;1" </w:instrText>
      </w:r>
      <w:r>
        <w:fldChar w:fldCharType="separate"/>
      </w:r>
      <w:hyperlink w:anchor="_Toc212712549" w:history="1">
        <w:r w:rsidR="009A1B79" w:rsidRPr="003436AE">
          <w:rPr>
            <w:rStyle w:val="Hyperlnk"/>
            <w:rFonts w:eastAsia="MS Gothic"/>
            <w:noProof/>
          </w:rPr>
          <w:t>Förändringar sedan föregående version</w:t>
        </w:r>
        <w:r w:rsidR="009A1B79">
          <w:rPr>
            <w:noProof/>
            <w:webHidden/>
          </w:rPr>
          <w:tab/>
        </w:r>
        <w:r w:rsidR="009A1B79">
          <w:rPr>
            <w:noProof/>
            <w:webHidden/>
          </w:rPr>
          <w:fldChar w:fldCharType="begin"/>
        </w:r>
        <w:r w:rsidR="009A1B79">
          <w:rPr>
            <w:noProof/>
            <w:webHidden/>
          </w:rPr>
          <w:instrText xml:space="preserve"> PAGEREF _Toc212712549 \h </w:instrText>
        </w:r>
        <w:r w:rsidR="009A1B79">
          <w:rPr>
            <w:noProof/>
            <w:webHidden/>
          </w:rPr>
        </w:r>
        <w:r w:rsidR="009A1B79">
          <w:rPr>
            <w:noProof/>
            <w:webHidden/>
          </w:rPr>
          <w:fldChar w:fldCharType="separate"/>
        </w:r>
        <w:r w:rsidR="009A1B79">
          <w:rPr>
            <w:noProof/>
            <w:webHidden/>
          </w:rPr>
          <w:t>1</w:t>
        </w:r>
        <w:r w:rsidR="009A1B79">
          <w:rPr>
            <w:noProof/>
            <w:webHidden/>
          </w:rPr>
          <w:fldChar w:fldCharType="end"/>
        </w:r>
      </w:hyperlink>
    </w:p>
    <w:p w14:paraId="3A76551D" w14:textId="3FC6713F" w:rsidR="009A1B79" w:rsidRDefault="009A1B79">
      <w:pPr>
        <w:pStyle w:val="Innehll2"/>
        <w:rPr>
          <w:rFonts w:asciiTheme="minorHAnsi" w:eastAsiaTheme="minorEastAsia" w:hAnsiTheme="minorHAnsi" w:cstheme="minorBidi"/>
          <w:noProof/>
          <w:kern w:val="2"/>
          <w14:ligatures w14:val="standardContextual"/>
        </w:rPr>
      </w:pPr>
      <w:hyperlink w:anchor="_Toc212712550" w:history="1">
        <w:r w:rsidRPr="003436AE">
          <w:rPr>
            <w:rStyle w:val="Hyperlnk"/>
            <w:rFonts w:eastAsia="MS Gothic"/>
            <w:noProof/>
          </w:rPr>
          <w:t>Sammanfattning</w:t>
        </w:r>
        <w:r>
          <w:rPr>
            <w:noProof/>
            <w:webHidden/>
          </w:rPr>
          <w:tab/>
        </w:r>
        <w:r>
          <w:rPr>
            <w:noProof/>
            <w:webHidden/>
          </w:rPr>
          <w:fldChar w:fldCharType="begin"/>
        </w:r>
        <w:r>
          <w:rPr>
            <w:noProof/>
            <w:webHidden/>
          </w:rPr>
          <w:instrText xml:space="preserve"> PAGEREF _Toc212712550 \h </w:instrText>
        </w:r>
        <w:r>
          <w:rPr>
            <w:noProof/>
            <w:webHidden/>
          </w:rPr>
        </w:r>
        <w:r>
          <w:rPr>
            <w:noProof/>
            <w:webHidden/>
          </w:rPr>
          <w:fldChar w:fldCharType="separate"/>
        </w:r>
        <w:r>
          <w:rPr>
            <w:noProof/>
            <w:webHidden/>
          </w:rPr>
          <w:t>1</w:t>
        </w:r>
        <w:r>
          <w:rPr>
            <w:noProof/>
            <w:webHidden/>
          </w:rPr>
          <w:fldChar w:fldCharType="end"/>
        </w:r>
      </w:hyperlink>
    </w:p>
    <w:p w14:paraId="68AC1818" w14:textId="238D96D9" w:rsidR="009A1B79" w:rsidRDefault="009A1B79">
      <w:pPr>
        <w:pStyle w:val="Innehll2"/>
        <w:rPr>
          <w:rFonts w:asciiTheme="minorHAnsi" w:eastAsiaTheme="minorEastAsia" w:hAnsiTheme="minorHAnsi" w:cstheme="minorBidi"/>
          <w:noProof/>
          <w:kern w:val="2"/>
          <w14:ligatures w14:val="standardContextual"/>
        </w:rPr>
      </w:pPr>
      <w:hyperlink w:anchor="_Toc212712551" w:history="1">
        <w:r w:rsidRPr="003436AE">
          <w:rPr>
            <w:rStyle w:val="Hyperlnk"/>
            <w:rFonts w:eastAsia="MS Gothic"/>
            <w:noProof/>
          </w:rPr>
          <w:t>Bakgrund och syfte</w:t>
        </w:r>
        <w:r>
          <w:rPr>
            <w:noProof/>
            <w:webHidden/>
          </w:rPr>
          <w:tab/>
        </w:r>
        <w:r>
          <w:rPr>
            <w:noProof/>
            <w:webHidden/>
          </w:rPr>
          <w:fldChar w:fldCharType="begin"/>
        </w:r>
        <w:r>
          <w:rPr>
            <w:noProof/>
            <w:webHidden/>
          </w:rPr>
          <w:instrText xml:space="preserve"> PAGEREF _Toc212712551 \h </w:instrText>
        </w:r>
        <w:r>
          <w:rPr>
            <w:noProof/>
            <w:webHidden/>
          </w:rPr>
        </w:r>
        <w:r>
          <w:rPr>
            <w:noProof/>
            <w:webHidden/>
          </w:rPr>
          <w:fldChar w:fldCharType="separate"/>
        </w:r>
        <w:r>
          <w:rPr>
            <w:noProof/>
            <w:webHidden/>
          </w:rPr>
          <w:t>2</w:t>
        </w:r>
        <w:r>
          <w:rPr>
            <w:noProof/>
            <w:webHidden/>
          </w:rPr>
          <w:fldChar w:fldCharType="end"/>
        </w:r>
      </w:hyperlink>
    </w:p>
    <w:p w14:paraId="2D253367" w14:textId="1153919C" w:rsidR="009A1B79" w:rsidRDefault="009A1B79">
      <w:pPr>
        <w:pStyle w:val="Innehll2"/>
        <w:rPr>
          <w:rFonts w:asciiTheme="minorHAnsi" w:eastAsiaTheme="minorEastAsia" w:hAnsiTheme="minorHAnsi" w:cstheme="minorBidi"/>
          <w:noProof/>
          <w:kern w:val="2"/>
          <w14:ligatures w14:val="standardContextual"/>
        </w:rPr>
      </w:pPr>
      <w:hyperlink w:anchor="_Toc212712552" w:history="1">
        <w:r w:rsidRPr="003436AE">
          <w:rPr>
            <w:rStyle w:val="Hyperlnk"/>
            <w:rFonts w:eastAsia="MS Gothic"/>
            <w:noProof/>
          </w:rPr>
          <w:t>Förutsättningar</w:t>
        </w:r>
        <w:r>
          <w:rPr>
            <w:noProof/>
            <w:webHidden/>
          </w:rPr>
          <w:tab/>
        </w:r>
        <w:r>
          <w:rPr>
            <w:noProof/>
            <w:webHidden/>
          </w:rPr>
          <w:fldChar w:fldCharType="begin"/>
        </w:r>
        <w:r>
          <w:rPr>
            <w:noProof/>
            <w:webHidden/>
          </w:rPr>
          <w:instrText xml:space="preserve"> PAGEREF _Toc212712552 \h </w:instrText>
        </w:r>
        <w:r>
          <w:rPr>
            <w:noProof/>
            <w:webHidden/>
          </w:rPr>
        </w:r>
        <w:r>
          <w:rPr>
            <w:noProof/>
            <w:webHidden/>
          </w:rPr>
          <w:fldChar w:fldCharType="separate"/>
        </w:r>
        <w:r>
          <w:rPr>
            <w:noProof/>
            <w:webHidden/>
          </w:rPr>
          <w:t>3</w:t>
        </w:r>
        <w:r>
          <w:rPr>
            <w:noProof/>
            <w:webHidden/>
          </w:rPr>
          <w:fldChar w:fldCharType="end"/>
        </w:r>
      </w:hyperlink>
    </w:p>
    <w:p w14:paraId="0731B25D" w14:textId="4EBB55DF" w:rsidR="009A1B79" w:rsidRDefault="009A1B79">
      <w:pPr>
        <w:pStyle w:val="Innehll3"/>
        <w:rPr>
          <w:rFonts w:asciiTheme="minorHAnsi" w:eastAsiaTheme="minorEastAsia" w:hAnsiTheme="minorHAnsi" w:cstheme="minorBidi"/>
          <w:noProof/>
          <w:kern w:val="2"/>
          <w14:ligatures w14:val="standardContextual"/>
        </w:rPr>
      </w:pPr>
      <w:hyperlink w:anchor="_Toc212712553" w:history="1">
        <w:r w:rsidRPr="003436AE">
          <w:rPr>
            <w:rStyle w:val="Hyperlnk"/>
            <w:rFonts w:eastAsia="MS Gothic"/>
            <w:noProof/>
          </w:rPr>
          <w:t>Avgränsningar</w:t>
        </w:r>
        <w:r>
          <w:rPr>
            <w:noProof/>
            <w:webHidden/>
          </w:rPr>
          <w:tab/>
        </w:r>
        <w:r>
          <w:rPr>
            <w:noProof/>
            <w:webHidden/>
          </w:rPr>
          <w:fldChar w:fldCharType="begin"/>
        </w:r>
        <w:r>
          <w:rPr>
            <w:noProof/>
            <w:webHidden/>
          </w:rPr>
          <w:instrText xml:space="preserve"> PAGEREF _Toc212712553 \h </w:instrText>
        </w:r>
        <w:r>
          <w:rPr>
            <w:noProof/>
            <w:webHidden/>
          </w:rPr>
        </w:r>
        <w:r>
          <w:rPr>
            <w:noProof/>
            <w:webHidden/>
          </w:rPr>
          <w:fldChar w:fldCharType="separate"/>
        </w:r>
        <w:r>
          <w:rPr>
            <w:noProof/>
            <w:webHidden/>
          </w:rPr>
          <w:t>3</w:t>
        </w:r>
        <w:r>
          <w:rPr>
            <w:noProof/>
            <w:webHidden/>
          </w:rPr>
          <w:fldChar w:fldCharType="end"/>
        </w:r>
      </w:hyperlink>
    </w:p>
    <w:p w14:paraId="18945941" w14:textId="63F361F8" w:rsidR="009A1B79" w:rsidRDefault="009A1B79">
      <w:pPr>
        <w:pStyle w:val="Innehll3"/>
        <w:rPr>
          <w:rFonts w:asciiTheme="minorHAnsi" w:eastAsiaTheme="minorEastAsia" w:hAnsiTheme="minorHAnsi" w:cstheme="minorBidi"/>
          <w:noProof/>
          <w:kern w:val="2"/>
          <w14:ligatures w14:val="standardContextual"/>
        </w:rPr>
      </w:pPr>
      <w:hyperlink w:anchor="_Toc212712554" w:history="1">
        <w:r w:rsidRPr="003436AE">
          <w:rPr>
            <w:rStyle w:val="Hyperlnk"/>
            <w:rFonts w:eastAsia="MS Gothic"/>
            <w:noProof/>
          </w:rPr>
          <w:t>Indikationer</w:t>
        </w:r>
        <w:r>
          <w:rPr>
            <w:noProof/>
            <w:webHidden/>
          </w:rPr>
          <w:tab/>
        </w:r>
        <w:r>
          <w:rPr>
            <w:noProof/>
            <w:webHidden/>
          </w:rPr>
          <w:fldChar w:fldCharType="begin"/>
        </w:r>
        <w:r>
          <w:rPr>
            <w:noProof/>
            <w:webHidden/>
          </w:rPr>
          <w:instrText xml:space="preserve"> PAGEREF _Toc212712554 \h </w:instrText>
        </w:r>
        <w:r>
          <w:rPr>
            <w:noProof/>
            <w:webHidden/>
          </w:rPr>
        </w:r>
        <w:r>
          <w:rPr>
            <w:noProof/>
            <w:webHidden/>
          </w:rPr>
          <w:fldChar w:fldCharType="separate"/>
        </w:r>
        <w:r>
          <w:rPr>
            <w:noProof/>
            <w:webHidden/>
          </w:rPr>
          <w:t>3</w:t>
        </w:r>
        <w:r>
          <w:rPr>
            <w:noProof/>
            <w:webHidden/>
          </w:rPr>
          <w:fldChar w:fldCharType="end"/>
        </w:r>
      </w:hyperlink>
    </w:p>
    <w:p w14:paraId="0E30C053" w14:textId="711D1B83" w:rsidR="009A1B79" w:rsidRDefault="009A1B79">
      <w:pPr>
        <w:pStyle w:val="Innehll3"/>
        <w:rPr>
          <w:rFonts w:asciiTheme="minorHAnsi" w:eastAsiaTheme="minorEastAsia" w:hAnsiTheme="minorHAnsi" w:cstheme="minorBidi"/>
          <w:noProof/>
          <w:kern w:val="2"/>
          <w14:ligatures w14:val="standardContextual"/>
        </w:rPr>
      </w:pPr>
      <w:hyperlink w:anchor="_Toc212712555" w:history="1">
        <w:r w:rsidRPr="003436AE">
          <w:rPr>
            <w:rStyle w:val="Hyperlnk"/>
            <w:rFonts w:eastAsia="MS Gothic"/>
            <w:noProof/>
          </w:rPr>
          <w:t>Kontraindikationer</w:t>
        </w:r>
        <w:r>
          <w:rPr>
            <w:noProof/>
            <w:webHidden/>
          </w:rPr>
          <w:tab/>
        </w:r>
        <w:r>
          <w:rPr>
            <w:noProof/>
            <w:webHidden/>
          </w:rPr>
          <w:fldChar w:fldCharType="begin"/>
        </w:r>
        <w:r>
          <w:rPr>
            <w:noProof/>
            <w:webHidden/>
          </w:rPr>
          <w:instrText xml:space="preserve"> PAGEREF _Toc212712555 \h </w:instrText>
        </w:r>
        <w:r>
          <w:rPr>
            <w:noProof/>
            <w:webHidden/>
          </w:rPr>
        </w:r>
        <w:r>
          <w:rPr>
            <w:noProof/>
            <w:webHidden/>
          </w:rPr>
          <w:fldChar w:fldCharType="separate"/>
        </w:r>
        <w:r>
          <w:rPr>
            <w:noProof/>
            <w:webHidden/>
          </w:rPr>
          <w:t>4</w:t>
        </w:r>
        <w:r>
          <w:rPr>
            <w:noProof/>
            <w:webHidden/>
          </w:rPr>
          <w:fldChar w:fldCharType="end"/>
        </w:r>
      </w:hyperlink>
    </w:p>
    <w:p w14:paraId="7F4EDBFB" w14:textId="3B09234B" w:rsidR="009A1B79" w:rsidRDefault="009A1B79">
      <w:pPr>
        <w:pStyle w:val="Innehll3"/>
        <w:rPr>
          <w:rFonts w:asciiTheme="minorHAnsi" w:eastAsiaTheme="minorEastAsia" w:hAnsiTheme="minorHAnsi" w:cstheme="minorBidi"/>
          <w:noProof/>
          <w:kern w:val="2"/>
          <w14:ligatures w14:val="standardContextual"/>
        </w:rPr>
      </w:pPr>
      <w:hyperlink w:anchor="_Toc212712556" w:history="1">
        <w:r w:rsidRPr="003436AE">
          <w:rPr>
            <w:rStyle w:val="Hyperlnk"/>
            <w:rFonts w:eastAsia="MS Gothic"/>
            <w:noProof/>
          </w:rPr>
          <w:t>Ansvarsfördelning</w:t>
        </w:r>
        <w:r>
          <w:rPr>
            <w:noProof/>
            <w:webHidden/>
          </w:rPr>
          <w:tab/>
        </w:r>
        <w:r>
          <w:rPr>
            <w:noProof/>
            <w:webHidden/>
          </w:rPr>
          <w:fldChar w:fldCharType="begin"/>
        </w:r>
        <w:r>
          <w:rPr>
            <w:noProof/>
            <w:webHidden/>
          </w:rPr>
          <w:instrText xml:space="preserve"> PAGEREF _Toc212712556 \h </w:instrText>
        </w:r>
        <w:r>
          <w:rPr>
            <w:noProof/>
            <w:webHidden/>
          </w:rPr>
        </w:r>
        <w:r>
          <w:rPr>
            <w:noProof/>
            <w:webHidden/>
          </w:rPr>
          <w:fldChar w:fldCharType="separate"/>
        </w:r>
        <w:r>
          <w:rPr>
            <w:noProof/>
            <w:webHidden/>
          </w:rPr>
          <w:t>4</w:t>
        </w:r>
        <w:r>
          <w:rPr>
            <w:noProof/>
            <w:webHidden/>
          </w:rPr>
          <w:fldChar w:fldCharType="end"/>
        </w:r>
      </w:hyperlink>
    </w:p>
    <w:p w14:paraId="0F5A365B" w14:textId="3B6C1D1B" w:rsidR="009A1B79" w:rsidRDefault="009A1B79">
      <w:pPr>
        <w:pStyle w:val="Innehll2"/>
        <w:rPr>
          <w:rFonts w:asciiTheme="minorHAnsi" w:eastAsiaTheme="minorEastAsia" w:hAnsiTheme="minorHAnsi" w:cstheme="minorBidi"/>
          <w:noProof/>
          <w:kern w:val="2"/>
          <w14:ligatures w14:val="standardContextual"/>
        </w:rPr>
      </w:pPr>
      <w:hyperlink w:anchor="_Toc212712557" w:history="1">
        <w:r w:rsidRPr="003436AE">
          <w:rPr>
            <w:rStyle w:val="Hyperlnk"/>
            <w:rFonts w:eastAsia="MS Gothic"/>
            <w:noProof/>
          </w:rPr>
          <w:t>Utförande</w:t>
        </w:r>
        <w:r>
          <w:rPr>
            <w:noProof/>
            <w:webHidden/>
          </w:rPr>
          <w:tab/>
        </w:r>
        <w:r>
          <w:rPr>
            <w:noProof/>
            <w:webHidden/>
          </w:rPr>
          <w:fldChar w:fldCharType="begin"/>
        </w:r>
        <w:r>
          <w:rPr>
            <w:noProof/>
            <w:webHidden/>
          </w:rPr>
          <w:instrText xml:space="preserve"> PAGEREF _Toc212712557 \h </w:instrText>
        </w:r>
        <w:r>
          <w:rPr>
            <w:noProof/>
            <w:webHidden/>
          </w:rPr>
        </w:r>
        <w:r>
          <w:rPr>
            <w:noProof/>
            <w:webHidden/>
          </w:rPr>
          <w:fldChar w:fldCharType="separate"/>
        </w:r>
        <w:r>
          <w:rPr>
            <w:noProof/>
            <w:webHidden/>
          </w:rPr>
          <w:t>4</w:t>
        </w:r>
        <w:r>
          <w:rPr>
            <w:noProof/>
            <w:webHidden/>
          </w:rPr>
          <w:fldChar w:fldCharType="end"/>
        </w:r>
      </w:hyperlink>
    </w:p>
    <w:p w14:paraId="12E3F270" w14:textId="0D98933B" w:rsidR="009A1B79" w:rsidRDefault="009A1B79">
      <w:pPr>
        <w:pStyle w:val="Innehll3"/>
        <w:rPr>
          <w:rFonts w:asciiTheme="minorHAnsi" w:eastAsiaTheme="minorEastAsia" w:hAnsiTheme="minorHAnsi" w:cstheme="minorBidi"/>
          <w:noProof/>
          <w:kern w:val="2"/>
          <w14:ligatures w14:val="standardContextual"/>
        </w:rPr>
      </w:pPr>
      <w:hyperlink w:anchor="_Toc212712558" w:history="1">
        <w:r w:rsidRPr="003436AE">
          <w:rPr>
            <w:rStyle w:val="Hyperlnk"/>
            <w:rFonts w:eastAsia="MS Gothic"/>
            <w:noProof/>
          </w:rPr>
          <w:t>Förberedelser</w:t>
        </w:r>
        <w:r>
          <w:rPr>
            <w:noProof/>
            <w:webHidden/>
          </w:rPr>
          <w:tab/>
        </w:r>
        <w:r>
          <w:rPr>
            <w:noProof/>
            <w:webHidden/>
          </w:rPr>
          <w:fldChar w:fldCharType="begin"/>
        </w:r>
        <w:r>
          <w:rPr>
            <w:noProof/>
            <w:webHidden/>
          </w:rPr>
          <w:instrText xml:space="preserve"> PAGEREF _Toc212712558 \h </w:instrText>
        </w:r>
        <w:r>
          <w:rPr>
            <w:noProof/>
            <w:webHidden/>
          </w:rPr>
        </w:r>
        <w:r>
          <w:rPr>
            <w:noProof/>
            <w:webHidden/>
          </w:rPr>
          <w:fldChar w:fldCharType="separate"/>
        </w:r>
        <w:r>
          <w:rPr>
            <w:noProof/>
            <w:webHidden/>
          </w:rPr>
          <w:t>4</w:t>
        </w:r>
        <w:r>
          <w:rPr>
            <w:noProof/>
            <w:webHidden/>
          </w:rPr>
          <w:fldChar w:fldCharType="end"/>
        </w:r>
      </w:hyperlink>
    </w:p>
    <w:p w14:paraId="4DD88110" w14:textId="24BCD334" w:rsidR="009A1B79" w:rsidRDefault="009A1B79">
      <w:pPr>
        <w:pStyle w:val="Innehll3"/>
        <w:rPr>
          <w:rFonts w:asciiTheme="minorHAnsi" w:eastAsiaTheme="minorEastAsia" w:hAnsiTheme="minorHAnsi" w:cstheme="minorBidi"/>
          <w:noProof/>
          <w:kern w:val="2"/>
          <w14:ligatures w14:val="standardContextual"/>
        </w:rPr>
      </w:pPr>
      <w:hyperlink w:anchor="_Toc212712559" w:history="1">
        <w:r w:rsidRPr="003436AE">
          <w:rPr>
            <w:rStyle w:val="Hyperlnk"/>
            <w:rFonts w:eastAsia="MS Gothic"/>
            <w:noProof/>
          </w:rPr>
          <w:t>Vid undernäring och risk för refeeding syndrom</w:t>
        </w:r>
        <w:r>
          <w:rPr>
            <w:noProof/>
            <w:webHidden/>
          </w:rPr>
          <w:tab/>
        </w:r>
        <w:r>
          <w:rPr>
            <w:noProof/>
            <w:webHidden/>
          </w:rPr>
          <w:fldChar w:fldCharType="begin"/>
        </w:r>
        <w:r>
          <w:rPr>
            <w:noProof/>
            <w:webHidden/>
          </w:rPr>
          <w:instrText xml:space="preserve"> PAGEREF _Toc212712559 \h </w:instrText>
        </w:r>
        <w:r>
          <w:rPr>
            <w:noProof/>
            <w:webHidden/>
          </w:rPr>
        </w:r>
        <w:r>
          <w:rPr>
            <w:noProof/>
            <w:webHidden/>
          </w:rPr>
          <w:fldChar w:fldCharType="separate"/>
        </w:r>
        <w:r>
          <w:rPr>
            <w:noProof/>
            <w:webHidden/>
          </w:rPr>
          <w:t>6</w:t>
        </w:r>
        <w:r>
          <w:rPr>
            <w:noProof/>
            <w:webHidden/>
          </w:rPr>
          <w:fldChar w:fldCharType="end"/>
        </w:r>
      </w:hyperlink>
    </w:p>
    <w:p w14:paraId="05DC1C81" w14:textId="2CD88FD3" w:rsidR="009A1B79" w:rsidRDefault="009A1B79">
      <w:pPr>
        <w:pStyle w:val="Innehll3"/>
        <w:rPr>
          <w:rFonts w:asciiTheme="minorHAnsi" w:eastAsiaTheme="minorEastAsia" w:hAnsiTheme="minorHAnsi" w:cstheme="minorBidi"/>
          <w:noProof/>
          <w:kern w:val="2"/>
          <w14:ligatures w14:val="standardContextual"/>
        </w:rPr>
      </w:pPr>
      <w:hyperlink w:anchor="_Toc212712560" w:history="1">
        <w:r w:rsidRPr="003436AE">
          <w:rPr>
            <w:rStyle w:val="Hyperlnk"/>
            <w:rFonts w:eastAsia="MS Gothic"/>
            <w:noProof/>
          </w:rPr>
          <w:t>Energibehov</w:t>
        </w:r>
        <w:r>
          <w:rPr>
            <w:noProof/>
            <w:webHidden/>
          </w:rPr>
          <w:tab/>
        </w:r>
        <w:r>
          <w:rPr>
            <w:noProof/>
            <w:webHidden/>
          </w:rPr>
          <w:fldChar w:fldCharType="begin"/>
        </w:r>
        <w:r>
          <w:rPr>
            <w:noProof/>
            <w:webHidden/>
          </w:rPr>
          <w:instrText xml:space="preserve"> PAGEREF _Toc212712560 \h </w:instrText>
        </w:r>
        <w:r>
          <w:rPr>
            <w:noProof/>
            <w:webHidden/>
          </w:rPr>
        </w:r>
        <w:r>
          <w:rPr>
            <w:noProof/>
            <w:webHidden/>
          </w:rPr>
          <w:fldChar w:fldCharType="separate"/>
        </w:r>
        <w:r>
          <w:rPr>
            <w:noProof/>
            <w:webHidden/>
          </w:rPr>
          <w:t>7</w:t>
        </w:r>
        <w:r>
          <w:rPr>
            <w:noProof/>
            <w:webHidden/>
          </w:rPr>
          <w:fldChar w:fldCharType="end"/>
        </w:r>
      </w:hyperlink>
    </w:p>
    <w:p w14:paraId="683E4499" w14:textId="5C569695" w:rsidR="009A1B79" w:rsidRDefault="009A1B79">
      <w:pPr>
        <w:pStyle w:val="Innehll3"/>
        <w:rPr>
          <w:rFonts w:asciiTheme="minorHAnsi" w:eastAsiaTheme="minorEastAsia" w:hAnsiTheme="minorHAnsi" w:cstheme="minorBidi"/>
          <w:noProof/>
          <w:kern w:val="2"/>
          <w14:ligatures w14:val="standardContextual"/>
        </w:rPr>
      </w:pPr>
      <w:hyperlink w:anchor="_Toc212712561" w:history="1">
        <w:r w:rsidRPr="003436AE">
          <w:rPr>
            <w:rStyle w:val="Hyperlnk"/>
            <w:rFonts w:eastAsia="MS Gothic"/>
            <w:noProof/>
          </w:rPr>
          <w:t>Uppstart och upptrappning PN</w:t>
        </w:r>
        <w:r>
          <w:rPr>
            <w:noProof/>
            <w:webHidden/>
          </w:rPr>
          <w:tab/>
        </w:r>
        <w:r>
          <w:rPr>
            <w:noProof/>
            <w:webHidden/>
          </w:rPr>
          <w:fldChar w:fldCharType="begin"/>
        </w:r>
        <w:r>
          <w:rPr>
            <w:noProof/>
            <w:webHidden/>
          </w:rPr>
          <w:instrText xml:space="preserve"> PAGEREF _Toc212712561 \h </w:instrText>
        </w:r>
        <w:r>
          <w:rPr>
            <w:noProof/>
            <w:webHidden/>
          </w:rPr>
        </w:r>
        <w:r>
          <w:rPr>
            <w:noProof/>
            <w:webHidden/>
          </w:rPr>
          <w:fldChar w:fldCharType="separate"/>
        </w:r>
        <w:r>
          <w:rPr>
            <w:noProof/>
            <w:webHidden/>
          </w:rPr>
          <w:t>8</w:t>
        </w:r>
        <w:r>
          <w:rPr>
            <w:noProof/>
            <w:webHidden/>
          </w:rPr>
          <w:fldChar w:fldCharType="end"/>
        </w:r>
      </w:hyperlink>
    </w:p>
    <w:p w14:paraId="37DA8337" w14:textId="08D3BE94" w:rsidR="009A1B79" w:rsidRDefault="009A1B79">
      <w:pPr>
        <w:pStyle w:val="Innehll3"/>
        <w:rPr>
          <w:rFonts w:asciiTheme="minorHAnsi" w:eastAsiaTheme="minorEastAsia" w:hAnsiTheme="minorHAnsi" w:cstheme="minorBidi"/>
          <w:noProof/>
          <w:kern w:val="2"/>
          <w14:ligatures w14:val="standardContextual"/>
        </w:rPr>
      </w:pPr>
      <w:hyperlink w:anchor="_Toc212712562" w:history="1">
        <w:r w:rsidRPr="003436AE">
          <w:rPr>
            <w:rStyle w:val="Hyperlnk"/>
            <w:rFonts w:eastAsia="MS Gothic"/>
            <w:noProof/>
          </w:rPr>
          <w:t>Tillsatser</w:t>
        </w:r>
        <w:r>
          <w:rPr>
            <w:noProof/>
            <w:webHidden/>
          </w:rPr>
          <w:tab/>
        </w:r>
        <w:r>
          <w:rPr>
            <w:noProof/>
            <w:webHidden/>
          </w:rPr>
          <w:fldChar w:fldCharType="begin"/>
        </w:r>
        <w:r>
          <w:rPr>
            <w:noProof/>
            <w:webHidden/>
          </w:rPr>
          <w:instrText xml:space="preserve"> PAGEREF _Toc212712562 \h </w:instrText>
        </w:r>
        <w:r>
          <w:rPr>
            <w:noProof/>
            <w:webHidden/>
          </w:rPr>
        </w:r>
        <w:r>
          <w:rPr>
            <w:noProof/>
            <w:webHidden/>
          </w:rPr>
          <w:fldChar w:fldCharType="separate"/>
        </w:r>
        <w:r>
          <w:rPr>
            <w:noProof/>
            <w:webHidden/>
          </w:rPr>
          <w:t>8</w:t>
        </w:r>
        <w:r>
          <w:rPr>
            <w:noProof/>
            <w:webHidden/>
          </w:rPr>
          <w:fldChar w:fldCharType="end"/>
        </w:r>
      </w:hyperlink>
    </w:p>
    <w:p w14:paraId="54E8A275" w14:textId="2535AF27" w:rsidR="009A1B79" w:rsidRDefault="009A1B79">
      <w:pPr>
        <w:pStyle w:val="Innehll3"/>
        <w:rPr>
          <w:rFonts w:asciiTheme="minorHAnsi" w:eastAsiaTheme="minorEastAsia" w:hAnsiTheme="minorHAnsi" w:cstheme="minorBidi"/>
          <w:noProof/>
          <w:kern w:val="2"/>
          <w14:ligatures w14:val="standardContextual"/>
        </w:rPr>
      </w:pPr>
      <w:hyperlink w:anchor="_Toc212712563" w:history="1">
        <w:r w:rsidRPr="003436AE">
          <w:rPr>
            <w:rStyle w:val="Hyperlnk"/>
            <w:rFonts w:eastAsia="MS Gothic"/>
            <w:noProof/>
          </w:rPr>
          <w:t>Monitorering och provtagning</w:t>
        </w:r>
        <w:r>
          <w:rPr>
            <w:noProof/>
            <w:webHidden/>
          </w:rPr>
          <w:tab/>
        </w:r>
        <w:r>
          <w:rPr>
            <w:noProof/>
            <w:webHidden/>
          </w:rPr>
          <w:fldChar w:fldCharType="begin"/>
        </w:r>
        <w:r>
          <w:rPr>
            <w:noProof/>
            <w:webHidden/>
          </w:rPr>
          <w:instrText xml:space="preserve"> PAGEREF _Toc212712563 \h </w:instrText>
        </w:r>
        <w:r>
          <w:rPr>
            <w:noProof/>
            <w:webHidden/>
          </w:rPr>
        </w:r>
        <w:r>
          <w:rPr>
            <w:noProof/>
            <w:webHidden/>
          </w:rPr>
          <w:fldChar w:fldCharType="separate"/>
        </w:r>
        <w:r>
          <w:rPr>
            <w:noProof/>
            <w:webHidden/>
          </w:rPr>
          <w:t>9</w:t>
        </w:r>
        <w:r>
          <w:rPr>
            <w:noProof/>
            <w:webHidden/>
          </w:rPr>
          <w:fldChar w:fldCharType="end"/>
        </w:r>
      </w:hyperlink>
    </w:p>
    <w:p w14:paraId="7BAD354C" w14:textId="1BE0517D" w:rsidR="009A1B79" w:rsidRDefault="009A1B79">
      <w:pPr>
        <w:pStyle w:val="Innehll3"/>
        <w:rPr>
          <w:rFonts w:asciiTheme="minorHAnsi" w:eastAsiaTheme="minorEastAsia" w:hAnsiTheme="minorHAnsi" w:cstheme="minorBidi"/>
          <w:noProof/>
          <w:kern w:val="2"/>
          <w14:ligatures w14:val="standardContextual"/>
        </w:rPr>
      </w:pPr>
      <w:hyperlink w:anchor="_Toc212712564" w:history="1">
        <w:r w:rsidRPr="003436AE">
          <w:rPr>
            <w:rStyle w:val="Hyperlnk"/>
            <w:rFonts w:eastAsia="MS Gothic"/>
            <w:noProof/>
          </w:rPr>
          <w:t>Komplikationer under pågående behandling med PN</w:t>
        </w:r>
        <w:r>
          <w:rPr>
            <w:noProof/>
            <w:webHidden/>
          </w:rPr>
          <w:tab/>
        </w:r>
        <w:r>
          <w:rPr>
            <w:noProof/>
            <w:webHidden/>
          </w:rPr>
          <w:fldChar w:fldCharType="begin"/>
        </w:r>
        <w:r>
          <w:rPr>
            <w:noProof/>
            <w:webHidden/>
          </w:rPr>
          <w:instrText xml:space="preserve"> PAGEREF _Toc212712564 \h </w:instrText>
        </w:r>
        <w:r>
          <w:rPr>
            <w:noProof/>
            <w:webHidden/>
          </w:rPr>
        </w:r>
        <w:r>
          <w:rPr>
            <w:noProof/>
            <w:webHidden/>
          </w:rPr>
          <w:fldChar w:fldCharType="separate"/>
        </w:r>
        <w:r>
          <w:rPr>
            <w:noProof/>
            <w:webHidden/>
          </w:rPr>
          <w:t>9</w:t>
        </w:r>
        <w:r>
          <w:rPr>
            <w:noProof/>
            <w:webHidden/>
          </w:rPr>
          <w:fldChar w:fldCharType="end"/>
        </w:r>
      </w:hyperlink>
    </w:p>
    <w:p w14:paraId="3EE299CC" w14:textId="0D2B0D07" w:rsidR="009A1B79" w:rsidRDefault="009A1B79">
      <w:pPr>
        <w:pStyle w:val="Innehll3"/>
        <w:rPr>
          <w:rFonts w:asciiTheme="minorHAnsi" w:eastAsiaTheme="minorEastAsia" w:hAnsiTheme="minorHAnsi" w:cstheme="minorBidi"/>
          <w:noProof/>
          <w:kern w:val="2"/>
          <w14:ligatures w14:val="standardContextual"/>
        </w:rPr>
      </w:pPr>
      <w:hyperlink w:anchor="_Toc212712565" w:history="1">
        <w:r w:rsidRPr="003436AE">
          <w:rPr>
            <w:rStyle w:val="Hyperlnk"/>
            <w:rFonts w:eastAsia="MS Gothic"/>
            <w:noProof/>
          </w:rPr>
          <w:t>Substituering vid behov</w:t>
        </w:r>
        <w:r>
          <w:rPr>
            <w:noProof/>
            <w:webHidden/>
          </w:rPr>
          <w:tab/>
        </w:r>
        <w:r>
          <w:rPr>
            <w:noProof/>
            <w:webHidden/>
          </w:rPr>
          <w:fldChar w:fldCharType="begin"/>
        </w:r>
        <w:r>
          <w:rPr>
            <w:noProof/>
            <w:webHidden/>
          </w:rPr>
          <w:instrText xml:space="preserve"> PAGEREF _Toc212712565 \h </w:instrText>
        </w:r>
        <w:r>
          <w:rPr>
            <w:noProof/>
            <w:webHidden/>
          </w:rPr>
        </w:r>
        <w:r>
          <w:rPr>
            <w:noProof/>
            <w:webHidden/>
          </w:rPr>
          <w:fldChar w:fldCharType="separate"/>
        </w:r>
        <w:r>
          <w:rPr>
            <w:noProof/>
            <w:webHidden/>
          </w:rPr>
          <w:t>10</w:t>
        </w:r>
        <w:r>
          <w:rPr>
            <w:noProof/>
            <w:webHidden/>
          </w:rPr>
          <w:fldChar w:fldCharType="end"/>
        </w:r>
      </w:hyperlink>
    </w:p>
    <w:p w14:paraId="16330440" w14:textId="4F0EC2AA" w:rsidR="009A1B79" w:rsidRDefault="009A1B79">
      <w:pPr>
        <w:pStyle w:val="Innehll3"/>
        <w:rPr>
          <w:rFonts w:asciiTheme="minorHAnsi" w:eastAsiaTheme="minorEastAsia" w:hAnsiTheme="minorHAnsi" w:cstheme="minorBidi"/>
          <w:noProof/>
          <w:kern w:val="2"/>
          <w14:ligatures w14:val="standardContextual"/>
        </w:rPr>
      </w:pPr>
      <w:hyperlink w:anchor="_Toc212712566" w:history="1">
        <w:r w:rsidRPr="003436AE">
          <w:rPr>
            <w:rStyle w:val="Hyperlnk"/>
            <w:rFonts w:eastAsia="MS Gothic"/>
            <w:noProof/>
          </w:rPr>
          <w:t>Parenteral nutrition i den palliativa fasen</w:t>
        </w:r>
        <w:r>
          <w:rPr>
            <w:noProof/>
            <w:webHidden/>
          </w:rPr>
          <w:tab/>
        </w:r>
        <w:r>
          <w:rPr>
            <w:noProof/>
            <w:webHidden/>
          </w:rPr>
          <w:fldChar w:fldCharType="begin"/>
        </w:r>
        <w:r>
          <w:rPr>
            <w:noProof/>
            <w:webHidden/>
          </w:rPr>
          <w:instrText xml:space="preserve"> PAGEREF _Toc212712566 \h </w:instrText>
        </w:r>
        <w:r>
          <w:rPr>
            <w:noProof/>
            <w:webHidden/>
          </w:rPr>
        </w:r>
        <w:r>
          <w:rPr>
            <w:noProof/>
            <w:webHidden/>
          </w:rPr>
          <w:fldChar w:fldCharType="separate"/>
        </w:r>
        <w:r>
          <w:rPr>
            <w:noProof/>
            <w:webHidden/>
          </w:rPr>
          <w:t>11</w:t>
        </w:r>
        <w:r>
          <w:rPr>
            <w:noProof/>
            <w:webHidden/>
          </w:rPr>
          <w:fldChar w:fldCharType="end"/>
        </w:r>
      </w:hyperlink>
    </w:p>
    <w:p w14:paraId="3E36B642" w14:textId="5F8848DD" w:rsidR="009A1B79" w:rsidRDefault="009A1B79">
      <w:pPr>
        <w:pStyle w:val="Innehll2"/>
        <w:rPr>
          <w:rFonts w:asciiTheme="minorHAnsi" w:eastAsiaTheme="minorEastAsia" w:hAnsiTheme="minorHAnsi" w:cstheme="minorBidi"/>
          <w:noProof/>
          <w:kern w:val="2"/>
          <w14:ligatures w14:val="standardContextual"/>
        </w:rPr>
      </w:pPr>
      <w:hyperlink w:anchor="_Toc212712567" w:history="1">
        <w:r w:rsidRPr="003436AE">
          <w:rPr>
            <w:rStyle w:val="Hyperlnk"/>
            <w:rFonts w:eastAsia="MS Gothic"/>
            <w:noProof/>
          </w:rPr>
          <w:t>Arbetsgrupp</w:t>
        </w:r>
        <w:r>
          <w:rPr>
            <w:noProof/>
            <w:webHidden/>
          </w:rPr>
          <w:tab/>
        </w:r>
        <w:r>
          <w:rPr>
            <w:noProof/>
            <w:webHidden/>
          </w:rPr>
          <w:fldChar w:fldCharType="begin"/>
        </w:r>
        <w:r>
          <w:rPr>
            <w:noProof/>
            <w:webHidden/>
          </w:rPr>
          <w:instrText xml:space="preserve"> PAGEREF _Toc212712567 \h </w:instrText>
        </w:r>
        <w:r>
          <w:rPr>
            <w:noProof/>
            <w:webHidden/>
          </w:rPr>
        </w:r>
        <w:r>
          <w:rPr>
            <w:noProof/>
            <w:webHidden/>
          </w:rPr>
          <w:fldChar w:fldCharType="separate"/>
        </w:r>
        <w:r>
          <w:rPr>
            <w:noProof/>
            <w:webHidden/>
          </w:rPr>
          <w:t>12</w:t>
        </w:r>
        <w:r>
          <w:rPr>
            <w:noProof/>
            <w:webHidden/>
          </w:rPr>
          <w:fldChar w:fldCharType="end"/>
        </w:r>
      </w:hyperlink>
    </w:p>
    <w:p w14:paraId="53FAE5DB" w14:textId="25EB0FB8" w:rsidR="009A1B79" w:rsidRDefault="009A1B79">
      <w:pPr>
        <w:pStyle w:val="Innehll2"/>
        <w:rPr>
          <w:rFonts w:asciiTheme="minorHAnsi" w:eastAsiaTheme="minorEastAsia" w:hAnsiTheme="minorHAnsi" w:cstheme="minorBidi"/>
          <w:noProof/>
          <w:kern w:val="2"/>
          <w14:ligatures w14:val="standardContextual"/>
        </w:rPr>
      </w:pPr>
      <w:hyperlink w:anchor="_Toc212712568" w:history="1">
        <w:r w:rsidRPr="003436AE">
          <w:rPr>
            <w:rStyle w:val="Hyperlnk"/>
            <w:rFonts w:eastAsia="MS Gothic"/>
            <w:noProof/>
          </w:rPr>
          <w:t>Innehållsansvarig</w:t>
        </w:r>
        <w:r>
          <w:rPr>
            <w:noProof/>
            <w:webHidden/>
          </w:rPr>
          <w:tab/>
        </w:r>
        <w:r>
          <w:rPr>
            <w:noProof/>
            <w:webHidden/>
          </w:rPr>
          <w:fldChar w:fldCharType="begin"/>
        </w:r>
        <w:r>
          <w:rPr>
            <w:noProof/>
            <w:webHidden/>
          </w:rPr>
          <w:instrText xml:space="preserve"> PAGEREF _Toc212712568 \h </w:instrText>
        </w:r>
        <w:r>
          <w:rPr>
            <w:noProof/>
            <w:webHidden/>
          </w:rPr>
        </w:r>
        <w:r>
          <w:rPr>
            <w:noProof/>
            <w:webHidden/>
          </w:rPr>
          <w:fldChar w:fldCharType="separate"/>
        </w:r>
        <w:r>
          <w:rPr>
            <w:noProof/>
            <w:webHidden/>
          </w:rPr>
          <w:t>12</w:t>
        </w:r>
        <w:r>
          <w:rPr>
            <w:noProof/>
            <w:webHidden/>
          </w:rPr>
          <w:fldChar w:fldCharType="end"/>
        </w:r>
      </w:hyperlink>
    </w:p>
    <w:p w14:paraId="5B50E144" w14:textId="77D3C183" w:rsidR="009A1B79" w:rsidRDefault="009A1B79">
      <w:pPr>
        <w:pStyle w:val="Innehll2"/>
        <w:rPr>
          <w:rFonts w:asciiTheme="minorHAnsi" w:eastAsiaTheme="minorEastAsia" w:hAnsiTheme="minorHAnsi" w:cstheme="minorBidi"/>
          <w:noProof/>
          <w:kern w:val="2"/>
          <w14:ligatures w14:val="standardContextual"/>
        </w:rPr>
      </w:pPr>
      <w:hyperlink w:anchor="_Toc212712569" w:history="1">
        <w:r w:rsidRPr="003436AE">
          <w:rPr>
            <w:rStyle w:val="Hyperlnk"/>
            <w:rFonts w:eastAsia="MS Gothic"/>
            <w:noProof/>
          </w:rPr>
          <w:t>Länkförteckning</w:t>
        </w:r>
        <w:r>
          <w:rPr>
            <w:noProof/>
            <w:webHidden/>
          </w:rPr>
          <w:tab/>
        </w:r>
        <w:r>
          <w:rPr>
            <w:noProof/>
            <w:webHidden/>
          </w:rPr>
          <w:fldChar w:fldCharType="begin"/>
        </w:r>
        <w:r>
          <w:rPr>
            <w:noProof/>
            <w:webHidden/>
          </w:rPr>
          <w:instrText xml:space="preserve"> PAGEREF _Toc212712569 \h </w:instrText>
        </w:r>
        <w:r>
          <w:rPr>
            <w:noProof/>
            <w:webHidden/>
          </w:rPr>
        </w:r>
        <w:r>
          <w:rPr>
            <w:noProof/>
            <w:webHidden/>
          </w:rPr>
          <w:fldChar w:fldCharType="separate"/>
        </w:r>
        <w:r>
          <w:rPr>
            <w:noProof/>
            <w:webHidden/>
          </w:rPr>
          <w:t>12</w:t>
        </w:r>
        <w:r>
          <w:rPr>
            <w:noProof/>
            <w:webHidden/>
          </w:rPr>
          <w:fldChar w:fldCharType="end"/>
        </w:r>
      </w:hyperlink>
    </w:p>
    <w:p w14:paraId="48DEDE52" w14:textId="37A2A3CF" w:rsidR="009A1B79" w:rsidRDefault="009A1B79">
      <w:pPr>
        <w:pStyle w:val="Innehll2"/>
        <w:rPr>
          <w:rFonts w:asciiTheme="minorHAnsi" w:eastAsiaTheme="minorEastAsia" w:hAnsiTheme="minorHAnsi" w:cstheme="minorBidi"/>
          <w:noProof/>
          <w:kern w:val="2"/>
          <w14:ligatures w14:val="standardContextual"/>
        </w:rPr>
      </w:pPr>
      <w:hyperlink w:anchor="_Toc212712570" w:history="1">
        <w:r w:rsidRPr="003436AE">
          <w:rPr>
            <w:rStyle w:val="Hyperlnk"/>
            <w:rFonts w:eastAsia="MS Gothic"/>
            <w:noProof/>
          </w:rPr>
          <w:t>Referensförteckning</w:t>
        </w:r>
        <w:r>
          <w:rPr>
            <w:noProof/>
            <w:webHidden/>
          </w:rPr>
          <w:tab/>
        </w:r>
        <w:r>
          <w:rPr>
            <w:noProof/>
            <w:webHidden/>
          </w:rPr>
          <w:fldChar w:fldCharType="begin"/>
        </w:r>
        <w:r>
          <w:rPr>
            <w:noProof/>
            <w:webHidden/>
          </w:rPr>
          <w:instrText xml:space="preserve"> PAGEREF _Toc212712570 \h </w:instrText>
        </w:r>
        <w:r>
          <w:rPr>
            <w:noProof/>
            <w:webHidden/>
          </w:rPr>
        </w:r>
        <w:r>
          <w:rPr>
            <w:noProof/>
            <w:webHidden/>
          </w:rPr>
          <w:fldChar w:fldCharType="separate"/>
        </w:r>
        <w:r>
          <w:rPr>
            <w:noProof/>
            <w:webHidden/>
          </w:rPr>
          <w:t>13</w:t>
        </w:r>
        <w:r>
          <w:rPr>
            <w:noProof/>
            <w:webHidden/>
          </w:rPr>
          <w:fldChar w:fldCharType="end"/>
        </w:r>
      </w:hyperlink>
    </w:p>
    <w:p w14:paraId="1FC6584C" w14:textId="2903C9DB" w:rsidR="00B405A1" w:rsidRDefault="007D3C00" w:rsidP="009A32ED">
      <w:pPr>
        <w:ind w:right="-143"/>
      </w:pPr>
      <w:r>
        <w:fldChar w:fldCharType="end"/>
      </w:r>
    </w:p>
    <w:p w14:paraId="29B03EF5" w14:textId="77777777" w:rsidR="009A32ED" w:rsidRDefault="009A32ED" w:rsidP="009A32ED">
      <w:pPr>
        <w:pStyle w:val="Rubrik2"/>
        <w:ind w:right="-143"/>
      </w:pPr>
      <w:bookmarkStart w:id="6" w:name="_Toc100327186"/>
      <w:bookmarkStart w:id="7" w:name="_Toc212712551"/>
      <w:bookmarkEnd w:id="5"/>
      <w:r>
        <w:t>Bakgrund och syfte</w:t>
      </w:r>
      <w:bookmarkEnd w:id="6"/>
      <w:bookmarkEnd w:id="7"/>
      <w:r>
        <w:t xml:space="preserve"> </w:t>
      </w:r>
    </w:p>
    <w:p w14:paraId="5BCF8113" w14:textId="0656857B" w:rsidR="002C0254" w:rsidRDefault="002C0254" w:rsidP="009A32ED">
      <w:pPr>
        <w:ind w:right="-143"/>
      </w:pPr>
      <w:r w:rsidRPr="002C0254">
        <w:t>Parenteral nutrition (PN) är en behandling som kräver kontinuerlig bedömning av nutritionsstatus, näringsbehov och intag samt medicinskt tillstånd och involverar flera yrkeskategorier och medicinska specialiteter. Behandlingen sträcker sig ibland över lång tid och kan behöva justeras utifrån patientens sjukdomsförlopp och vårdnivå. Det är viktigt med samarbete mellan patientansvarig läkare, dietist och sjuksköterska samt att syfte, målsättning och ansvarsfördelning är tydligt. Det behöver också finnas en plan för uppföljning både avseende det medicinska tillståndet, nutritionsstatus och att det fungerar ur ett praktiskt perspektiv. Det är särskilt viktigt att det framgår vilken läkare som har det medicinska huvudansvaret vid byte mellan olika specialiteter samt vid utskrivning från sjukhuset.</w:t>
      </w:r>
    </w:p>
    <w:p w14:paraId="00434A76" w14:textId="266E9AFB" w:rsidR="002C0254" w:rsidRDefault="002C0254" w:rsidP="009A32ED">
      <w:pPr>
        <w:ind w:right="-143"/>
      </w:pPr>
      <w:r>
        <w:t>Syftet med rutinen är att</w:t>
      </w:r>
    </w:p>
    <w:p w14:paraId="7770D9FA" w14:textId="7B04ACAA" w:rsidR="00E95C58" w:rsidRDefault="00E95C58" w:rsidP="002C0254">
      <w:pPr>
        <w:pStyle w:val="Punktlista"/>
      </w:pPr>
      <w:r>
        <w:lastRenderedPageBreak/>
        <w:t>underlätta start av PN, monitorering och vid behov substituering med elektrolyter under vårdtiden på ett patientsäkert sätt.</w:t>
      </w:r>
    </w:p>
    <w:p w14:paraId="30294FCF" w14:textId="0675185F" w:rsidR="002C0254" w:rsidRDefault="00E95C58" w:rsidP="002C0254">
      <w:pPr>
        <w:pStyle w:val="Punktlista"/>
      </w:pPr>
      <w:r>
        <w:t xml:space="preserve">tydliggöra ansvarsfördelning vid uppstart, upptrappning och monitorering vid vård på avdelning. För vem som ansvarar för uppföljning efter hemgång från avdelning, se rutinen Parenteral nutrition för vuxna efter utskrivning från vårdavdelning, SÄS </w:t>
      </w:r>
      <w:r w:rsidR="008559B4">
        <w:t>(länk kommer)</w:t>
      </w:r>
    </w:p>
    <w:p w14:paraId="696C096E" w14:textId="62B4B51F" w:rsidR="009A32ED" w:rsidRPr="00023FF4" w:rsidRDefault="009A32ED" w:rsidP="009A32ED">
      <w:pPr>
        <w:ind w:right="-143"/>
      </w:pPr>
    </w:p>
    <w:p w14:paraId="70B2A54A" w14:textId="77777777" w:rsidR="009A32ED" w:rsidRDefault="009A32ED" w:rsidP="009A32ED">
      <w:pPr>
        <w:pStyle w:val="Rubrik2"/>
        <w:ind w:right="-143"/>
      </w:pPr>
      <w:bookmarkStart w:id="8" w:name="_Toc100327187"/>
      <w:bookmarkStart w:id="9" w:name="_Toc212712552"/>
      <w:r>
        <w:t>Förutsättningar</w:t>
      </w:r>
      <w:bookmarkEnd w:id="8"/>
      <w:bookmarkEnd w:id="9"/>
    </w:p>
    <w:p w14:paraId="107BEA0B" w14:textId="68C72D90" w:rsidR="009A32ED" w:rsidRDefault="00E95C58" w:rsidP="009A32ED">
      <w:pPr>
        <w:ind w:right="-143"/>
      </w:pPr>
      <w:r w:rsidRPr="00E95C58">
        <w:t xml:space="preserve">Rutinen utgår från NICE </w:t>
      </w:r>
      <w:proofErr w:type="spellStart"/>
      <w:r w:rsidRPr="00E95C58">
        <w:t>guidelines</w:t>
      </w:r>
      <w:proofErr w:type="spellEnd"/>
      <w:r w:rsidRPr="00E95C58">
        <w:t xml:space="preserve"> [1], </w:t>
      </w:r>
      <w:hyperlink r:id="rId12" w:history="1">
        <w:r w:rsidRPr="00E95C58">
          <w:rPr>
            <w:rStyle w:val="Hyperlnk"/>
          </w:rPr>
          <w:t>Vårdhandboken, kapitel Nutrition, parenteral</w:t>
        </w:r>
      </w:hyperlink>
      <w:r w:rsidRPr="00E95C58">
        <w:t xml:space="preserve"> [2], </w:t>
      </w:r>
      <w:hyperlink r:id="rId13" w:history="1">
        <w:r w:rsidRPr="00E95C58">
          <w:rPr>
            <w:rStyle w:val="Hyperlnk"/>
          </w:rPr>
          <w:t>Vätske- och nutritionsbehandling 2023</w:t>
        </w:r>
      </w:hyperlink>
      <w:r w:rsidRPr="00E95C58">
        <w:t xml:space="preserve"> sammanställd av Läkemedelskommittén i Västra Götalandsregionen [3] samt rutiner upprättade av dietistmottagningen, klinisk nutrition vid Sahlgrenska Universitetssjukhuset (SU) [4-6], med tillägg av förtydligande information samt lokala anpassningar för Södra Älvsborgs Sjukhus. Som hjälp för läkare och sjuksköterskor vid ordination och handläggning under behandling, har bilagor i form av checklistor tagits fram.</w:t>
      </w:r>
    </w:p>
    <w:p w14:paraId="7CCE59AC" w14:textId="77777777" w:rsidR="009A32ED" w:rsidRDefault="009A32ED" w:rsidP="009A32ED">
      <w:pPr>
        <w:pStyle w:val="Rubrik3"/>
        <w:ind w:right="-143"/>
      </w:pPr>
      <w:bookmarkStart w:id="10" w:name="_Toc100327188"/>
      <w:bookmarkStart w:id="11" w:name="_Toc212712553"/>
      <w:r>
        <w:t>Avgränsningar</w:t>
      </w:r>
      <w:bookmarkEnd w:id="10"/>
      <w:bookmarkEnd w:id="11"/>
    </w:p>
    <w:p w14:paraId="135305BC" w14:textId="537392CE" w:rsidR="009A32ED" w:rsidRDefault="00E95C58" w:rsidP="009A32ED">
      <w:pPr>
        <w:ind w:right="-143"/>
      </w:pPr>
      <w:r w:rsidRPr="00E95C58">
        <w:t xml:space="preserve">Rutinen omfattar inte skötsel av central infart. För detta hänvisas till riktlinje </w:t>
      </w:r>
      <w:hyperlink r:id="rId14" w:history="1">
        <w:r w:rsidRPr="00E95C58">
          <w:rPr>
            <w:rStyle w:val="Hyperlnk"/>
          </w:rPr>
          <w:t>Central venös infart (CVI) - inläggning och skötsel vid SÄS</w:t>
        </w:r>
      </w:hyperlink>
      <w:r w:rsidRPr="00E95C58">
        <w:t xml:space="preserve"> och Vårdhandboken, avsnitt </w:t>
      </w:r>
      <w:hyperlink r:id="rId15" w:history="1">
        <w:r w:rsidRPr="00E95C58">
          <w:rPr>
            <w:rStyle w:val="Hyperlnk"/>
          </w:rPr>
          <w:t xml:space="preserve">Central </w:t>
        </w:r>
        <w:proofErr w:type="spellStart"/>
        <w:r w:rsidRPr="00E95C58">
          <w:rPr>
            <w:rStyle w:val="Hyperlnk"/>
          </w:rPr>
          <w:t>venkateter</w:t>
        </w:r>
        <w:proofErr w:type="spellEnd"/>
        <w:r w:rsidRPr="00E95C58">
          <w:rPr>
            <w:rStyle w:val="Hyperlnk"/>
          </w:rPr>
          <w:t xml:space="preserve"> - Översikt.</w:t>
        </w:r>
      </w:hyperlink>
      <w:r w:rsidRPr="00E95C58">
        <w:t xml:space="preserve"> Den omfattar inte heller andra medicinska tillstånd som tarmsvikt med flöden eller avlastande PEG/V-sond, diabetes eller andra tillstånd där särskild hänsyn kan behöva tas. För kritiskt sjuka personer som kräver intensivvård finns separat riktlinje inom VO </w:t>
      </w:r>
      <w:proofErr w:type="spellStart"/>
      <w:r w:rsidRPr="00E95C58">
        <w:t>AnOpIVA</w:t>
      </w:r>
      <w:proofErr w:type="spellEnd"/>
      <w:r w:rsidRPr="00E95C58">
        <w:t xml:space="preserve">. För rutiner vid utskrivning till hemmet med parenteral nutrition, se rutinen </w:t>
      </w:r>
      <w:hyperlink r:id="rId16" w:history="1">
        <w:r w:rsidRPr="00AD18F9">
          <w:rPr>
            <w:rStyle w:val="Hyperlnk"/>
          </w:rPr>
          <w:t>Parenteral nutrition för vuxna efter utskrivning från vårdavdelning, SÄS</w:t>
        </w:r>
      </w:hyperlink>
      <w:r w:rsidRPr="00E95C58">
        <w:t>.</w:t>
      </w:r>
      <w:r w:rsidR="008559B4">
        <w:t xml:space="preserve"> </w:t>
      </w:r>
    </w:p>
    <w:p w14:paraId="730FC6A6" w14:textId="7A1F8D0F" w:rsidR="009A32ED" w:rsidRPr="005218AA" w:rsidRDefault="00E95C58" w:rsidP="009A32ED">
      <w:pPr>
        <w:pStyle w:val="Rubrik3"/>
        <w:ind w:right="-143"/>
      </w:pPr>
      <w:bookmarkStart w:id="12" w:name="_Toc212712554"/>
      <w:r>
        <w:t>Indikationer</w:t>
      </w:r>
      <w:bookmarkEnd w:id="12"/>
    </w:p>
    <w:p w14:paraId="3F44C7D7" w14:textId="21A7006A" w:rsidR="009A32ED" w:rsidRPr="005218AA" w:rsidRDefault="00E95C58" w:rsidP="009A32ED">
      <w:pPr>
        <w:ind w:right="-143"/>
      </w:pPr>
      <w:r w:rsidRPr="00E95C58">
        <w:t xml:space="preserve">Indikation att sätta in PN kan föreligga hos patienter med undernäring och/eller oförmåga att tillgodose estimerat energi- och näringsbehov peroralt eller genom </w:t>
      </w:r>
      <w:proofErr w:type="spellStart"/>
      <w:r w:rsidRPr="00E95C58">
        <w:t>enteral</w:t>
      </w:r>
      <w:proofErr w:type="spellEnd"/>
      <w:r w:rsidRPr="00E95C58">
        <w:t xml:space="preserve"> nutritionsbehandling.</w:t>
      </w:r>
    </w:p>
    <w:p w14:paraId="4CB34E8F" w14:textId="71C8547B" w:rsidR="009A32ED" w:rsidRPr="005218AA" w:rsidRDefault="00E95C58" w:rsidP="009A32ED">
      <w:pPr>
        <w:pStyle w:val="Rubrik3"/>
        <w:ind w:right="-143"/>
      </w:pPr>
      <w:bookmarkStart w:id="13" w:name="_Toc212712555"/>
      <w:r>
        <w:lastRenderedPageBreak/>
        <w:t>Kontraindikationer</w:t>
      </w:r>
      <w:bookmarkEnd w:id="13"/>
      <w:r>
        <w:t xml:space="preserve"> </w:t>
      </w:r>
    </w:p>
    <w:p w14:paraId="2EDF3C2D" w14:textId="77777777" w:rsidR="00E95C58" w:rsidRDefault="00E95C58" w:rsidP="00E95C58">
      <w:pPr>
        <w:pStyle w:val="Punktlista"/>
      </w:pPr>
      <w:r>
        <w:t>Instabil cirkulation.</w:t>
      </w:r>
    </w:p>
    <w:p w14:paraId="147CE575" w14:textId="77777777" w:rsidR="0076188D" w:rsidRDefault="00E95C58" w:rsidP="00E95C58">
      <w:pPr>
        <w:pStyle w:val="Punktlista"/>
      </w:pPr>
      <w:r>
        <w:t xml:space="preserve">Försiktighet ska iakttas vid bland annat grav njursvikt då dialysmöjlighet saknas, chock, akut lungödem, övervätskning, okompenserad hjärtsvikt, svåra tillstånd av </w:t>
      </w:r>
      <w:proofErr w:type="spellStart"/>
      <w:r>
        <w:t>hyperlipidemi</w:t>
      </w:r>
      <w:proofErr w:type="spellEnd"/>
      <w:r>
        <w:t xml:space="preserve">, leversvikt och koagulationsrubbningar, se vidare i </w:t>
      </w:r>
      <w:hyperlink r:id="rId17" w:history="1">
        <w:r w:rsidRPr="0076188D">
          <w:rPr>
            <w:rStyle w:val="Hyperlnk"/>
          </w:rPr>
          <w:t>FASS.se.</w:t>
        </w:r>
      </w:hyperlink>
    </w:p>
    <w:p w14:paraId="15D99A6B" w14:textId="11F1E271" w:rsidR="009A32ED" w:rsidRPr="005218AA" w:rsidRDefault="0076188D" w:rsidP="00E95C58">
      <w:pPr>
        <w:pStyle w:val="Punktlista"/>
      </w:pPr>
      <w:r>
        <w:t xml:space="preserve">Känd allergi mot någon av de ingående komponenterna i PN-lösningar. </w:t>
      </w:r>
    </w:p>
    <w:p w14:paraId="5805C5E0" w14:textId="0391393C" w:rsidR="009A32ED" w:rsidRDefault="0076188D" w:rsidP="009A32ED">
      <w:pPr>
        <w:pStyle w:val="Rubrik3"/>
        <w:ind w:right="-143"/>
      </w:pPr>
      <w:bookmarkStart w:id="14" w:name="_Toc212712556"/>
      <w:r>
        <w:t>Ansvarsfördelning</w:t>
      </w:r>
      <w:bookmarkEnd w:id="14"/>
    </w:p>
    <w:p w14:paraId="330C179D" w14:textId="1579B75D" w:rsidR="0076188D" w:rsidRDefault="0076188D" w:rsidP="0076188D">
      <w:pPr>
        <w:pStyle w:val="MellanrubrikVGR"/>
      </w:pPr>
      <w:r>
        <w:t>Patientansvarig läkare</w:t>
      </w:r>
    </w:p>
    <w:p w14:paraId="2C76216C" w14:textId="5C41CB27" w:rsidR="0076188D" w:rsidRDefault="0076188D" w:rsidP="0076188D">
      <w:r w:rsidRPr="0076188D">
        <w:t xml:space="preserve">Ansvarar för bedömning och uppföljning av medicinskt tillstånd, ordination av PN, monitorering av </w:t>
      </w:r>
      <w:r w:rsidR="008559B4" w:rsidRPr="0076188D">
        <w:t>Lab värden</w:t>
      </w:r>
      <w:r w:rsidRPr="0076188D">
        <w:t xml:space="preserve"> samt substituering och tillsatser där behov föreligger. Läkare ansvarar också för eventuell ordination och uppföljning om patienten går hem med PN.</w:t>
      </w:r>
    </w:p>
    <w:p w14:paraId="534CB345" w14:textId="6D4C37D5" w:rsidR="0076188D" w:rsidRDefault="0076188D" w:rsidP="0076188D">
      <w:r w:rsidRPr="0076188D">
        <w:rPr>
          <w:rFonts w:ascii="Verdana" w:hAnsi="Verdana"/>
          <w:b/>
          <w:color w:val="000000"/>
          <w:szCs w:val="18"/>
        </w:rPr>
        <w:t>Dietist</w:t>
      </w:r>
    </w:p>
    <w:p w14:paraId="7A2E4601" w14:textId="77777777" w:rsidR="0076188D" w:rsidRDefault="0076188D" w:rsidP="0076188D">
      <w:r>
        <w:t>Dietisten kan fungera som en kunskapsresurs gällande PN och ansvarar för nutritionsbedömning avseende uppskattat energibehov, energiintag och viktförändringar samt kan ge förslag på lämplig nutritionsbehandling med PN.</w:t>
      </w:r>
    </w:p>
    <w:p w14:paraId="3A7490EA" w14:textId="5C4081D5" w:rsidR="0076188D" w:rsidRDefault="0076188D" w:rsidP="0076188D">
      <w:r>
        <w:t>Utredning, uppstart/upptrappning, monitorering samt utvärdering bör ske i samråd med dietist. Vid behov kontakta dietistmottagningen SÄS via exempelvis telefon eller utfärda skriftlig remiss.</w:t>
      </w:r>
    </w:p>
    <w:p w14:paraId="37C7076C" w14:textId="6554D3FD" w:rsidR="009A32ED" w:rsidRPr="00065A6B" w:rsidRDefault="0076188D" w:rsidP="009A32ED">
      <w:pPr>
        <w:pStyle w:val="Rubrik2"/>
        <w:ind w:right="-143"/>
        <w:rPr>
          <w:color w:val="auto"/>
        </w:rPr>
      </w:pPr>
      <w:bookmarkStart w:id="15" w:name="_Toc212712557"/>
      <w:r>
        <w:rPr>
          <w:color w:val="auto"/>
        </w:rPr>
        <w:t>Utförande</w:t>
      </w:r>
      <w:bookmarkEnd w:id="15"/>
    </w:p>
    <w:p w14:paraId="69748B14" w14:textId="63E7255F" w:rsidR="009A32ED" w:rsidRDefault="0076188D" w:rsidP="0076188D">
      <w:pPr>
        <w:pStyle w:val="Rubrik3"/>
      </w:pPr>
      <w:bookmarkStart w:id="16" w:name="_Toc212712558"/>
      <w:r>
        <w:t>Förberedelser</w:t>
      </w:r>
      <w:bookmarkEnd w:id="16"/>
      <w:r>
        <w:t xml:space="preserve"> </w:t>
      </w:r>
    </w:p>
    <w:p w14:paraId="37087E18" w14:textId="1C053F1C" w:rsidR="009A32ED" w:rsidRDefault="0076188D" w:rsidP="0076188D">
      <w:pPr>
        <w:pStyle w:val="Punktlista"/>
        <w:numPr>
          <w:ilvl w:val="0"/>
          <w:numId w:val="20"/>
        </w:numPr>
      </w:pPr>
      <w:r>
        <w:t>Patientens cirkulation samt vätskebalans bör vara stabil när start av PN sker. Ansvarig läkare ansvarar för fortsatt uppföljning av vätskebalans under behandling med PN, det kan finnas behov av ytterligare vätskebehandling.</w:t>
      </w:r>
    </w:p>
    <w:p w14:paraId="570A2A62" w14:textId="150F76C6" w:rsidR="0076188D" w:rsidRDefault="0076188D" w:rsidP="0076188D">
      <w:pPr>
        <w:pStyle w:val="Punktlista"/>
        <w:numPr>
          <w:ilvl w:val="0"/>
          <w:numId w:val="20"/>
        </w:numPr>
      </w:pPr>
      <w:r>
        <w:t>Vikt, P-glukos och leverstatus tas före start.</w:t>
      </w:r>
    </w:p>
    <w:p w14:paraId="7B086FC2" w14:textId="5BB3B8D4" w:rsidR="00184944" w:rsidRDefault="0076188D" w:rsidP="0076188D">
      <w:pPr>
        <w:pStyle w:val="Punktlista"/>
        <w:numPr>
          <w:ilvl w:val="0"/>
          <w:numId w:val="20"/>
        </w:numPr>
      </w:pPr>
      <w:r>
        <w:lastRenderedPageBreak/>
        <w:t xml:space="preserve">P-Natrium, P-Kalium, P-fosfat och P-magnesium bör tas inför uppstart. Vid låga värden utanför referens bör </w:t>
      </w:r>
      <w:r w:rsidR="00184944">
        <w:t>substituering</w:t>
      </w:r>
      <w:r>
        <w:t xml:space="preserve"> ske, se rubrik </w:t>
      </w:r>
      <w:hyperlink w:anchor="_Substituering_vid_behov" w:history="1">
        <w:r w:rsidRPr="00B82E15">
          <w:rPr>
            <w:rStyle w:val="Hyperlnk"/>
          </w:rPr>
          <w:t>Subst</w:t>
        </w:r>
        <w:r w:rsidR="00184944" w:rsidRPr="00B82E15">
          <w:rPr>
            <w:rStyle w:val="Hyperlnk"/>
          </w:rPr>
          <w:t>ituering vid behov.</w:t>
        </w:r>
      </w:hyperlink>
    </w:p>
    <w:p w14:paraId="19FF5E50" w14:textId="2CF4CF9F" w:rsidR="00184944" w:rsidRDefault="00184944" w:rsidP="0076188D">
      <w:pPr>
        <w:pStyle w:val="Punktlista"/>
        <w:numPr>
          <w:ilvl w:val="0"/>
          <w:numId w:val="20"/>
        </w:numPr>
      </w:pPr>
      <w:r>
        <w:t xml:space="preserve">Bedöm eventuell risk för </w:t>
      </w:r>
      <w:proofErr w:type="spellStart"/>
      <w:r>
        <w:t>reefeeding</w:t>
      </w:r>
      <w:proofErr w:type="spellEnd"/>
      <w:r>
        <w:t xml:space="preserve"> syndrom, se rubrik </w:t>
      </w:r>
      <w:hyperlink w:anchor="_Vid_undernäring_och" w:history="1">
        <w:r w:rsidRPr="00B82E15">
          <w:rPr>
            <w:rStyle w:val="Hyperlnk"/>
          </w:rPr>
          <w:t xml:space="preserve">Vid undernäring och risk för </w:t>
        </w:r>
        <w:proofErr w:type="spellStart"/>
        <w:r w:rsidRPr="00B82E15">
          <w:rPr>
            <w:rStyle w:val="Hyperlnk"/>
          </w:rPr>
          <w:t>refeeding</w:t>
        </w:r>
        <w:proofErr w:type="spellEnd"/>
        <w:r w:rsidRPr="00B82E15">
          <w:rPr>
            <w:rStyle w:val="Hyperlnk"/>
          </w:rPr>
          <w:t xml:space="preserve"> syndrom.</w:t>
        </w:r>
      </w:hyperlink>
      <w:r>
        <w:t xml:space="preserve"> </w:t>
      </w:r>
    </w:p>
    <w:p w14:paraId="5DB0DFA5" w14:textId="0F7C65AC" w:rsidR="00184944" w:rsidRDefault="00184944" w:rsidP="0076188D">
      <w:pPr>
        <w:pStyle w:val="Punktlista"/>
        <w:numPr>
          <w:ilvl w:val="0"/>
          <w:numId w:val="20"/>
        </w:numPr>
      </w:pPr>
      <w:r>
        <w:t xml:space="preserve">Beräkna energibehov, se rubrik </w:t>
      </w:r>
      <w:hyperlink w:anchor="_Energibehov" w:history="1">
        <w:r w:rsidRPr="00B82E15">
          <w:rPr>
            <w:rStyle w:val="Hyperlnk"/>
          </w:rPr>
          <w:t>Energibehov</w:t>
        </w:r>
      </w:hyperlink>
      <w:r>
        <w:t>.</w:t>
      </w:r>
    </w:p>
    <w:p w14:paraId="243DA784" w14:textId="3FE20C20" w:rsidR="00184944" w:rsidRDefault="00184944" w:rsidP="00184944">
      <w:pPr>
        <w:pStyle w:val="Punktlista"/>
        <w:numPr>
          <w:ilvl w:val="0"/>
          <w:numId w:val="20"/>
        </w:numPr>
      </w:pPr>
      <w:r>
        <w:t xml:space="preserve">Ordinera i Melior med hjälp av ordinationsmall ” </w:t>
      </w:r>
      <w:proofErr w:type="spellStart"/>
      <w:r>
        <w:t>Smofkabiven</w:t>
      </w:r>
      <w:proofErr w:type="spellEnd"/>
      <w:r>
        <w:t xml:space="preserve"> central” eller ”</w:t>
      </w:r>
      <w:proofErr w:type="spellStart"/>
      <w:r>
        <w:t>Smofkabiven</w:t>
      </w:r>
      <w:proofErr w:type="spellEnd"/>
      <w:r>
        <w:t xml:space="preserve"> perifer”. Notera att </w:t>
      </w:r>
      <w:proofErr w:type="spellStart"/>
      <w:r>
        <w:t>Smofkabiven</w:t>
      </w:r>
      <w:proofErr w:type="spellEnd"/>
      <w:r>
        <w:t xml:space="preserve"> central har en </w:t>
      </w:r>
      <w:proofErr w:type="spellStart"/>
      <w:r>
        <w:t>osmolalitet</w:t>
      </w:r>
      <w:proofErr w:type="spellEnd"/>
      <w:r>
        <w:t xml:space="preserve"> på 1800 </w:t>
      </w:r>
      <w:proofErr w:type="spellStart"/>
      <w:r>
        <w:t>mosm</w:t>
      </w:r>
      <w:proofErr w:type="spellEnd"/>
      <w:r>
        <w:t xml:space="preserve">/kg och ska inte ges perifert. Texten i anvisningsrutan är ett stöd vid start av ordination för val av lämplig volym beroende på patientens kaloribehov. Tillsatser av vatten </w:t>
      </w:r>
      <w:r w:rsidRPr="00184944">
        <w:t>(</w:t>
      </w:r>
      <w:proofErr w:type="spellStart"/>
      <w:r w:rsidRPr="00184944">
        <w:t>Soluvit</w:t>
      </w:r>
      <w:proofErr w:type="spellEnd"/>
      <w:r w:rsidRPr="00184944">
        <w:t>)- respektive fettlösliga (Vitalipid) vitaminer samt spårämnen (</w:t>
      </w:r>
      <w:proofErr w:type="spellStart"/>
      <w:r w:rsidRPr="00184944">
        <w:t>Addaven</w:t>
      </w:r>
      <w:proofErr w:type="spellEnd"/>
      <w:r w:rsidRPr="00184944">
        <w:t>)</w:t>
      </w:r>
      <w:r>
        <w:t xml:space="preserve"> är inkluderade i ordinationen men kan vid behov sättas ut. Stödtexten i anvisningsrutan bör ändras till det som är aktuellt för ordinationen t.ex. inför hemgång. </w:t>
      </w:r>
    </w:p>
    <w:p w14:paraId="446607B7" w14:textId="5EAD6448" w:rsidR="0076188D" w:rsidRPr="005218AA" w:rsidRDefault="0076188D" w:rsidP="00184944">
      <w:pPr>
        <w:pStyle w:val="Punktlista"/>
        <w:numPr>
          <w:ilvl w:val="0"/>
          <w:numId w:val="0"/>
        </w:numPr>
        <w:ind w:left="1077"/>
      </w:pPr>
    </w:p>
    <w:p w14:paraId="014BEBDC" w14:textId="1A31EF45" w:rsidR="009A32ED" w:rsidRDefault="00184944" w:rsidP="009A32ED">
      <w:pPr>
        <w:pStyle w:val="Beskrivning"/>
        <w:keepNext/>
      </w:pPr>
      <w:r>
        <w:t>Figur 1 Mallen ”</w:t>
      </w:r>
      <w:proofErr w:type="spellStart"/>
      <w:r>
        <w:t>smofkabiven</w:t>
      </w:r>
      <w:proofErr w:type="spellEnd"/>
      <w:r>
        <w:t xml:space="preserve"> central” är volymen 986 ml vald och ändras till lämplig volym beroende på kaloribehov.  </w:t>
      </w:r>
    </w:p>
    <w:tbl>
      <w:tblPr>
        <w:tblStyle w:val="Tabellrutnt"/>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bottom w:w="57" w:type="dxa"/>
        </w:tblCellMar>
        <w:tblLook w:val="04A0" w:firstRow="1" w:lastRow="0" w:firstColumn="1" w:lastColumn="0" w:noHBand="0" w:noVBand="1"/>
      </w:tblPr>
      <w:tblGrid>
        <w:gridCol w:w="8362"/>
      </w:tblGrid>
      <w:tr w:rsidR="00184944" w14:paraId="795B34A2" w14:textId="77777777" w:rsidTr="00FE5457">
        <w:trPr>
          <w:tblHeader/>
        </w:trPr>
        <w:tc>
          <w:tcPr>
            <w:tcW w:w="8352" w:type="dxa"/>
            <w:vAlign w:val="center"/>
          </w:tcPr>
          <w:p w14:paraId="47614076" w14:textId="77777777" w:rsidR="00184944" w:rsidRDefault="00184944" w:rsidP="0055266A">
            <w:pPr>
              <w:pStyle w:val="Tabell"/>
              <w:rPr>
                <w:noProof/>
              </w:rPr>
            </w:pPr>
          </w:p>
          <w:p w14:paraId="5F592131" w14:textId="023BB37C" w:rsidR="00184944" w:rsidRDefault="00184944" w:rsidP="0055266A">
            <w:pPr>
              <w:pStyle w:val="Tabell"/>
            </w:pPr>
            <w:r>
              <w:rPr>
                <w:noProof/>
              </w:rPr>
              <w:drawing>
                <wp:inline distT="0" distB="0" distL="0" distR="0" wp14:anchorId="0E709700" wp14:editId="0D9717B7">
                  <wp:extent cx="5669915" cy="1283970"/>
                  <wp:effectExtent l="0" t="0" r="6985" b="0"/>
                  <wp:docPr id="1096159361" name="Bildobjekt 1" descr="Bild som visar smofkabivencentral, läkemedelsordination i Mel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159361" name="Bildobjekt 1" descr="Bild som visar smofkabivencentral, läkemedelsordination i Melior"/>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5669915" cy="1283970"/>
                          </a:xfrm>
                          <a:prstGeom prst="rect">
                            <a:avLst/>
                          </a:prstGeom>
                          <a:noFill/>
                          <a:ln>
                            <a:noFill/>
                          </a:ln>
                        </pic:spPr>
                      </pic:pic>
                    </a:graphicData>
                  </a:graphic>
                </wp:inline>
              </w:drawing>
            </w:r>
          </w:p>
        </w:tc>
      </w:tr>
    </w:tbl>
    <w:p w14:paraId="660EFC8D" w14:textId="77777777" w:rsidR="008C06A2" w:rsidRDefault="008C06A2" w:rsidP="00184944">
      <w:pPr>
        <w:pStyle w:val="Beskrivning"/>
        <w:keepNext/>
      </w:pPr>
    </w:p>
    <w:p w14:paraId="2E0B3700" w14:textId="384077DD" w:rsidR="00FE5457" w:rsidRDefault="00184944" w:rsidP="00FE5457">
      <w:pPr>
        <w:pStyle w:val="Beskrivning"/>
        <w:keepNext/>
      </w:pPr>
      <w:r>
        <w:t xml:space="preserve">Figur </w:t>
      </w:r>
      <w:r w:rsidR="008C06A2">
        <w:t>2</w:t>
      </w:r>
      <w:r>
        <w:t xml:space="preserve"> Mallen ”</w:t>
      </w:r>
      <w:r w:rsidR="00B82E15" w:rsidRPr="00B82E15">
        <w:t xml:space="preserve"> </w:t>
      </w:r>
      <w:proofErr w:type="spellStart"/>
      <w:r w:rsidR="00B82E15" w:rsidRPr="00B82E15">
        <w:t>Smofkabiven</w:t>
      </w:r>
      <w:proofErr w:type="spellEnd"/>
      <w:r w:rsidR="00B82E15" w:rsidRPr="00B82E15">
        <w:t xml:space="preserve"> perifer” är volymen 1448 ml vald </w:t>
      </w:r>
      <w:proofErr w:type="spellStart"/>
      <w:r w:rsidR="00B82E15" w:rsidRPr="00B82E15">
        <w:t>vald</w:t>
      </w:r>
      <w:proofErr w:type="spellEnd"/>
      <w:r w:rsidR="00B82E15" w:rsidRPr="00B82E15">
        <w:t xml:space="preserve"> och ändras till lämplig volym beroende på kaloribehov.</w:t>
      </w:r>
    </w:p>
    <w:tbl>
      <w:tblPr>
        <w:tblStyle w:val="Tabellrutnt"/>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2"/>
      </w:tblGrid>
      <w:tr w:rsidR="00FE5457" w14:paraId="49131353" w14:textId="77777777" w:rsidTr="00FE5457">
        <w:tc>
          <w:tcPr>
            <w:tcW w:w="8919" w:type="dxa"/>
          </w:tcPr>
          <w:p w14:paraId="4A160037" w14:textId="5E6F3B72" w:rsidR="00FE5457" w:rsidRDefault="00FE5457" w:rsidP="009A32ED">
            <w:pPr>
              <w:pStyle w:val="Normalefterlista"/>
              <w:ind w:left="0"/>
            </w:pPr>
            <w:r>
              <w:rPr>
                <w:noProof/>
              </w:rPr>
              <w:drawing>
                <wp:inline distT="0" distB="0" distL="0" distR="0" wp14:anchorId="6C487AB9" wp14:editId="1394BDBF">
                  <wp:extent cx="5669915" cy="1301750"/>
                  <wp:effectExtent l="0" t="0" r="6985" b="0"/>
                  <wp:docPr id="1614587788" name="Bildobjekt 2" descr="Bild som visar smofkabivencentral, läkemedelsordination i Mel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587788" name="Bildobjekt 2" descr="Bild som visar smofkabivencentral, läkemedelsordination i Melior"/>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5669915" cy="1301750"/>
                          </a:xfrm>
                          <a:prstGeom prst="rect">
                            <a:avLst/>
                          </a:prstGeom>
                          <a:noFill/>
                          <a:ln>
                            <a:noFill/>
                          </a:ln>
                        </pic:spPr>
                      </pic:pic>
                    </a:graphicData>
                  </a:graphic>
                </wp:inline>
              </w:drawing>
            </w:r>
          </w:p>
        </w:tc>
      </w:tr>
    </w:tbl>
    <w:p w14:paraId="7B8F9DF2" w14:textId="1B34B1C0" w:rsidR="00FE5457" w:rsidRPr="00FE5457" w:rsidRDefault="00FE5457" w:rsidP="00FE5457">
      <w:pPr>
        <w:pStyle w:val="Rubrik3"/>
      </w:pPr>
      <w:bookmarkStart w:id="17" w:name="_Vid_undernäring_och"/>
      <w:bookmarkStart w:id="18" w:name="_Toc212712559"/>
      <w:bookmarkEnd w:id="17"/>
      <w:r>
        <w:lastRenderedPageBreak/>
        <w:t xml:space="preserve">Vid undernäring och risk för </w:t>
      </w:r>
      <w:proofErr w:type="spellStart"/>
      <w:r>
        <w:t>refeeding</w:t>
      </w:r>
      <w:proofErr w:type="spellEnd"/>
      <w:r>
        <w:t xml:space="preserve"> syndrom</w:t>
      </w:r>
      <w:bookmarkEnd w:id="18"/>
    </w:p>
    <w:p w14:paraId="736D6DA3" w14:textId="77777777" w:rsidR="00FE5457" w:rsidRDefault="00FE5457" w:rsidP="009A32ED">
      <w:pPr>
        <w:pStyle w:val="Normalefterlista"/>
      </w:pPr>
      <w:r w:rsidRPr="00FE5457">
        <w:t xml:space="preserve">I kroppens celler omsätts glukos med hjälp av framför allt tiamin (vitamin B1) och brister vid glukostillförsel kan yttra sig i olika symtom inom benämningen beriberi. Beriberi yttrar sig med rubbningar i nervsystem, hjärta och digestionsorgan samt delas in i “våt” och “torr” form. Vid våt form sker ofta en ansamling av vätska till följd av hjärtfunktion och vid torr form sker en avmagring och nedbrytning av kroppens vävnader. De organ som har en hög kolhydratomsättning drabbas hårdast av en tiaminbrist [7]. Som ett steg, och vid total brist på tiamin, kan patienten drabbas av </w:t>
      </w:r>
      <w:proofErr w:type="spellStart"/>
      <w:r w:rsidRPr="00FE5457">
        <w:t>Wernicke</w:t>
      </w:r>
      <w:proofErr w:type="spellEnd"/>
      <w:r w:rsidRPr="00FE5457">
        <w:t>-Korsakoffs syndrom, som för patienten kan vara livshotande. Brist på tiamin är vanligt hos undernärda patienter och/eller vid alkoholmissbruk.</w:t>
      </w:r>
    </w:p>
    <w:p w14:paraId="714D81E6" w14:textId="77777777" w:rsidR="00FE5457" w:rsidRDefault="00FE5457" w:rsidP="009A32ED">
      <w:pPr>
        <w:pStyle w:val="Normalefterlista"/>
      </w:pPr>
      <w:r w:rsidRPr="00FE5457">
        <w:t>Vid svår undernäring, långvarig svält eller fasta samt för kritiskt sjuka individer, är det högre risk för metabol överbelastning (</w:t>
      </w:r>
      <w:proofErr w:type="spellStart"/>
      <w:r w:rsidRPr="00FE5457">
        <w:t>refeeding</w:t>
      </w:r>
      <w:proofErr w:type="spellEnd"/>
      <w:r w:rsidRPr="00FE5457">
        <w:t xml:space="preserve"> syndrom). Detta är ett tillstånd som kan uppstå om undernärda/kritiskt sjuka personer ges mer näring än vad vävnaderna förmår </w:t>
      </w:r>
      <w:proofErr w:type="spellStart"/>
      <w:r w:rsidRPr="00FE5457">
        <w:t>metabolisera</w:t>
      </w:r>
      <w:proofErr w:type="spellEnd"/>
      <w:r w:rsidRPr="00FE5457">
        <w:t xml:space="preserve">. Tillståndet kan vara livshotande. Störst är risken vid parenteral tillförsel. Observera att även en överviktig person kan vara undernärd. Bedöm alltid risk för </w:t>
      </w:r>
      <w:proofErr w:type="spellStart"/>
      <w:r w:rsidRPr="00FE5457">
        <w:t>refeeding</w:t>
      </w:r>
      <w:proofErr w:type="spellEnd"/>
      <w:r w:rsidRPr="00FE5457">
        <w:t xml:space="preserve"> syndrom inför uppstart med PN. </w:t>
      </w:r>
    </w:p>
    <w:p w14:paraId="599C7E16" w14:textId="77777777" w:rsidR="00C17238" w:rsidRPr="00C17238" w:rsidRDefault="00C17238" w:rsidP="00C17238"/>
    <w:p w14:paraId="31043E30" w14:textId="272FD6BB" w:rsidR="009A32ED" w:rsidRDefault="00FE5457" w:rsidP="00FE5457">
      <w:pPr>
        <w:pStyle w:val="Beskrivning"/>
        <w:keepNext/>
      </w:pPr>
      <w:r w:rsidRPr="00FE5457">
        <w:t xml:space="preserve">Tabell 1. Kriterier för bedömning avseende risk för </w:t>
      </w:r>
      <w:proofErr w:type="spellStart"/>
      <w:r w:rsidRPr="00FE5457">
        <w:t>refeeding</w:t>
      </w:r>
      <w:proofErr w:type="spellEnd"/>
      <w:r w:rsidRPr="00FE5457">
        <w:t xml:space="preserve"> syndrom [8]</w:t>
      </w:r>
    </w:p>
    <w:tbl>
      <w:tblPr>
        <w:tblStyle w:val="Tabellrutnt"/>
        <w:tblW w:w="0" w:type="auto"/>
        <w:tblInd w:w="567" w:type="dxa"/>
        <w:tblLook w:val="04A0" w:firstRow="1" w:lastRow="0" w:firstColumn="1" w:lastColumn="0" w:noHBand="0" w:noVBand="1"/>
      </w:tblPr>
      <w:tblGrid>
        <w:gridCol w:w="1696"/>
        <w:gridCol w:w="3402"/>
        <w:gridCol w:w="3254"/>
      </w:tblGrid>
      <w:tr w:rsidR="00FE5457" w14:paraId="15993DE7" w14:textId="77777777" w:rsidTr="00C17238">
        <w:tc>
          <w:tcPr>
            <w:tcW w:w="1696" w:type="dxa"/>
          </w:tcPr>
          <w:p w14:paraId="7C95DF08" w14:textId="77777777" w:rsidR="00FE5457" w:rsidRDefault="00FE5457" w:rsidP="00C17238">
            <w:pPr>
              <w:pStyle w:val="Tabellrubriker"/>
            </w:pPr>
          </w:p>
        </w:tc>
        <w:tc>
          <w:tcPr>
            <w:tcW w:w="3402" w:type="dxa"/>
          </w:tcPr>
          <w:p w14:paraId="1C9A3955" w14:textId="36096243" w:rsidR="00FE5457" w:rsidRDefault="00FE5457" w:rsidP="00C17238">
            <w:pPr>
              <w:pStyle w:val="Tabellrubriker"/>
            </w:pPr>
            <w:r>
              <w:t>Minst ett av följande kriterier</w:t>
            </w:r>
          </w:p>
        </w:tc>
        <w:tc>
          <w:tcPr>
            <w:tcW w:w="3254" w:type="dxa"/>
          </w:tcPr>
          <w:p w14:paraId="63963C6E" w14:textId="6A4E5CD7" w:rsidR="00FE5457" w:rsidRDefault="00FE5457" w:rsidP="00C17238">
            <w:pPr>
              <w:pStyle w:val="Tabellrubriker"/>
            </w:pPr>
            <w:r>
              <w:t>Minst två av följande kriterier</w:t>
            </w:r>
          </w:p>
        </w:tc>
      </w:tr>
      <w:tr w:rsidR="00FE5457" w14:paraId="6CADDD6F" w14:textId="77777777" w:rsidTr="00C17238">
        <w:tc>
          <w:tcPr>
            <w:tcW w:w="1696" w:type="dxa"/>
          </w:tcPr>
          <w:p w14:paraId="32E876A6" w14:textId="38DFB278" w:rsidR="00FE5457" w:rsidRPr="00C17238" w:rsidRDefault="00FE5457" w:rsidP="00FE5457">
            <w:pPr>
              <w:pStyle w:val="Tabell"/>
              <w:rPr>
                <w:b/>
                <w:bCs/>
              </w:rPr>
            </w:pPr>
            <w:r w:rsidRPr="00C17238">
              <w:rPr>
                <w:b/>
                <w:bCs/>
              </w:rPr>
              <w:t>BMI</w:t>
            </w:r>
          </w:p>
        </w:tc>
        <w:tc>
          <w:tcPr>
            <w:tcW w:w="3402" w:type="dxa"/>
          </w:tcPr>
          <w:p w14:paraId="1B1C8CD5" w14:textId="507AFF85" w:rsidR="00FE5457" w:rsidRDefault="00FE5457" w:rsidP="00FE5457">
            <w:pPr>
              <w:pStyle w:val="Tabell"/>
            </w:pPr>
            <w:r>
              <w:t>&lt;16 kg/m2</w:t>
            </w:r>
          </w:p>
        </w:tc>
        <w:tc>
          <w:tcPr>
            <w:tcW w:w="3254" w:type="dxa"/>
          </w:tcPr>
          <w:p w14:paraId="315388A5" w14:textId="610958F5" w:rsidR="00FE5457" w:rsidRDefault="00FE5457" w:rsidP="00FE5457">
            <w:pPr>
              <w:pStyle w:val="Tabell"/>
            </w:pPr>
            <w:r>
              <w:t>BMI &lt;18,5 kg/m2</w:t>
            </w:r>
          </w:p>
        </w:tc>
      </w:tr>
      <w:tr w:rsidR="00FE5457" w14:paraId="697E066D" w14:textId="77777777" w:rsidTr="00C17238">
        <w:tc>
          <w:tcPr>
            <w:tcW w:w="1696" w:type="dxa"/>
          </w:tcPr>
          <w:p w14:paraId="6514CDB4" w14:textId="3F97EE4C" w:rsidR="00FE5457" w:rsidRPr="00C17238" w:rsidRDefault="00FE5457" w:rsidP="00FE5457">
            <w:pPr>
              <w:pStyle w:val="Tabell"/>
              <w:rPr>
                <w:b/>
                <w:bCs/>
              </w:rPr>
            </w:pPr>
            <w:r w:rsidRPr="00C17238">
              <w:rPr>
                <w:b/>
                <w:bCs/>
              </w:rPr>
              <w:t>Viktförlust</w:t>
            </w:r>
          </w:p>
        </w:tc>
        <w:tc>
          <w:tcPr>
            <w:tcW w:w="3402" w:type="dxa"/>
          </w:tcPr>
          <w:p w14:paraId="6A245F42" w14:textId="0EB087F1" w:rsidR="00FE5457" w:rsidRDefault="00FE5457" w:rsidP="00FE5457">
            <w:pPr>
              <w:pStyle w:val="Tabell"/>
            </w:pPr>
            <w:r>
              <w:t>Oavsiktlig viktförlust &gt;15% senaste 3-6 månaderna</w:t>
            </w:r>
          </w:p>
        </w:tc>
        <w:tc>
          <w:tcPr>
            <w:tcW w:w="3254" w:type="dxa"/>
          </w:tcPr>
          <w:p w14:paraId="10676443" w14:textId="1CE611C7" w:rsidR="00FE5457" w:rsidRDefault="00FE5457" w:rsidP="00FE5457">
            <w:pPr>
              <w:pStyle w:val="Tabell"/>
            </w:pPr>
            <w:r>
              <w:t>Oavsiktlig viktförlust &gt;10 % senaste 3-6 månaderna</w:t>
            </w:r>
          </w:p>
        </w:tc>
      </w:tr>
      <w:tr w:rsidR="00FE5457" w14:paraId="448C113D" w14:textId="77777777" w:rsidTr="00C17238">
        <w:tc>
          <w:tcPr>
            <w:tcW w:w="1696" w:type="dxa"/>
          </w:tcPr>
          <w:p w14:paraId="22C96442" w14:textId="1726A923" w:rsidR="00FE5457" w:rsidRPr="00C17238" w:rsidRDefault="00FE5457" w:rsidP="00FE5457">
            <w:pPr>
              <w:pStyle w:val="Tabell"/>
              <w:rPr>
                <w:b/>
                <w:bCs/>
              </w:rPr>
            </w:pPr>
            <w:r w:rsidRPr="00C17238">
              <w:rPr>
                <w:b/>
                <w:bCs/>
              </w:rPr>
              <w:t>Svält</w:t>
            </w:r>
          </w:p>
        </w:tc>
        <w:tc>
          <w:tcPr>
            <w:tcW w:w="3402" w:type="dxa"/>
          </w:tcPr>
          <w:p w14:paraId="2317F798" w14:textId="19C5152B" w:rsidR="00FE5457" w:rsidRDefault="00FE5457" w:rsidP="00FE5457">
            <w:pPr>
              <w:pStyle w:val="Tabell"/>
            </w:pPr>
            <w:r>
              <w:t>Svält eller mycket litet intag &gt;10 dagar</w:t>
            </w:r>
          </w:p>
        </w:tc>
        <w:tc>
          <w:tcPr>
            <w:tcW w:w="3254" w:type="dxa"/>
          </w:tcPr>
          <w:p w14:paraId="69823DDC" w14:textId="0B7B24E3" w:rsidR="00FE5457" w:rsidRDefault="00FE5457" w:rsidP="00FE5457">
            <w:pPr>
              <w:pStyle w:val="Tabell"/>
            </w:pPr>
            <w:r>
              <w:t>Svält eller minimalt intag &gt;5 dagar</w:t>
            </w:r>
          </w:p>
        </w:tc>
      </w:tr>
      <w:tr w:rsidR="00FE5457" w14:paraId="2EDCDF99" w14:textId="77777777" w:rsidTr="00C17238">
        <w:tc>
          <w:tcPr>
            <w:tcW w:w="1696" w:type="dxa"/>
          </w:tcPr>
          <w:p w14:paraId="4C7E35B7" w14:textId="492B4DE3" w:rsidR="00FE5457" w:rsidRPr="00C17238" w:rsidRDefault="00FE5457" w:rsidP="00FE5457">
            <w:pPr>
              <w:pStyle w:val="Tabell"/>
              <w:rPr>
                <w:b/>
                <w:bCs/>
              </w:rPr>
            </w:pPr>
            <w:r w:rsidRPr="00C17238">
              <w:rPr>
                <w:b/>
                <w:bCs/>
              </w:rPr>
              <w:t>Övrigt</w:t>
            </w:r>
          </w:p>
        </w:tc>
        <w:tc>
          <w:tcPr>
            <w:tcW w:w="3402" w:type="dxa"/>
          </w:tcPr>
          <w:p w14:paraId="20DF7E2E" w14:textId="4F2CDD5E" w:rsidR="00FE5457" w:rsidRDefault="00FE5457" w:rsidP="00FE5457">
            <w:pPr>
              <w:pStyle w:val="Tabell"/>
            </w:pPr>
            <w:r>
              <w:t>Låga nivåer av kalium, fosfat eller magnesium före behandlingsstart med PN</w:t>
            </w:r>
          </w:p>
        </w:tc>
        <w:tc>
          <w:tcPr>
            <w:tcW w:w="3254" w:type="dxa"/>
          </w:tcPr>
          <w:p w14:paraId="61E864E1" w14:textId="7561E7F5" w:rsidR="00FE5457" w:rsidRDefault="00FE5457" w:rsidP="00FE5457">
            <w:pPr>
              <w:pStyle w:val="Tabell"/>
            </w:pPr>
            <w:r>
              <w:t xml:space="preserve">Alkohol och drogmissbruk eller behandling med insulin, kemoterapi eller </w:t>
            </w:r>
            <w:proofErr w:type="spellStart"/>
            <w:r>
              <w:t>diuretika</w:t>
            </w:r>
            <w:proofErr w:type="spellEnd"/>
          </w:p>
          <w:p w14:paraId="38F8763D" w14:textId="2B72FD08" w:rsidR="00FE5457" w:rsidRPr="00FE5457" w:rsidRDefault="00FE5457" w:rsidP="00FE5457">
            <w:pPr>
              <w:pStyle w:val="Tabell"/>
            </w:pPr>
            <w:r>
              <w:tab/>
            </w:r>
          </w:p>
        </w:tc>
      </w:tr>
    </w:tbl>
    <w:p w14:paraId="2E3B64EF" w14:textId="77777777" w:rsidR="00FE5457" w:rsidRDefault="00FE5457" w:rsidP="00FE5457"/>
    <w:p w14:paraId="31E52413" w14:textId="2D7599AD" w:rsidR="00923AEB" w:rsidRDefault="00923AEB" w:rsidP="00923AEB">
      <w:pPr>
        <w:pStyle w:val="MellanrubrikVGR"/>
      </w:pPr>
      <w:r>
        <w:lastRenderedPageBreak/>
        <w:t xml:space="preserve">Substituering tiamin vid hög risk för </w:t>
      </w:r>
      <w:proofErr w:type="spellStart"/>
      <w:r>
        <w:t>refeeding</w:t>
      </w:r>
      <w:proofErr w:type="spellEnd"/>
      <w:r>
        <w:t xml:space="preserve"> syndrom</w:t>
      </w:r>
    </w:p>
    <w:p w14:paraId="11566B52" w14:textId="77777777" w:rsidR="00923AEB" w:rsidRDefault="00923AEB" w:rsidP="00923AEB">
      <w:r>
        <w:t xml:space="preserve">Vid bedömd hög risk för </w:t>
      </w:r>
      <w:proofErr w:type="spellStart"/>
      <w:r>
        <w:t>refeeding</w:t>
      </w:r>
      <w:proofErr w:type="spellEnd"/>
      <w:r>
        <w:t xml:space="preserve"> syndrom bör substituering med tiamin ske. Påbörja behandling före start av PN eller glukosdropp och fortsätt under vårdtiden. Tiamin fungerar även som profylaxbehandling mot beriberi och </w:t>
      </w:r>
      <w:proofErr w:type="spellStart"/>
      <w:r>
        <w:t>Wernicke</w:t>
      </w:r>
      <w:proofErr w:type="spellEnd"/>
      <w:r>
        <w:t>-Korsakoffs syndrom samt för att möjliggöra upptag av tillförd energi.</w:t>
      </w:r>
    </w:p>
    <w:p w14:paraId="6903171D" w14:textId="30F557D5" w:rsidR="00923AEB" w:rsidRDefault="00923AEB" w:rsidP="00923AEB">
      <w:r>
        <w:t>”</w:t>
      </w:r>
      <w:proofErr w:type="spellStart"/>
      <w:r>
        <w:t>Thiamine</w:t>
      </w:r>
      <w:proofErr w:type="spellEnd"/>
      <w:r>
        <w:t xml:space="preserve"> </w:t>
      </w:r>
      <w:proofErr w:type="spellStart"/>
      <w:r>
        <w:t>Sterop</w:t>
      </w:r>
      <w:proofErr w:type="spellEnd"/>
      <w:r>
        <w:t xml:space="preserve"> 125 mg/</w:t>
      </w:r>
      <w:proofErr w:type="spellStart"/>
      <w:r>
        <w:t>mL</w:t>
      </w:r>
      <w:proofErr w:type="spellEnd"/>
      <w:r>
        <w:t xml:space="preserve"> x 2 ml x 1 </w:t>
      </w:r>
      <w:proofErr w:type="spellStart"/>
      <w:r>
        <w:t>st</w:t>
      </w:r>
      <w:proofErr w:type="spellEnd"/>
      <w:r>
        <w:t xml:space="preserve"> =250 mg 1 gång dagligen i ca 5 dygn parenteralt (intravenöst eller intramuskulärt). Första dosen ges före nutritionsbehandlingen. Därefter ges om möjligt peroral substitution. Se </w:t>
      </w:r>
      <w:hyperlink r:id="rId22" w:history="1">
        <w:r w:rsidRPr="00923AEB">
          <w:rPr>
            <w:rStyle w:val="Hyperlnk"/>
          </w:rPr>
          <w:t>terapiråd Tiaminbehandling vid alkoholabstinens - malnutrition.”</w:t>
        </w:r>
      </w:hyperlink>
    </w:p>
    <w:p w14:paraId="4C89FF9D" w14:textId="2E9B9367" w:rsidR="00923AEB" w:rsidRDefault="00923AEB" w:rsidP="00923AEB">
      <w:pPr>
        <w:pStyle w:val="Rubrik3"/>
      </w:pPr>
      <w:bookmarkStart w:id="19" w:name="_Energibehov"/>
      <w:bookmarkStart w:id="20" w:name="_Toc212712560"/>
      <w:bookmarkEnd w:id="19"/>
      <w:r>
        <w:t>Energibehov</w:t>
      </w:r>
      <w:bookmarkEnd w:id="20"/>
    </w:p>
    <w:p w14:paraId="43C1B51C" w14:textId="2921C259" w:rsidR="00923AEB" w:rsidRDefault="00923AEB" w:rsidP="00923AEB">
      <w:r w:rsidRPr="00923AEB">
        <w:t>Vid total parenteral nutrition (TPN) står näringstillförseln för mer än 75% av patientens energibehov. Vid TPN estimeras patientens totala energibehov vid full upptrappning enligt följande:</w:t>
      </w:r>
    </w:p>
    <w:p w14:paraId="4B63F7D0" w14:textId="36CB716C" w:rsidR="00923AEB" w:rsidRDefault="00923AEB" w:rsidP="00923AEB">
      <w:pPr>
        <w:pStyle w:val="Punktlista"/>
      </w:pPr>
      <w:r>
        <w:t>För alla patienter (gäller både vid under- och normalvikt): 25 kcal/kg/dygn.</w:t>
      </w:r>
    </w:p>
    <w:p w14:paraId="49883AAE" w14:textId="774E39AD" w:rsidR="00923AEB" w:rsidRDefault="00923AEB" w:rsidP="00923AEB">
      <w:pPr>
        <w:pStyle w:val="Punktlista"/>
      </w:pPr>
      <w:r>
        <w:t>Vid övervikt: beräkna patientens vikt vid BMI 25 och multiplicera med 25 kcal/kg/dygn.</w:t>
      </w:r>
    </w:p>
    <w:p w14:paraId="5EC61E55" w14:textId="7CC8D476" w:rsidR="00923AEB" w:rsidRDefault="00923AEB" w:rsidP="00923AEB">
      <w:r w:rsidRPr="00923AEB">
        <w:t xml:space="preserve">Vid stödjande parenteral nutrition (SPN) fungerar näringstillförseln som ett komplement till peroralt intag och/eller </w:t>
      </w:r>
      <w:proofErr w:type="spellStart"/>
      <w:r w:rsidRPr="00923AEB">
        <w:t>enteral</w:t>
      </w:r>
      <w:proofErr w:type="spellEnd"/>
      <w:r w:rsidRPr="00923AEB">
        <w:t xml:space="preserve"> nutrition (sondmatning).</w:t>
      </w:r>
      <w:r>
        <w:t xml:space="preserve"> </w:t>
      </w:r>
    </w:p>
    <w:p w14:paraId="6F6F93B1" w14:textId="12C4A51F" w:rsidR="00923AEB" w:rsidRDefault="00923AEB" w:rsidP="00923AEB">
      <w:r>
        <w:t xml:space="preserve">Energibehovet </w:t>
      </w:r>
      <w:r w:rsidR="00D44D17">
        <w:t>estimeras</w:t>
      </w:r>
      <w:r>
        <w:t xml:space="preserve"> enligt följande:</w:t>
      </w:r>
    </w:p>
    <w:p w14:paraId="2D121BB8" w14:textId="67E68D0A" w:rsidR="00923AEB" w:rsidRDefault="00D44D17" w:rsidP="00923AEB">
      <w:pPr>
        <w:pStyle w:val="Punktlista"/>
      </w:pPr>
      <w:r>
        <w:t>Sängliggande: 25 kcal/kg/dygn</w:t>
      </w:r>
    </w:p>
    <w:p w14:paraId="1021612E" w14:textId="2F3CC2EB" w:rsidR="00D44D17" w:rsidRDefault="00D44D17" w:rsidP="00923AEB">
      <w:pPr>
        <w:pStyle w:val="Punktlista"/>
      </w:pPr>
      <w:r>
        <w:t>Uppegående: 30 kcal/kg/dygn</w:t>
      </w:r>
    </w:p>
    <w:p w14:paraId="4B33A87E" w14:textId="494ABB24" w:rsidR="00D44D17" w:rsidRDefault="00D44D17" w:rsidP="00923AEB">
      <w:pPr>
        <w:pStyle w:val="Punktlista"/>
      </w:pPr>
      <w:r>
        <w:t xml:space="preserve">Vid övervikt: beräkna patientens vikt vid BMI 25 och multiplicera med </w:t>
      </w:r>
      <w:r w:rsidR="00130034">
        <w:t>25–30</w:t>
      </w:r>
      <w:r>
        <w:t xml:space="preserve"> kcal/kg/dygn. </w:t>
      </w:r>
    </w:p>
    <w:p w14:paraId="0E9AAB36" w14:textId="60703CAF" w:rsidR="00923AEB" w:rsidRDefault="00D44D17" w:rsidP="00923AEB">
      <w:r>
        <w:t xml:space="preserve">Mat-och vätskeregistrering rekommenderas för att bedöma hur stor del av det totala </w:t>
      </w:r>
      <w:r w:rsidR="00130034">
        <w:t>energibehovet</w:t>
      </w:r>
      <w:r>
        <w:t xml:space="preserve"> som täcks via peroralt intag. </w:t>
      </w:r>
    </w:p>
    <w:p w14:paraId="31488824" w14:textId="28B50B4D" w:rsidR="00D44D17" w:rsidRDefault="00D44D17" w:rsidP="00D44D17">
      <w:pPr>
        <w:pStyle w:val="Rubrik3"/>
      </w:pPr>
      <w:bookmarkStart w:id="21" w:name="_Toc212712561"/>
      <w:r>
        <w:lastRenderedPageBreak/>
        <w:t>Uppstart och upptrappning PN</w:t>
      </w:r>
      <w:bookmarkEnd w:id="21"/>
    </w:p>
    <w:p w14:paraId="64AE465D" w14:textId="5D73DE49" w:rsidR="00D44D17" w:rsidRDefault="00D44D17" w:rsidP="00923AEB">
      <w:r w:rsidRPr="00D44D17">
        <w:t xml:space="preserve">Vid vissa tillstånd och utifrån eventuell bedömd risk för </w:t>
      </w:r>
      <w:proofErr w:type="spellStart"/>
      <w:r w:rsidRPr="00D44D17">
        <w:t>refeeding</w:t>
      </w:r>
      <w:proofErr w:type="spellEnd"/>
      <w:r w:rsidRPr="00D44D17">
        <w:t xml:space="preserve"> syndrom, behöver energimängden trappas upp gradvis enligt följande:</w:t>
      </w:r>
    </w:p>
    <w:p w14:paraId="47D94513" w14:textId="28FD8E0A" w:rsidR="00923AEB" w:rsidRPr="00D44D17" w:rsidRDefault="00D44D17" w:rsidP="00D44D17">
      <w:pPr>
        <w:pStyle w:val="Punktlista"/>
        <w:rPr>
          <w:b/>
          <w:bCs/>
        </w:rPr>
      </w:pPr>
      <w:r w:rsidRPr="00D44D17">
        <w:rPr>
          <w:b/>
          <w:bCs/>
        </w:rPr>
        <w:t>Vid hög risk för ”</w:t>
      </w:r>
      <w:proofErr w:type="spellStart"/>
      <w:r w:rsidRPr="00D44D17">
        <w:rPr>
          <w:b/>
          <w:bCs/>
        </w:rPr>
        <w:t>refeeding</w:t>
      </w:r>
      <w:proofErr w:type="spellEnd"/>
      <w:r w:rsidRPr="00D44D17">
        <w:rPr>
          <w:b/>
          <w:bCs/>
        </w:rPr>
        <w:t xml:space="preserve"> syndrom”</w:t>
      </w:r>
    </w:p>
    <w:p w14:paraId="534F3C59" w14:textId="1A07BD0C" w:rsidR="00D44D17" w:rsidRDefault="00D44D17" w:rsidP="00D44D17">
      <w:pPr>
        <w:pStyle w:val="Punktlista"/>
        <w:numPr>
          <w:ilvl w:val="0"/>
          <w:numId w:val="0"/>
        </w:numPr>
        <w:ind w:left="1712"/>
      </w:pPr>
      <w:r>
        <w:t xml:space="preserve">Starta med cirka </w:t>
      </w:r>
      <w:r w:rsidRPr="00D44D17">
        <w:t>15 kcal/kg kroppsvikt/dygn. Vid allvarlig undernäring (BMI &lt;14 kg/m2), överväg ännu försiktigare start med 5–10 kcal/kg kroppsvikt/dygn. Öka dosen successivt under 3–7 dagar för att sedan täcka estimerat energibehov</w:t>
      </w:r>
      <w:r>
        <w:t>.</w:t>
      </w:r>
    </w:p>
    <w:p w14:paraId="03820102" w14:textId="38955F96" w:rsidR="00D44D17" w:rsidRDefault="00D44D17" w:rsidP="00D44D17">
      <w:pPr>
        <w:pStyle w:val="Punktlista"/>
      </w:pPr>
      <w:r w:rsidRPr="00D44D17">
        <w:rPr>
          <w:b/>
          <w:bCs/>
        </w:rPr>
        <w:t>Kritiskt sjuka patienter:</w:t>
      </w:r>
      <w:r>
        <w:br/>
        <w:t xml:space="preserve">Starta </w:t>
      </w:r>
      <w:proofErr w:type="spellStart"/>
      <w:r>
        <w:t>med</w:t>
      </w:r>
      <w:r w:rsidRPr="00D44D17">
        <w:t>cirka</w:t>
      </w:r>
      <w:proofErr w:type="spellEnd"/>
      <w:r w:rsidRPr="00D44D17">
        <w:t xml:space="preserve"> 15–20 kcal/kg kroppsvikt/dygn. Ju mer metabolt stressad patient (stor kirurgi, komplikationer, feber etc.), desto lägre dos. Öka dosen successivt när tillståndet förbättras för att sedan täcka estimerat</w:t>
      </w:r>
      <w:r w:rsidR="00130034">
        <w:t xml:space="preserve"> energibehov</w:t>
      </w:r>
      <w:r>
        <w:t>.</w:t>
      </w:r>
    </w:p>
    <w:p w14:paraId="72FFE0F8" w14:textId="77777777" w:rsidR="00D44D17" w:rsidRDefault="00D44D17" w:rsidP="00D44D17">
      <w:pPr>
        <w:pStyle w:val="Punktlista"/>
      </w:pPr>
      <w:r>
        <w:rPr>
          <w:b/>
          <w:bCs/>
        </w:rPr>
        <w:t>Stabil och välnärd patient, utan tidigare perioder av svält:</w:t>
      </w:r>
    </w:p>
    <w:p w14:paraId="78618A7C" w14:textId="16EC8CA7" w:rsidR="00D44D17" w:rsidRDefault="00D44D17" w:rsidP="00D44D17">
      <w:pPr>
        <w:pStyle w:val="Punktlista"/>
        <w:numPr>
          <w:ilvl w:val="0"/>
          <w:numId w:val="0"/>
        </w:numPr>
        <w:ind w:left="1712"/>
      </w:pPr>
      <w:r>
        <w:t xml:space="preserve">Starta   </w:t>
      </w:r>
      <w:r w:rsidRPr="00D44D17">
        <w:t>första dygnet med cirka 15–20 kcal/kg kroppsvikt/dygn, ge nästa dygn estimerat energibehov</w:t>
      </w:r>
      <w:r>
        <w:t xml:space="preserve">. </w:t>
      </w:r>
    </w:p>
    <w:p w14:paraId="12B9CBB7" w14:textId="4FB3E54B" w:rsidR="00923AEB" w:rsidRDefault="00D44D17" w:rsidP="00923AEB">
      <w:r>
        <w:t xml:space="preserve">Om parenteral nutrition förväntas att ges under en längre tid än 1 vecka rekommenderas central infart. </w:t>
      </w:r>
    </w:p>
    <w:p w14:paraId="48A0C219" w14:textId="34DF7AA7" w:rsidR="00D44D17" w:rsidRDefault="00D44D17" w:rsidP="00D44D17">
      <w:pPr>
        <w:pStyle w:val="Rubrik3"/>
      </w:pPr>
      <w:bookmarkStart w:id="22" w:name="_Toc212712562"/>
      <w:r>
        <w:t>Tillsatser</w:t>
      </w:r>
      <w:bookmarkEnd w:id="22"/>
    </w:p>
    <w:p w14:paraId="19FCA152" w14:textId="4A4D67CE" w:rsidR="00D44D17" w:rsidRDefault="00C33A0B" w:rsidP="00D44D17">
      <w:pPr>
        <w:pStyle w:val="Punktlista"/>
      </w:pPr>
      <w:r>
        <w:t>Vattenfettlösliga</w:t>
      </w:r>
      <w:r w:rsidR="00D44D17" w:rsidRPr="00D44D17">
        <w:t xml:space="preserve"> vitaminer samt spårämnen (</w:t>
      </w:r>
      <w:proofErr w:type="spellStart"/>
      <w:r w:rsidR="00D44D17" w:rsidRPr="00D44D17">
        <w:t>Soluvit</w:t>
      </w:r>
      <w:proofErr w:type="spellEnd"/>
      <w:r w:rsidR="00D44D17" w:rsidRPr="00D44D17">
        <w:t xml:space="preserve">, Vitalipid och </w:t>
      </w:r>
      <w:proofErr w:type="spellStart"/>
      <w:r w:rsidR="00D44D17" w:rsidRPr="00D44D17">
        <w:t>Addaven</w:t>
      </w:r>
      <w:proofErr w:type="spellEnd"/>
      <w:r w:rsidR="00D44D17" w:rsidRPr="00D44D17">
        <w:t>) tillsätts som standard till trekammarpåse (</w:t>
      </w:r>
      <w:proofErr w:type="spellStart"/>
      <w:r w:rsidR="00D44D17" w:rsidRPr="00D44D17">
        <w:t>SmofKabiven</w:t>
      </w:r>
      <w:proofErr w:type="spellEnd"/>
      <w:r w:rsidR="00D44D17" w:rsidRPr="00D44D17">
        <w:t>)</w:t>
      </w:r>
      <w:r w:rsidR="00D44D17">
        <w:t>.</w:t>
      </w:r>
    </w:p>
    <w:p w14:paraId="793EB16B" w14:textId="15E6726C" w:rsidR="00D44D17" w:rsidRDefault="00D44D17" w:rsidP="00D44D17">
      <w:pPr>
        <w:pStyle w:val="Punktlista"/>
      </w:pPr>
      <w:r>
        <w:t xml:space="preserve">Vid njursvikt </w:t>
      </w:r>
      <w:r w:rsidRPr="00D44D17">
        <w:t>eller nedsatt gallfunktion bör särskild hänsyn tas gällande tillsatser.</w:t>
      </w:r>
    </w:p>
    <w:p w14:paraId="4328BB06" w14:textId="1CE95C3E" w:rsidR="00D44D17" w:rsidRDefault="00D44D17" w:rsidP="00D44D17">
      <w:pPr>
        <w:pStyle w:val="Punktlista"/>
      </w:pPr>
      <w:r>
        <w:t xml:space="preserve">Vid förhöjda </w:t>
      </w:r>
      <w:r w:rsidRPr="00D44D17">
        <w:t xml:space="preserve">värden av </w:t>
      </w:r>
      <w:proofErr w:type="spellStart"/>
      <w:r w:rsidRPr="00D44D17">
        <w:t>bilirubin</w:t>
      </w:r>
      <w:proofErr w:type="spellEnd"/>
      <w:r w:rsidRPr="00D44D17">
        <w:t xml:space="preserve"> rekommenderas tillsats </w:t>
      </w:r>
      <w:proofErr w:type="spellStart"/>
      <w:r w:rsidRPr="00D44D17">
        <w:t>Addaven</w:t>
      </w:r>
      <w:proofErr w:type="spellEnd"/>
      <w:r w:rsidRPr="00D44D17">
        <w:t xml:space="preserve"> att halveras eller ges varannan dag.</w:t>
      </w:r>
    </w:p>
    <w:p w14:paraId="68B9F7DD" w14:textId="77777777" w:rsidR="00D44D17" w:rsidRDefault="00D44D17" w:rsidP="00D44D17">
      <w:pPr>
        <w:pStyle w:val="Rubrik3"/>
      </w:pPr>
    </w:p>
    <w:p w14:paraId="2095CEE3" w14:textId="0B27569C" w:rsidR="00D44D17" w:rsidRDefault="00D44D17" w:rsidP="00D44D17">
      <w:pPr>
        <w:pStyle w:val="Rubrik3"/>
      </w:pPr>
      <w:bookmarkStart w:id="23" w:name="_Toc212712563"/>
      <w:r>
        <w:t>Monitorering och provtagning</w:t>
      </w:r>
      <w:bookmarkEnd w:id="23"/>
    </w:p>
    <w:p w14:paraId="464D2715" w14:textId="11B02F16" w:rsidR="00D44D17" w:rsidRDefault="00C33A0B" w:rsidP="00D44D17">
      <w:pPr>
        <w:pStyle w:val="Punktlista"/>
      </w:pPr>
      <w:r>
        <w:t xml:space="preserve">Provtagning </w:t>
      </w:r>
      <w:r w:rsidRPr="00C33A0B">
        <w:t>Magnesium (P-Mg) och Fosfat (P-fosfat) tas inför fösta infusion samt dygn 1 efter påbörjad behandling, vid sjunkande och låga värden, följ dagliga prover tills värdena är stabiliserade. Provtagning sker i nära anslutning till avslutad infusion, förslagsvis efter 4 timmar</w:t>
      </w:r>
      <w:r>
        <w:t>.</w:t>
      </w:r>
    </w:p>
    <w:p w14:paraId="573D925A" w14:textId="45D57BE3" w:rsidR="00C33A0B" w:rsidRDefault="00C33A0B" w:rsidP="00D44D17">
      <w:pPr>
        <w:pStyle w:val="Punktlista"/>
      </w:pPr>
      <w:r>
        <w:t xml:space="preserve">P-Glukos </w:t>
      </w:r>
      <w:r w:rsidRPr="00C33A0B">
        <w:t xml:space="preserve">x 2 dagligen de första dygnen, förslagsvis inför och under pågående infusion. Vid förhöjda värden (&gt;10 </w:t>
      </w:r>
      <w:proofErr w:type="spellStart"/>
      <w:r w:rsidRPr="00C33A0B">
        <w:t>mmol</w:t>
      </w:r>
      <w:proofErr w:type="spellEnd"/>
      <w:r w:rsidRPr="00C33A0B">
        <w:t>/L) mät flera gånger per dygn och observera eventuellt ökat insulinbehov</w:t>
      </w:r>
      <w:r>
        <w:t>.</w:t>
      </w:r>
    </w:p>
    <w:p w14:paraId="2324162B" w14:textId="76A9BB0F" w:rsidR="00C33A0B" w:rsidRDefault="00C33A0B" w:rsidP="00D44D17">
      <w:pPr>
        <w:pStyle w:val="Punktlista"/>
      </w:pPr>
      <w:r>
        <w:t xml:space="preserve">Vikt </w:t>
      </w:r>
      <w:r w:rsidRPr="00C33A0B">
        <w:t>(initialt mått på vätskeretention) följs dagligen de första dygnen, sedan 2 gånger/vecka.</w:t>
      </w:r>
    </w:p>
    <w:p w14:paraId="3168397C" w14:textId="11E41148" w:rsidR="00C33A0B" w:rsidRDefault="006148D8" w:rsidP="00D44D17">
      <w:pPr>
        <w:pStyle w:val="Punktlista"/>
      </w:pPr>
      <w:r>
        <w:t xml:space="preserve">Övrig </w:t>
      </w:r>
      <w:r w:rsidRPr="006148D8">
        <w:t>provtagning elektrolytstatus såsom exempelvis P-Natrium, P-Kalium samt P-</w:t>
      </w:r>
      <w:proofErr w:type="spellStart"/>
      <w:r w:rsidRPr="006148D8">
        <w:t>kreatinin</w:t>
      </w:r>
      <w:proofErr w:type="spellEnd"/>
      <w:r w:rsidRPr="006148D8">
        <w:t>, P-urea samt P-triglycerider tas enligt behandlande läkares ordination</w:t>
      </w:r>
      <w:r>
        <w:t>.</w:t>
      </w:r>
    </w:p>
    <w:p w14:paraId="0CA8A5B5" w14:textId="3EDD24AB" w:rsidR="006148D8" w:rsidRDefault="006148D8" w:rsidP="00D44D17">
      <w:pPr>
        <w:pStyle w:val="Punktlista"/>
      </w:pPr>
      <w:r>
        <w:t>Leverstatus tas 1 gång/vecka.</w:t>
      </w:r>
    </w:p>
    <w:p w14:paraId="33AE0897" w14:textId="47A87281" w:rsidR="00D44D17" w:rsidRDefault="00A77C20" w:rsidP="00A77C20">
      <w:pPr>
        <w:pStyle w:val="Rubrik3"/>
      </w:pPr>
      <w:bookmarkStart w:id="24" w:name="_Toc212712564"/>
      <w:r>
        <w:t>Komplikationer under pågående behandling med PN</w:t>
      </w:r>
      <w:bookmarkEnd w:id="24"/>
    </w:p>
    <w:p w14:paraId="6B00D896" w14:textId="1A01D100" w:rsidR="00A77C20" w:rsidRDefault="008A0EF2" w:rsidP="008A0EF2">
      <w:pPr>
        <w:pStyle w:val="MellanrubrikVGR"/>
      </w:pPr>
      <w:proofErr w:type="spellStart"/>
      <w:r>
        <w:t>Refeeding</w:t>
      </w:r>
      <w:proofErr w:type="spellEnd"/>
      <w:r>
        <w:t xml:space="preserve"> syndrom</w:t>
      </w:r>
    </w:p>
    <w:p w14:paraId="5CC2F839" w14:textId="77777777" w:rsidR="008A0EF2" w:rsidRDefault="008A0EF2" w:rsidP="008A0EF2">
      <w:r>
        <w:t>Tecken på metabol överbelastning samt svårigheter för kroppen att ta upp tillförd energi via PN-infusion, kan vara stigande kroppstemperatur, vätskeretention, snabbt ökande vikt, bröstsmärta, lungödem, takykardi, arytmier, hög andningsfrekvens samt låga och sjunkande värden av kalium, fosfat och magnesium [8].</w:t>
      </w:r>
    </w:p>
    <w:p w14:paraId="05A8DBBC" w14:textId="635EDEFB" w:rsidR="008A0EF2" w:rsidRDefault="008A0EF2" w:rsidP="008A0EF2">
      <w:r>
        <w:t xml:space="preserve">Åtgärd som rekommenderas mot tecken på </w:t>
      </w:r>
      <w:proofErr w:type="spellStart"/>
      <w:r>
        <w:t>refeeding</w:t>
      </w:r>
      <w:proofErr w:type="spellEnd"/>
      <w:r>
        <w:t xml:space="preserve"> syndrom under pågående PN-behandling kan vara att sänka infusionshastighet, minska den totala mängden av tillförd näring via PN eller ge extra tiamin. Vid behov kan substituering av extra elektrolyter/mineraler behövas, se rubrik </w:t>
      </w:r>
      <w:hyperlink w:anchor="_Substituering_vid_behov" w:history="1">
        <w:r w:rsidRPr="00130034">
          <w:rPr>
            <w:rStyle w:val="Hyperlnk"/>
          </w:rPr>
          <w:t>Substituering vid behov.</w:t>
        </w:r>
      </w:hyperlink>
      <w:r>
        <w:t xml:space="preserve"> Rekommenderat är att kontakta läkare eller dietist vid eventuell </w:t>
      </w:r>
      <w:proofErr w:type="spellStart"/>
      <w:r>
        <w:t>refeeding</w:t>
      </w:r>
      <w:proofErr w:type="spellEnd"/>
      <w:r>
        <w:t xml:space="preserve"> syndrom.</w:t>
      </w:r>
    </w:p>
    <w:p w14:paraId="73DE272B" w14:textId="65720495" w:rsidR="008A0EF2" w:rsidRDefault="008A0EF2" w:rsidP="008A0EF2">
      <w:pPr>
        <w:pStyle w:val="MellanrubrikVGR"/>
      </w:pPr>
      <w:r>
        <w:lastRenderedPageBreak/>
        <w:t>Illamående och huvudvärk</w:t>
      </w:r>
    </w:p>
    <w:p w14:paraId="46511424" w14:textId="77777777" w:rsidR="008A0EF2" w:rsidRDefault="008A0EF2" w:rsidP="008A0EF2">
      <w:r>
        <w:t>Uppkommer ibland om infusionshastigheten är för snabb eller om tillförd energi är för hög i förhållande till behov. Kan också vara tecken på tiaminbrist.</w:t>
      </w:r>
    </w:p>
    <w:p w14:paraId="456A7776" w14:textId="2F7E882A" w:rsidR="008A0EF2" w:rsidRDefault="008A0EF2" w:rsidP="008A0EF2">
      <w:r>
        <w:t>Åtgärder som rekommenderas är att eventuellt sänka infusionshastighet, eventuellt justera mängd energi som tillförs eller överväga extra tiamin. Kontakta ansvarig läkare eller dietist.</w:t>
      </w:r>
    </w:p>
    <w:p w14:paraId="5F2822DF" w14:textId="3A2B8507" w:rsidR="008A0EF2" w:rsidRDefault="008A0EF2" w:rsidP="008A0EF2">
      <w:pPr>
        <w:pStyle w:val="MellanrubrikVGR"/>
      </w:pPr>
      <w:r>
        <w:t>Leverpåverkan</w:t>
      </w:r>
    </w:p>
    <w:p w14:paraId="06AE6787" w14:textId="6E5931B1" w:rsidR="008A0EF2" w:rsidRDefault="008A0EF2" w:rsidP="008A0EF2">
      <w:r w:rsidRPr="008A0EF2">
        <w:t xml:space="preserve">Vid leverpåverkan är det inte rekommenderat att avstå från PN utan gör i första hand en bedömning av orsak till problemet. En lätt transaminasstegring vid PN är vanligt och kan vara upp till 3 gånger normalvärdet. Parenteral nutritionsbehandling som orsakar leverpåverkan har ofta pågått under en längre tid, cirka 3-6 veckor, se rutinen </w:t>
      </w:r>
      <w:hyperlink r:id="rId23" w:history="1">
        <w:r w:rsidRPr="008A0EF2">
          <w:rPr>
            <w:rStyle w:val="Hyperlnk"/>
          </w:rPr>
          <w:t>Åtgärder vid leverpåverkan av Parenteral Nutrition (PN) under lång tid (mer än 4 v.)</w:t>
        </w:r>
      </w:hyperlink>
      <w:r w:rsidRPr="008A0EF2">
        <w:t xml:space="preserve"> framtagen av SU.</w:t>
      </w:r>
    </w:p>
    <w:p w14:paraId="1C9603E5" w14:textId="658DD1DE" w:rsidR="0064442B" w:rsidRDefault="0064442B" w:rsidP="0064442B">
      <w:pPr>
        <w:pStyle w:val="Rubrik3"/>
      </w:pPr>
      <w:bookmarkStart w:id="25" w:name="_Substituering_vid_behov"/>
      <w:bookmarkStart w:id="26" w:name="_Toc212712565"/>
      <w:bookmarkEnd w:id="25"/>
      <w:r>
        <w:t>Substituering vid behov</w:t>
      </w:r>
      <w:bookmarkEnd w:id="26"/>
    </w:p>
    <w:p w14:paraId="32A70453" w14:textId="086ADC83" w:rsidR="0064442B" w:rsidRDefault="0064442B" w:rsidP="008A0EF2">
      <w:r w:rsidRPr="0064442B">
        <w:t xml:space="preserve">Vid låga värden utanför referens rekommenderas substituering för att möjliggöra upptag av tillförd energi- och näring samt undvika </w:t>
      </w:r>
      <w:proofErr w:type="spellStart"/>
      <w:r w:rsidRPr="0064442B">
        <w:t>refeeding</w:t>
      </w:r>
      <w:proofErr w:type="spellEnd"/>
      <w:r w:rsidRPr="0064442B">
        <w:t xml:space="preserve"> syndrom. Se även FASS.</w:t>
      </w:r>
    </w:p>
    <w:p w14:paraId="23CB07A3" w14:textId="59666B77" w:rsidR="0064442B" w:rsidRPr="008A0EF2" w:rsidRDefault="0064442B" w:rsidP="0064442B">
      <w:pPr>
        <w:pStyle w:val="Beskrivning"/>
        <w:keepNext/>
      </w:pPr>
      <w:r>
        <w:t>Tabell 2. Förslag på substituering av kalium, fosfat och/eller magnesium</w:t>
      </w:r>
    </w:p>
    <w:tbl>
      <w:tblPr>
        <w:tblStyle w:val="Tabellrutnt"/>
        <w:tblW w:w="0" w:type="auto"/>
        <w:tblInd w:w="567" w:type="dxa"/>
        <w:tblLook w:val="04A0" w:firstRow="1" w:lastRow="0" w:firstColumn="1" w:lastColumn="0" w:noHBand="0" w:noVBand="1"/>
      </w:tblPr>
      <w:tblGrid>
        <w:gridCol w:w="1696"/>
        <w:gridCol w:w="3872"/>
        <w:gridCol w:w="2784"/>
      </w:tblGrid>
      <w:tr w:rsidR="0064442B" w14:paraId="78A6380A" w14:textId="77777777" w:rsidTr="00340BDD">
        <w:tc>
          <w:tcPr>
            <w:tcW w:w="1696" w:type="dxa"/>
          </w:tcPr>
          <w:p w14:paraId="0538587B" w14:textId="77777777" w:rsidR="0064442B" w:rsidRDefault="0064442B" w:rsidP="0064442B">
            <w:pPr>
              <w:pStyle w:val="Tabell"/>
            </w:pPr>
          </w:p>
        </w:tc>
        <w:tc>
          <w:tcPr>
            <w:tcW w:w="3872" w:type="dxa"/>
          </w:tcPr>
          <w:p w14:paraId="5DA70B19" w14:textId="42586AF6" w:rsidR="0064442B" w:rsidRDefault="0064442B" w:rsidP="00C17238">
            <w:pPr>
              <w:pStyle w:val="Tabellrubriker"/>
            </w:pPr>
            <w:r>
              <w:t>Parenteral tillförsel</w:t>
            </w:r>
          </w:p>
        </w:tc>
        <w:tc>
          <w:tcPr>
            <w:tcW w:w="2784" w:type="dxa"/>
          </w:tcPr>
          <w:p w14:paraId="6C61A28F" w14:textId="550C462B" w:rsidR="0064442B" w:rsidRDefault="0064442B" w:rsidP="00C17238">
            <w:pPr>
              <w:pStyle w:val="Tabellrubriker"/>
            </w:pPr>
            <w:r>
              <w:t>Peroral tillförsel</w:t>
            </w:r>
          </w:p>
        </w:tc>
      </w:tr>
      <w:tr w:rsidR="0064442B" w14:paraId="24AE7119" w14:textId="77777777" w:rsidTr="00340BDD">
        <w:tc>
          <w:tcPr>
            <w:tcW w:w="1696" w:type="dxa"/>
          </w:tcPr>
          <w:p w14:paraId="52ECC18D" w14:textId="77777777" w:rsidR="0064442B" w:rsidRDefault="0064442B" w:rsidP="0064442B">
            <w:pPr>
              <w:pStyle w:val="Tabelltext"/>
            </w:pPr>
            <w:r w:rsidRPr="1B5E43ED">
              <w:rPr>
                <w:rFonts w:ascii="Calibri" w:hAnsi="Calibri"/>
                <w:b/>
                <w:bCs/>
                <w:sz w:val="24"/>
              </w:rPr>
              <w:t>Kalium</w:t>
            </w:r>
          </w:p>
          <w:p w14:paraId="5FCA2792" w14:textId="77777777" w:rsidR="0064442B" w:rsidRPr="00593E93" w:rsidRDefault="0064442B" w:rsidP="00C17238">
            <w:pPr>
              <w:pStyle w:val="Tabelltext"/>
            </w:pPr>
            <w:r>
              <w:t xml:space="preserve">Dosering efter </w:t>
            </w:r>
            <w:proofErr w:type="spellStart"/>
            <w:r>
              <w:t>labvärde</w:t>
            </w:r>
            <w:proofErr w:type="spellEnd"/>
            <w:r>
              <w:t>:</w:t>
            </w:r>
          </w:p>
          <w:p w14:paraId="1BC0CDA6" w14:textId="77777777" w:rsidR="0064442B" w:rsidRDefault="0064442B" w:rsidP="0064442B">
            <w:pPr>
              <w:pStyle w:val="Tabell"/>
            </w:pPr>
          </w:p>
        </w:tc>
        <w:tc>
          <w:tcPr>
            <w:tcW w:w="3872" w:type="dxa"/>
          </w:tcPr>
          <w:p w14:paraId="695CF4B6" w14:textId="77777777" w:rsidR="0064442B" w:rsidRDefault="0064442B" w:rsidP="0064442B">
            <w:pPr>
              <w:pStyle w:val="Tabelltext"/>
              <w:rPr>
                <w:b/>
                <w:bCs/>
              </w:rPr>
            </w:pPr>
            <w:proofErr w:type="spellStart"/>
            <w:r w:rsidRPr="1B5E43ED">
              <w:rPr>
                <w:b/>
                <w:bCs/>
              </w:rPr>
              <w:t>Addex</w:t>
            </w:r>
            <w:proofErr w:type="spellEnd"/>
            <w:r w:rsidRPr="1B5E43ED">
              <w:rPr>
                <w:b/>
                <w:bCs/>
              </w:rPr>
              <w:t xml:space="preserve">-Kaliumklorid 2 </w:t>
            </w:r>
            <w:proofErr w:type="spellStart"/>
            <w:r w:rsidRPr="1B5E43ED">
              <w:rPr>
                <w:b/>
                <w:bCs/>
              </w:rPr>
              <w:t>mmol</w:t>
            </w:r>
            <w:proofErr w:type="spellEnd"/>
            <w:r w:rsidRPr="1B5E43ED">
              <w:rPr>
                <w:b/>
                <w:bCs/>
              </w:rPr>
              <w:t>/ml</w:t>
            </w:r>
          </w:p>
          <w:p w14:paraId="2E24E0CE" w14:textId="77777777" w:rsidR="0064442B" w:rsidRDefault="0064442B" w:rsidP="0064442B">
            <w:pPr>
              <w:pStyle w:val="Tabelltext"/>
            </w:pPr>
            <w:r>
              <w:t xml:space="preserve">Vid central infart kan </w:t>
            </w:r>
            <w:proofErr w:type="spellStart"/>
            <w:r>
              <w:t>Addex</w:t>
            </w:r>
            <w:proofErr w:type="spellEnd"/>
            <w:r>
              <w:t>-kaliumklorid tillsättas direkt i trekammarpåse (</w:t>
            </w:r>
            <w:proofErr w:type="spellStart"/>
            <w:r>
              <w:t>SmofKabiven</w:t>
            </w:r>
            <w:proofErr w:type="spellEnd"/>
            <w:r>
              <w:t xml:space="preserve">) i mängder enligt </w:t>
            </w:r>
            <w:hyperlink r:id="rId24">
              <w:r w:rsidRPr="1B5E43ED">
                <w:rPr>
                  <w:rStyle w:val="Hyperlnk"/>
                </w:rPr>
                <w:t xml:space="preserve">Hjälpreda, </w:t>
              </w:r>
              <w:proofErr w:type="spellStart"/>
              <w:r w:rsidRPr="1B5E43ED">
                <w:rPr>
                  <w:rStyle w:val="Hyperlnk"/>
                </w:rPr>
                <w:t>SmofKabiven</w:t>
              </w:r>
              <w:proofErr w:type="spellEnd"/>
              <w:r w:rsidRPr="1B5E43ED">
                <w:rPr>
                  <w:rStyle w:val="Hyperlnk"/>
                </w:rPr>
                <w:t xml:space="preserve"> och </w:t>
              </w:r>
              <w:proofErr w:type="spellStart"/>
              <w:r w:rsidRPr="1B5E43ED">
                <w:rPr>
                  <w:rStyle w:val="Hyperlnk"/>
                </w:rPr>
                <w:t>Kabiven</w:t>
              </w:r>
              <w:proofErr w:type="spellEnd"/>
            </w:hyperlink>
            <w:r>
              <w:t>.</w:t>
            </w:r>
          </w:p>
          <w:p w14:paraId="57D10DE2" w14:textId="77777777" w:rsidR="0064442B" w:rsidRDefault="0064442B" w:rsidP="0064442B">
            <w:pPr>
              <w:pStyle w:val="Tabelltext"/>
            </w:pPr>
            <w:r>
              <w:t xml:space="preserve">Om större behov av kalium föreligger än det som kan tillsättas i trekammarpåsen, ska infusion ske via separat infart </w:t>
            </w:r>
            <w:proofErr w:type="spellStart"/>
            <w:r>
              <w:t>pga</w:t>
            </w:r>
            <w:proofErr w:type="spellEnd"/>
            <w:r>
              <w:t xml:space="preserve"> risk för destabilisering av trekammarpåse. Se </w:t>
            </w:r>
            <w:hyperlink r:id="rId25">
              <w:r w:rsidRPr="1B5E43ED">
                <w:rPr>
                  <w:rStyle w:val="Hyperlnk"/>
                </w:rPr>
                <w:t>Spädningslistan VGR</w:t>
              </w:r>
            </w:hyperlink>
            <w:r>
              <w:t xml:space="preserve"> för spädning och infusionshastighet. </w:t>
            </w:r>
          </w:p>
          <w:p w14:paraId="0A0E8925" w14:textId="77777777" w:rsidR="0064442B" w:rsidRDefault="0064442B" w:rsidP="0064442B">
            <w:pPr>
              <w:pStyle w:val="Tabelltext"/>
            </w:pPr>
            <w:r>
              <w:lastRenderedPageBreak/>
              <w:t xml:space="preserve">Om separat infart ej är möjligt konsultera klinisk apotekare. </w:t>
            </w:r>
          </w:p>
          <w:p w14:paraId="6AB01573" w14:textId="77777777" w:rsidR="0064442B" w:rsidRDefault="0064442B" w:rsidP="0064442B">
            <w:pPr>
              <w:pStyle w:val="Tabelltext"/>
            </w:pPr>
            <w:r>
              <w:t xml:space="preserve">Om </w:t>
            </w:r>
            <w:proofErr w:type="spellStart"/>
            <w:r>
              <w:t>Addex</w:t>
            </w:r>
            <w:proofErr w:type="spellEnd"/>
            <w:r>
              <w:t xml:space="preserve">-Kalium används måste man ta hänsyn till fosfatinnehållet i </w:t>
            </w:r>
            <w:proofErr w:type="spellStart"/>
            <w:r>
              <w:t>Addex</w:t>
            </w:r>
            <w:proofErr w:type="spellEnd"/>
            <w:r>
              <w:t>-Kalium (0,4mmol fosfat/ml).</w:t>
            </w:r>
          </w:p>
          <w:p w14:paraId="4E9E1014" w14:textId="77777777" w:rsidR="0064442B" w:rsidRDefault="0064442B" w:rsidP="0064442B">
            <w:pPr>
              <w:pStyle w:val="Tabell"/>
            </w:pPr>
          </w:p>
        </w:tc>
        <w:tc>
          <w:tcPr>
            <w:tcW w:w="2784" w:type="dxa"/>
          </w:tcPr>
          <w:p w14:paraId="0033C1C9" w14:textId="77777777" w:rsidR="0064442B" w:rsidRDefault="0064442B" w:rsidP="0064442B">
            <w:pPr>
              <w:pStyle w:val="Tabelltext"/>
              <w:rPr>
                <w:b/>
                <w:bCs/>
              </w:rPr>
            </w:pPr>
            <w:proofErr w:type="spellStart"/>
            <w:r w:rsidRPr="1B5E43ED">
              <w:rPr>
                <w:b/>
                <w:bCs/>
              </w:rPr>
              <w:lastRenderedPageBreak/>
              <w:t>Kaleorid</w:t>
            </w:r>
            <w:proofErr w:type="spellEnd"/>
            <w:r w:rsidRPr="1B5E43ED">
              <w:rPr>
                <w:b/>
                <w:bCs/>
              </w:rPr>
              <w:t xml:space="preserve"> depottablett 750 mg (10 </w:t>
            </w:r>
            <w:proofErr w:type="spellStart"/>
            <w:r w:rsidRPr="1B5E43ED">
              <w:rPr>
                <w:b/>
                <w:bCs/>
              </w:rPr>
              <w:t>mmol</w:t>
            </w:r>
            <w:proofErr w:type="spellEnd"/>
            <w:r w:rsidRPr="1B5E43ED">
              <w:rPr>
                <w:b/>
                <w:bCs/>
              </w:rPr>
              <w:t xml:space="preserve"> K</w:t>
            </w:r>
            <w:r w:rsidRPr="1B5E43ED">
              <w:rPr>
                <w:b/>
                <w:bCs/>
                <w:vertAlign w:val="superscript"/>
              </w:rPr>
              <w:t>+</w:t>
            </w:r>
            <w:r w:rsidRPr="1B5E43ED">
              <w:rPr>
                <w:b/>
                <w:bCs/>
              </w:rPr>
              <w:t>)</w:t>
            </w:r>
          </w:p>
          <w:p w14:paraId="5C9DE9CD" w14:textId="77777777" w:rsidR="0064442B" w:rsidRPr="00FF3599" w:rsidRDefault="0064442B" w:rsidP="0064442B">
            <w:pPr>
              <w:pStyle w:val="Tabelltext"/>
            </w:pPr>
            <w:r>
              <w:t>eller</w:t>
            </w:r>
          </w:p>
          <w:p w14:paraId="20DBA0A4" w14:textId="311F36A4" w:rsidR="0064442B" w:rsidRDefault="0064442B" w:rsidP="0064442B">
            <w:pPr>
              <w:pStyle w:val="Tabell"/>
            </w:pPr>
            <w:proofErr w:type="spellStart"/>
            <w:r w:rsidRPr="1B5E43ED">
              <w:rPr>
                <w:b/>
                <w:bCs/>
              </w:rPr>
              <w:t>Kajos</w:t>
            </w:r>
            <w:proofErr w:type="spellEnd"/>
            <w:r w:rsidRPr="1B5E43ED">
              <w:rPr>
                <w:b/>
                <w:bCs/>
              </w:rPr>
              <w:t xml:space="preserve"> oral lösning 33 mg/ml (0,85 </w:t>
            </w:r>
            <w:proofErr w:type="spellStart"/>
            <w:r w:rsidRPr="1B5E43ED">
              <w:rPr>
                <w:b/>
                <w:bCs/>
              </w:rPr>
              <w:t>mmol</w:t>
            </w:r>
            <w:proofErr w:type="spellEnd"/>
            <w:r w:rsidRPr="1B5E43ED">
              <w:rPr>
                <w:b/>
                <w:bCs/>
              </w:rPr>
              <w:t xml:space="preserve"> K</w:t>
            </w:r>
            <w:r w:rsidRPr="1B5E43ED">
              <w:rPr>
                <w:b/>
                <w:bCs/>
                <w:vertAlign w:val="superscript"/>
              </w:rPr>
              <w:t>+</w:t>
            </w:r>
            <w:r w:rsidRPr="1B5E43ED">
              <w:rPr>
                <w:b/>
                <w:bCs/>
              </w:rPr>
              <w:t xml:space="preserve">/ml) </w:t>
            </w:r>
          </w:p>
        </w:tc>
      </w:tr>
      <w:tr w:rsidR="0064442B" w14:paraId="6F1DCE92" w14:textId="77777777" w:rsidTr="00340BDD">
        <w:tc>
          <w:tcPr>
            <w:tcW w:w="1696" w:type="dxa"/>
          </w:tcPr>
          <w:p w14:paraId="157FF94A" w14:textId="77777777" w:rsidR="0064442B" w:rsidRDefault="0064442B" w:rsidP="0064442B">
            <w:pPr>
              <w:pStyle w:val="Tabelltext"/>
            </w:pPr>
            <w:r w:rsidRPr="1B5E43ED">
              <w:rPr>
                <w:rFonts w:ascii="Calibri" w:hAnsi="Calibri"/>
                <w:b/>
                <w:bCs/>
                <w:sz w:val="24"/>
              </w:rPr>
              <w:t>Fosfat</w:t>
            </w:r>
            <w:r>
              <w:t xml:space="preserve"> </w:t>
            </w:r>
          </w:p>
          <w:p w14:paraId="698B38D6" w14:textId="77777777" w:rsidR="0064442B" w:rsidRPr="00593E93" w:rsidRDefault="0064442B" w:rsidP="0064442B">
            <w:pPr>
              <w:pStyle w:val="Tabelltext"/>
            </w:pPr>
            <w:r>
              <w:t xml:space="preserve">Dosering efter </w:t>
            </w:r>
            <w:proofErr w:type="spellStart"/>
            <w:r>
              <w:t>labvärde</w:t>
            </w:r>
            <w:proofErr w:type="spellEnd"/>
            <w:r>
              <w:t xml:space="preserve">: </w:t>
            </w:r>
          </w:p>
          <w:p w14:paraId="5335846D" w14:textId="77777777" w:rsidR="0064442B" w:rsidRDefault="0064442B" w:rsidP="0064442B">
            <w:pPr>
              <w:pStyle w:val="Tabell"/>
            </w:pPr>
          </w:p>
        </w:tc>
        <w:tc>
          <w:tcPr>
            <w:tcW w:w="3872" w:type="dxa"/>
          </w:tcPr>
          <w:p w14:paraId="1D106959" w14:textId="77777777" w:rsidR="0064442B" w:rsidRDefault="0064442B" w:rsidP="0064442B">
            <w:pPr>
              <w:pStyle w:val="Tabelltext"/>
              <w:rPr>
                <w:b/>
                <w:bCs/>
              </w:rPr>
            </w:pPr>
            <w:proofErr w:type="spellStart"/>
            <w:r w:rsidRPr="1B5E43ED">
              <w:rPr>
                <w:b/>
                <w:bCs/>
              </w:rPr>
              <w:t>Glycophos</w:t>
            </w:r>
            <w:proofErr w:type="spellEnd"/>
            <w:r w:rsidRPr="1B5E43ED">
              <w:rPr>
                <w:b/>
                <w:bCs/>
              </w:rPr>
              <w:t xml:space="preserve"> 1 </w:t>
            </w:r>
            <w:proofErr w:type="spellStart"/>
            <w:r w:rsidRPr="1B5E43ED">
              <w:rPr>
                <w:b/>
                <w:bCs/>
              </w:rPr>
              <w:t>mmol</w:t>
            </w:r>
            <w:proofErr w:type="spellEnd"/>
            <w:r w:rsidRPr="1B5E43ED">
              <w:rPr>
                <w:b/>
                <w:bCs/>
              </w:rPr>
              <w:t>/ml</w:t>
            </w:r>
          </w:p>
          <w:p w14:paraId="19A63BA0" w14:textId="77777777" w:rsidR="0064442B" w:rsidRDefault="0064442B" w:rsidP="0064442B">
            <w:pPr>
              <w:pStyle w:val="Tabelltext"/>
            </w:pPr>
            <w:r>
              <w:t xml:space="preserve">Vid central infart kan </w:t>
            </w:r>
            <w:proofErr w:type="spellStart"/>
            <w:r>
              <w:t>Glycophos</w:t>
            </w:r>
            <w:proofErr w:type="spellEnd"/>
            <w:r>
              <w:t xml:space="preserve"> tillsättas direkt i trekammarpåse (</w:t>
            </w:r>
            <w:proofErr w:type="spellStart"/>
            <w:r>
              <w:t>SmofKabiven</w:t>
            </w:r>
            <w:proofErr w:type="spellEnd"/>
            <w:r>
              <w:t xml:space="preserve">) i mängder enligt </w:t>
            </w:r>
            <w:hyperlink r:id="rId26">
              <w:r w:rsidRPr="1B5E43ED">
                <w:rPr>
                  <w:rStyle w:val="Hyperlnk"/>
                </w:rPr>
                <w:t xml:space="preserve">Hjälpreda, </w:t>
              </w:r>
              <w:proofErr w:type="spellStart"/>
              <w:r w:rsidRPr="1B5E43ED">
                <w:rPr>
                  <w:rStyle w:val="Hyperlnk"/>
                </w:rPr>
                <w:t>SmofKabiven</w:t>
              </w:r>
              <w:proofErr w:type="spellEnd"/>
              <w:r w:rsidRPr="1B5E43ED">
                <w:rPr>
                  <w:rStyle w:val="Hyperlnk"/>
                </w:rPr>
                <w:t xml:space="preserve"> och </w:t>
              </w:r>
              <w:proofErr w:type="spellStart"/>
              <w:r w:rsidRPr="1B5E43ED">
                <w:rPr>
                  <w:rStyle w:val="Hyperlnk"/>
                </w:rPr>
                <w:t>Kabiven</w:t>
              </w:r>
              <w:proofErr w:type="spellEnd"/>
            </w:hyperlink>
            <w:r>
              <w:t>.</w:t>
            </w:r>
          </w:p>
          <w:p w14:paraId="194A16C2" w14:textId="77777777" w:rsidR="0064442B" w:rsidRDefault="0064442B" w:rsidP="0064442B">
            <w:pPr>
              <w:pStyle w:val="Tabelltext"/>
            </w:pPr>
            <w:r>
              <w:t xml:space="preserve">Om större behov av fosfat föreligger än det som kan tillsättas i trekammarpåsen, ska infusion ske via separat infart </w:t>
            </w:r>
            <w:proofErr w:type="spellStart"/>
            <w:r>
              <w:t>pga</w:t>
            </w:r>
            <w:proofErr w:type="spellEnd"/>
            <w:r>
              <w:t xml:space="preserve"> risk för destabilisering av trekammarpåse. Se </w:t>
            </w:r>
            <w:hyperlink r:id="rId27">
              <w:r w:rsidRPr="1B5E43ED">
                <w:rPr>
                  <w:rStyle w:val="Hyperlnk"/>
                </w:rPr>
                <w:t>Spädningslistan VGR</w:t>
              </w:r>
            </w:hyperlink>
            <w:r>
              <w:t xml:space="preserve"> för spädning och infusionshastighet. </w:t>
            </w:r>
          </w:p>
          <w:p w14:paraId="47263A37" w14:textId="4A57DBB4" w:rsidR="0064442B" w:rsidRDefault="0064442B" w:rsidP="0064442B">
            <w:pPr>
              <w:pStyle w:val="Tabell"/>
            </w:pPr>
            <w:r>
              <w:t xml:space="preserve">Om separat infart ej är möjligt konsultera klinisk apotekare. </w:t>
            </w:r>
          </w:p>
        </w:tc>
        <w:tc>
          <w:tcPr>
            <w:tcW w:w="2784" w:type="dxa"/>
          </w:tcPr>
          <w:p w14:paraId="27947051" w14:textId="77777777" w:rsidR="0064442B" w:rsidRDefault="0064442B" w:rsidP="0064442B">
            <w:pPr>
              <w:pStyle w:val="Tabelltext"/>
              <w:rPr>
                <w:b/>
                <w:bCs/>
              </w:rPr>
            </w:pPr>
            <w:r w:rsidRPr="1B5E43ED">
              <w:rPr>
                <w:b/>
                <w:bCs/>
              </w:rPr>
              <w:t>Fosfat APL, oral lösning 120 mg/ml (1,26 </w:t>
            </w:r>
            <w:proofErr w:type="spellStart"/>
            <w:r w:rsidRPr="1B5E43ED">
              <w:rPr>
                <w:b/>
                <w:bCs/>
              </w:rPr>
              <w:t>mmol</w:t>
            </w:r>
            <w:proofErr w:type="spellEnd"/>
            <w:r w:rsidRPr="1B5E43ED">
              <w:rPr>
                <w:b/>
                <w:bCs/>
              </w:rPr>
              <w:t>/ml)</w:t>
            </w:r>
          </w:p>
          <w:p w14:paraId="04A5AACC" w14:textId="77777777" w:rsidR="0064442B" w:rsidRDefault="0064442B" w:rsidP="0064442B">
            <w:pPr>
              <w:pStyle w:val="Tabelltext"/>
              <w:rPr>
                <w:b/>
                <w:bCs/>
              </w:rPr>
            </w:pPr>
            <w:r>
              <w:t xml:space="preserve">se </w:t>
            </w:r>
            <w:proofErr w:type="spellStart"/>
            <w:r>
              <w:t>produktresume</w:t>
            </w:r>
            <w:proofErr w:type="spellEnd"/>
            <w:r>
              <w:t xml:space="preserve">: </w:t>
            </w:r>
            <w:hyperlink r:id="rId28">
              <w:r w:rsidRPr="1B5E43ED">
                <w:rPr>
                  <w:rStyle w:val="Hyperlnk"/>
                </w:rPr>
                <w:t>Fosfat APL 120 mg/ml Oral lösning</w:t>
              </w:r>
            </w:hyperlink>
            <w:r w:rsidRPr="1B5E43ED">
              <w:rPr>
                <w:b/>
                <w:bCs/>
              </w:rPr>
              <w:t xml:space="preserve"> eller </w:t>
            </w:r>
          </w:p>
          <w:p w14:paraId="6295FFA4" w14:textId="77777777" w:rsidR="0064442B" w:rsidRDefault="0064442B" w:rsidP="0064442B">
            <w:pPr>
              <w:pStyle w:val="Tabelltext"/>
              <w:rPr>
                <w:b/>
                <w:bCs/>
              </w:rPr>
            </w:pPr>
            <w:r w:rsidRPr="1B5E43ED">
              <w:rPr>
                <w:b/>
                <w:bCs/>
              </w:rPr>
              <w:t>60 mg/ml (0,63 </w:t>
            </w:r>
            <w:proofErr w:type="spellStart"/>
            <w:r w:rsidRPr="1B5E43ED">
              <w:rPr>
                <w:b/>
                <w:bCs/>
              </w:rPr>
              <w:t>mmol</w:t>
            </w:r>
            <w:proofErr w:type="spellEnd"/>
            <w:r w:rsidRPr="1B5E43ED">
              <w:rPr>
                <w:b/>
                <w:bCs/>
              </w:rPr>
              <w:t xml:space="preserve">/ml) </w:t>
            </w:r>
          </w:p>
          <w:p w14:paraId="20942A0C" w14:textId="2F7D24E0" w:rsidR="0064442B" w:rsidRDefault="0064442B" w:rsidP="0064442B">
            <w:pPr>
              <w:pStyle w:val="Tabell"/>
            </w:pPr>
            <w:r>
              <w:t xml:space="preserve">se </w:t>
            </w:r>
            <w:proofErr w:type="spellStart"/>
            <w:r>
              <w:t>produktresume</w:t>
            </w:r>
            <w:proofErr w:type="spellEnd"/>
            <w:r>
              <w:t>:</w:t>
            </w:r>
            <w:r w:rsidRPr="1B5E43ED">
              <w:rPr>
                <w:b/>
                <w:bCs/>
              </w:rPr>
              <w:t xml:space="preserve"> </w:t>
            </w:r>
            <w:hyperlink r:id="rId29">
              <w:r w:rsidRPr="1B5E43ED">
                <w:rPr>
                  <w:rStyle w:val="Hyperlnk"/>
                </w:rPr>
                <w:t>Fosfat APL 60 mg/ml Oral lösning</w:t>
              </w:r>
            </w:hyperlink>
          </w:p>
        </w:tc>
      </w:tr>
      <w:tr w:rsidR="0064442B" w14:paraId="6D2BAD23" w14:textId="77777777" w:rsidTr="00340BDD">
        <w:tc>
          <w:tcPr>
            <w:tcW w:w="1696" w:type="dxa"/>
          </w:tcPr>
          <w:p w14:paraId="6EFC673C" w14:textId="77777777" w:rsidR="0064442B" w:rsidRDefault="0064442B" w:rsidP="0064442B">
            <w:pPr>
              <w:pStyle w:val="Tabellrubriker"/>
              <w:rPr>
                <w:rFonts w:ascii="Calibri" w:hAnsi="Calibri"/>
                <w:sz w:val="24"/>
              </w:rPr>
            </w:pPr>
            <w:r w:rsidRPr="1B5E43ED">
              <w:rPr>
                <w:rFonts w:ascii="Calibri" w:hAnsi="Calibri"/>
                <w:sz w:val="24"/>
              </w:rPr>
              <w:t>Magnesium</w:t>
            </w:r>
          </w:p>
          <w:p w14:paraId="64115C09" w14:textId="77777777" w:rsidR="0064442B" w:rsidRDefault="0064442B" w:rsidP="0064442B">
            <w:pPr>
              <w:pStyle w:val="Tabellrubriker"/>
              <w:rPr>
                <w:rFonts w:ascii="Calibri" w:hAnsi="Calibri"/>
                <w:sz w:val="24"/>
              </w:rPr>
            </w:pPr>
          </w:p>
          <w:p w14:paraId="0904AD33" w14:textId="77777777" w:rsidR="0064442B" w:rsidRPr="00593E93" w:rsidRDefault="0064442B" w:rsidP="0064442B">
            <w:pPr>
              <w:pStyle w:val="Tabelltext"/>
            </w:pPr>
            <w:r>
              <w:t xml:space="preserve">Dosering efter </w:t>
            </w:r>
            <w:proofErr w:type="spellStart"/>
            <w:r>
              <w:t>labvärde</w:t>
            </w:r>
            <w:proofErr w:type="spellEnd"/>
            <w:r>
              <w:t>:</w:t>
            </w:r>
          </w:p>
          <w:p w14:paraId="658AAA6D" w14:textId="77777777" w:rsidR="0064442B" w:rsidRDefault="0064442B" w:rsidP="0064442B">
            <w:pPr>
              <w:pStyle w:val="Tabell"/>
            </w:pPr>
          </w:p>
        </w:tc>
        <w:tc>
          <w:tcPr>
            <w:tcW w:w="3872" w:type="dxa"/>
          </w:tcPr>
          <w:p w14:paraId="13752E89" w14:textId="77777777" w:rsidR="0064442B" w:rsidRPr="008B0080" w:rsidRDefault="0064442B" w:rsidP="0064442B">
            <w:pPr>
              <w:pStyle w:val="Tabelltext"/>
              <w:rPr>
                <w:b/>
                <w:bCs/>
              </w:rPr>
            </w:pPr>
            <w:proofErr w:type="spellStart"/>
            <w:r w:rsidRPr="1B5E43ED">
              <w:rPr>
                <w:b/>
                <w:bCs/>
              </w:rPr>
              <w:t>Addex</w:t>
            </w:r>
            <w:proofErr w:type="spellEnd"/>
            <w:r w:rsidRPr="1B5E43ED">
              <w:rPr>
                <w:b/>
                <w:bCs/>
              </w:rPr>
              <w:t>-Magnesium 1 </w:t>
            </w:r>
            <w:proofErr w:type="spellStart"/>
            <w:r w:rsidRPr="1B5E43ED">
              <w:rPr>
                <w:b/>
                <w:bCs/>
              </w:rPr>
              <w:t>mmol</w:t>
            </w:r>
            <w:proofErr w:type="spellEnd"/>
            <w:r w:rsidRPr="1B5E43ED">
              <w:rPr>
                <w:b/>
                <w:bCs/>
              </w:rPr>
              <w:t>/ml</w:t>
            </w:r>
          </w:p>
          <w:p w14:paraId="1186E94E" w14:textId="77777777" w:rsidR="0064442B" w:rsidRDefault="0064442B" w:rsidP="0064442B">
            <w:pPr>
              <w:pStyle w:val="Tabelltext"/>
            </w:pPr>
            <w:r>
              <w:t xml:space="preserve">Vid central infart kan </w:t>
            </w:r>
            <w:proofErr w:type="spellStart"/>
            <w:r>
              <w:t>Addex</w:t>
            </w:r>
            <w:proofErr w:type="spellEnd"/>
            <w:r>
              <w:t>-Magnesium tillsättas direkt i trekammarpåse (</w:t>
            </w:r>
            <w:proofErr w:type="spellStart"/>
            <w:r>
              <w:t>SmofKabiven</w:t>
            </w:r>
            <w:proofErr w:type="spellEnd"/>
            <w:r>
              <w:t xml:space="preserve">) i mängder enligt </w:t>
            </w:r>
            <w:hyperlink r:id="rId30">
              <w:r w:rsidRPr="1B5E43ED">
                <w:rPr>
                  <w:rStyle w:val="Hyperlnk"/>
                </w:rPr>
                <w:t xml:space="preserve">Hjälpreda, </w:t>
              </w:r>
              <w:proofErr w:type="spellStart"/>
              <w:r w:rsidRPr="1B5E43ED">
                <w:rPr>
                  <w:rStyle w:val="Hyperlnk"/>
                </w:rPr>
                <w:t>SmofKabiven</w:t>
              </w:r>
              <w:proofErr w:type="spellEnd"/>
              <w:r w:rsidRPr="1B5E43ED">
                <w:rPr>
                  <w:rStyle w:val="Hyperlnk"/>
                </w:rPr>
                <w:t xml:space="preserve"> och </w:t>
              </w:r>
              <w:proofErr w:type="spellStart"/>
              <w:r w:rsidRPr="1B5E43ED">
                <w:rPr>
                  <w:rStyle w:val="Hyperlnk"/>
                </w:rPr>
                <w:t>Kabiven</w:t>
              </w:r>
              <w:proofErr w:type="spellEnd"/>
            </w:hyperlink>
            <w:r>
              <w:t>.</w:t>
            </w:r>
          </w:p>
          <w:p w14:paraId="7FB11D43" w14:textId="77777777" w:rsidR="0064442B" w:rsidRDefault="0064442B" w:rsidP="0064442B">
            <w:pPr>
              <w:pStyle w:val="Tabelltext"/>
            </w:pPr>
            <w:r>
              <w:t xml:space="preserve">Om större behov av magnesium föreligger än det som kan tillsättas i trekammarpåsen, ska infusion ske via separat infart </w:t>
            </w:r>
            <w:proofErr w:type="spellStart"/>
            <w:r>
              <w:t>pga</w:t>
            </w:r>
            <w:proofErr w:type="spellEnd"/>
            <w:r>
              <w:t xml:space="preserve"> risk för destabilisering av trekammarpåse. Se</w:t>
            </w:r>
            <w:hyperlink r:id="rId31">
              <w:r w:rsidRPr="1B5E43ED">
                <w:rPr>
                  <w:rStyle w:val="Hyperlnk"/>
                </w:rPr>
                <w:t xml:space="preserve"> Spädningslistan VGR</w:t>
              </w:r>
            </w:hyperlink>
            <w:r>
              <w:t xml:space="preserve"> för spädning och infusionshastighet. </w:t>
            </w:r>
          </w:p>
          <w:p w14:paraId="13B90D50" w14:textId="48BCA1EE" w:rsidR="0064442B" w:rsidRDefault="0064442B" w:rsidP="0064442B">
            <w:pPr>
              <w:pStyle w:val="Tabell"/>
            </w:pPr>
            <w:r>
              <w:t>Om separat infart ej är möjligt konsultera klinisk apotekare.</w:t>
            </w:r>
          </w:p>
        </w:tc>
        <w:tc>
          <w:tcPr>
            <w:tcW w:w="2784" w:type="dxa"/>
          </w:tcPr>
          <w:p w14:paraId="3D407740" w14:textId="079CF46B" w:rsidR="0064442B" w:rsidRDefault="0064442B" w:rsidP="0064442B">
            <w:pPr>
              <w:pStyle w:val="Tabell"/>
            </w:pPr>
            <w:r w:rsidRPr="1B5E43ED">
              <w:rPr>
                <w:b/>
                <w:bCs/>
              </w:rPr>
              <w:t>Magnesium tablett 250 mg</w:t>
            </w:r>
          </w:p>
        </w:tc>
      </w:tr>
    </w:tbl>
    <w:p w14:paraId="76B360F2" w14:textId="6AC8F439" w:rsidR="0064442B" w:rsidRDefault="00340BDD" w:rsidP="00340BDD">
      <w:r w:rsidRPr="00340BDD">
        <w:t xml:space="preserve">För mer information gällande trekammarpåse </w:t>
      </w:r>
      <w:proofErr w:type="spellStart"/>
      <w:r w:rsidRPr="00340BDD">
        <w:t>SmofKabiven</w:t>
      </w:r>
      <w:proofErr w:type="spellEnd"/>
      <w:r w:rsidRPr="00340BDD">
        <w:t xml:space="preserve"> och tillsatser se </w:t>
      </w:r>
      <w:hyperlink r:id="rId32" w:history="1">
        <w:r w:rsidRPr="00340BDD">
          <w:rPr>
            <w:rStyle w:val="Hyperlnk"/>
          </w:rPr>
          <w:t xml:space="preserve">Hjälpreda, </w:t>
        </w:r>
        <w:proofErr w:type="spellStart"/>
        <w:r w:rsidRPr="00340BDD">
          <w:rPr>
            <w:rStyle w:val="Hyperlnk"/>
          </w:rPr>
          <w:t>SmofKabiven</w:t>
        </w:r>
        <w:proofErr w:type="spellEnd"/>
        <w:r w:rsidRPr="00340BDD">
          <w:rPr>
            <w:rStyle w:val="Hyperlnk"/>
          </w:rPr>
          <w:t xml:space="preserve"> och </w:t>
        </w:r>
        <w:proofErr w:type="spellStart"/>
        <w:r w:rsidRPr="00340BDD">
          <w:rPr>
            <w:rStyle w:val="Hyperlnk"/>
          </w:rPr>
          <w:t>Kabiven</w:t>
        </w:r>
        <w:proofErr w:type="spellEnd"/>
      </w:hyperlink>
      <w:r w:rsidRPr="00340BDD">
        <w:t xml:space="preserve"> från Fresenius Kabi.</w:t>
      </w:r>
    </w:p>
    <w:p w14:paraId="3BF0CCA9" w14:textId="7BBBA1CB" w:rsidR="009A32ED" w:rsidRPr="00FE2064" w:rsidRDefault="00340BDD" w:rsidP="00340BDD">
      <w:pPr>
        <w:pStyle w:val="Rubrik3"/>
      </w:pPr>
      <w:bookmarkStart w:id="27" w:name="_Toc212712566"/>
      <w:r>
        <w:t>Parenteral nutrition i den palliativa fasen</w:t>
      </w:r>
      <w:bookmarkEnd w:id="27"/>
    </w:p>
    <w:p w14:paraId="2CB8ED0D" w14:textId="77777777" w:rsidR="00340BDD" w:rsidRDefault="00340BDD" w:rsidP="00340BDD">
      <w:pPr>
        <w:ind w:right="-143"/>
      </w:pPr>
      <w:r>
        <w:t>Patienter i tidig palliativ fas rekommenderas adekvat nutritionsbehandling, inklusive PN vid behov.</w:t>
      </w:r>
    </w:p>
    <w:p w14:paraId="7FEA98FE" w14:textId="7B3E77CA" w:rsidR="009A32ED" w:rsidRDefault="00340BDD" w:rsidP="009A32ED">
      <w:pPr>
        <w:ind w:right="-143"/>
      </w:pPr>
      <w:r>
        <w:lastRenderedPageBreak/>
        <w:t xml:space="preserve">I det sena palliativa skedet, hos patienter som har snabb progress, stort inflammatoriskt påslag och låg allmänfunktion är det sällan meningsfullt att sätta in PN. Bedömning bör dock ske individuellt och eventuell parenteral nutritionsbehandling ska ha en tydlig målsättning. Om patienten har förväntad överlevnad på mer än 1-3 månader, och inte kan försörja sig peroralt eller </w:t>
      </w:r>
      <w:proofErr w:type="spellStart"/>
      <w:r>
        <w:t>enteralt</w:t>
      </w:r>
      <w:proofErr w:type="spellEnd"/>
      <w:r>
        <w:t>, bör PN övervägas. Vid palliativ PN är det av största vikt att regelbundet utvärdera effekt av den givna behandlingen. Detta görs kontinuerligt av ansvarig sjukvårdspersonal tillsammans med patient/närstående.</w:t>
      </w:r>
    </w:p>
    <w:p w14:paraId="46F80C1F" w14:textId="77777777" w:rsidR="009A32ED" w:rsidRPr="000D04ED" w:rsidRDefault="009A32ED" w:rsidP="009A32ED">
      <w:pPr>
        <w:pStyle w:val="Rubrik2"/>
        <w:ind w:right="-143"/>
      </w:pPr>
      <w:bookmarkStart w:id="28" w:name="_Toc100327194"/>
      <w:bookmarkStart w:id="29" w:name="_Toc212712567"/>
      <w:r w:rsidRPr="000D04ED">
        <w:t>Arbetsgrupp</w:t>
      </w:r>
      <w:bookmarkEnd w:id="28"/>
      <w:bookmarkEnd w:id="29"/>
      <w:r>
        <w:t xml:space="preserve"> </w:t>
      </w:r>
    </w:p>
    <w:p w14:paraId="0DACD67D" w14:textId="77777777" w:rsidR="00340BDD" w:rsidRDefault="00340BDD" w:rsidP="00340BDD">
      <w:pPr>
        <w:ind w:right="-143"/>
      </w:pPr>
      <w:proofErr w:type="spellStart"/>
      <w:r>
        <w:t>Nicolina</w:t>
      </w:r>
      <w:proofErr w:type="spellEnd"/>
      <w:r>
        <w:t xml:space="preserve"> Lundgren, dietist, dietistmottagningen, VO Neurologi, rehabilitering och nära vård, SÄS, sammankallande</w:t>
      </w:r>
    </w:p>
    <w:p w14:paraId="3AAD3B46" w14:textId="77777777" w:rsidR="00340BDD" w:rsidRDefault="00340BDD" w:rsidP="00340BDD">
      <w:pPr>
        <w:ind w:right="-143"/>
      </w:pPr>
      <w:r>
        <w:t xml:space="preserve">Maria Bergqvist, dietist, dietistmottagningen, VO Neurologi, rehabilitering och nära vård, SÄS </w:t>
      </w:r>
    </w:p>
    <w:p w14:paraId="5900D766" w14:textId="1F85F916" w:rsidR="007F55E2" w:rsidRDefault="007F55E2" w:rsidP="00CA7682">
      <w:pPr>
        <w:pStyle w:val="Rubrik2"/>
        <w:ind w:right="-143"/>
      </w:pPr>
      <w:bookmarkStart w:id="30" w:name="_Toc212712568"/>
      <w:r>
        <w:t>Innehållsansvarig</w:t>
      </w:r>
      <w:bookmarkEnd w:id="30"/>
    </w:p>
    <w:p w14:paraId="11860EC5" w14:textId="759A9E38" w:rsidR="007F55E2" w:rsidRDefault="007F55E2" w:rsidP="00340BDD">
      <w:pPr>
        <w:ind w:right="-143"/>
      </w:pPr>
      <w:r>
        <w:t xml:space="preserve">Lena Jarlhede Svensson, dietist, VO </w:t>
      </w:r>
      <w:r w:rsidR="00B93597" w:rsidRPr="00B93597">
        <w:t>Neurologi, rehabilitering och nära vård</w:t>
      </w:r>
    </w:p>
    <w:p w14:paraId="1ABD6135" w14:textId="22C7B94F" w:rsidR="00340BDD" w:rsidRDefault="00340BDD" w:rsidP="00340BDD">
      <w:pPr>
        <w:ind w:right="-143"/>
      </w:pPr>
      <w:r>
        <w:t>Jesper Bolin, ST-läkare Internmedicin, VO Medicin, SÄS</w:t>
      </w:r>
    </w:p>
    <w:p w14:paraId="62F59AF7" w14:textId="725F1771" w:rsidR="00340BDD" w:rsidRDefault="00340BDD" w:rsidP="00130034">
      <w:pPr>
        <w:pStyle w:val="MellanrubrikVGR"/>
      </w:pPr>
      <w:r>
        <w:t xml:space="preserve">Remissinstanser </w:t>
      </w:r>
    </w:p>
    <w:p w14:paraId="0BECE137" w14:textId="6E94A7E0" w:rsidR="00340BDD" w:rsidRDefault="00340BDD" w:rsidP="00340BDD">
      <w:pPr>
        <w:ind w:right="-143"/>
      </w:pPr>
      <w:r>
        <w:t>Verksamhetsområdeschefer, SÄS</w:t>
      </w:r>
    </w:p>
    <w:p w14:paraId="188AE2C8" w14:textId="017C3CD1" w:rsidR="009A32ED" w:rsidRPr="000D04ED" w:rsidRDefault="00340BDD" w:rsidP="009A32ED">
      <w:pPr>
        <w:pStyle w:val="Rubrik2"/>
        <w:ind w:right="-143"/>
      </w:pPr>
      <w:bookmarkStart w:id="31" w:name="_Toc100327195"/>
      <w:bookmarkStart w:id="32" w:name="_Toc212712569"/>
      <w:r>
        <w:t>Länk</w:t>
      </w:r>
      <w:r w:rsidR="009A32ED" w:rsidRPr="000D04ED">
        <w:t>förteckning</w:t>
      </w:r>
      <w:bookmarkEnd w:id="31"/>
      <w:bookmarkEnd w:id="32"/>
    </w:p>
    <w:p w14:paraId="70CA9DAD" w14:textId="2BBA568E" w:rsidR="00340BDD" w:rsidRDefault="00340BDD" w:rsidP="00340BDD">
      <w:pPr>
        <w:pStyle w:val="Punktlista"/>
      </w:pPr>
      <w:r>
        <w:t>Parenteral nutrition för vuxna efter utskrivning från vårdavdelning, SÄS. Sjukhusövergripande rutin, SÄS</w:t>
      </w:r>
    </w:p>
    <w:p w14:paraId="7656F889" w14:textId="068975F4" w:rsidR="001353D3" w:rsidRDefault="00C27DA2" w:rsidP="000171EA">
      <w:pPr>
        <w:pStyle w:val="Punktlista"/>
        <w:numPr>
          <w:ilvl w:val="0"/>
          <w:numId w:val="0"/>
        </w:numPr>
        <w:ind w:left="1712"/>
      </w:pPr>
      <w:hyperlink r:id="rId33" w:history="1">
        <w:r w:rsidRPr="00C27DA2">
          <w:rPr>
            <w:rStyle w:val="Hyperlnk"/>
          </w:rPr>
          <w:t>https://insidan.vgregion.se/forvaltningar/sodra-alvsborgs-sjukhus/styrdokument</w:t>
        </w:r>
      </w:hyperlink>
    </w:p>
    <w:p w14:paraId="63D63881" w14:textId="2165EE63" w:rsidR="00340BDD" w:rsidRDefault="00340BDD" w:rsidP="00340BDD">
      <w:pPr>
        <w:pStyle w:val="Punktlista"/>
      </w:pPr>
      <w:r>
        <w:t xml:space="preserve">Central venös infart (CVI) - inläggning och skötsel vid SÄS. Sjukhusövergripande riktlinje, SÄS </w:t>
      </w:r>
      <w:hyperlink r:id="rId34" w:history="1">
        <w:r w:rsidRPr="00383DE8">
          <w:rPr>
            <w:rStyle w:val="Hyperlnk"/>
          </w:rPr>
          <w:t>https://insidan.vgregion.se/forvaltningar/sodra-alvsborgs-sjukhus/styrdokument</w:t>
        </w:r>
      </w:hyperlink>
    </w:p>
    <w:p w14:paraId="7DD86773" w14:textId="479D0393" w:rsidR="00340BDD" w:rsidRDefault="00340BDD" w:rsidP="00340BDD">
      <w:pPr>
        <w:pStyle w:val="Punktlista"/>
      </w:pPr>
      <w:r>
        <w:t xml:space="preserve">Hjälpreda - </w:t>
      </w:r>
      <w:proofErr w:type="spellStart"/>
      <w:r>
        <w:t>SmofKabiven</w:t>
      </w:r>
      <w:proofErr w:type="spellEnd"/>
      <w:r>
        <w:t xml:space="preserve"> och </w:t>
      </w:r>
      <w:proofErr w:type="spellStart"/>
      <w:r>
        <w:t>Kabiven</w:t>
      </w:r>
      <w:proofErr w:type="spellEnd"/>
      <w:r>
        <w:t>, Fresenius Kabi AB</w:t>
      </w:r>
      <w:r>
        <w:br/>
      </w:r>
      <w:hyperlink r:id="rId35" w:history="1">
        <w:r w:rsidRPr="00130034">
          <w:rPr>
            <w:rStyle w:val="Hyperlnk"/>
          </w:rPr>
          <w:t>https://www.fresenius-kabi.com/content/dam/fresenius-kabi/se/products/product-documents/smofkabiven-</w:t>
        </w:r>
        <w:r w:rsidRPr="00130034">
          <w:rPr>
            <w:rStyle w:val="Hyperlnk"/>
          </w:rPr>
          <w:lastRenderedPageBreak/>
          <w:t>smofkabiven-ef-smofkabiven-perifer/hjalpredan.pdf.coredownload.inline.pdf</w:t>
        </w:r>
      </w:hyperlink>
    </w:p>
    <w:p w14:paraId="7205A015" w14:textId="77777777" w:rsidR="00340BDD" w:rsidRDefault="00340BDD" w:rsidP="00340BDD">
      <w:pPr>
        <w:pStyle w:val="Rubrik2"/>
        <w:ind w:right="-143"/>
      </w:pPr>
      <w:bookmarkStart w:id="33" w:name="_Toc212712570"/>
      <w:r>
        <w:t>Referensförteckning</w:t>
      </w:r>
      <w:bookmarkEnd w:id="33"/>
    </w:p>
    <w:p w14:paraId="5CDB48D4" w14:textId="506738DD" w:rsidR="00340BDD" w:rsidRDefault="00340BDD" w:rsidP="00340BDD">
      <w:pPr>
        <w:pStyle w:val="Liststycke"/>
        <w:numPr>
          <w:ilvl w:val="0"/>
          <w:numId w:val="22"/>
        </w:numPr>
        <w:ind w:right="-143"/>
      </w:pPr>
      <w:r>
        <w:t xml:space="preserve">NICE. </w:t>
      </w:r>
      <w:proofErr w:type="spellStart"/>
      <w:r>
        <w:t>Overview</w:t>
      </w:r>
      <w:proofErr w:type="spellEnd"/>
      <w:r>
        <w:t xml:space="preserve"> | Nutrition support for </w:t>
      </w:r>
      <w:proofErr w:type="spellStart"/>
      <w:r>
        <w:t>adults</w:t>
      </w:r>
      <w:proofErr w:type="spellEnd"/>
      <w:r>
        <w:t xml:space="preserve">: oral nutrition support, </w:t>
      </w:r>
      <w:proofErr w:type="spellStart"/>
      <w:r>
        <w:t>enteral</w:t>
      </w:r>
      <w:proofErr w:type="spellEnd"/>
      <w:r>
        <w:t xml:space="preserve"> </w:t>
      </w:r>
      <w:proofErr w:type="spellStart"/>
      <w:r>
        <w:t>tube</w:t>
      </w:r>
      <w:proofErr w:type="spellEnd"/>
      <w:r>
        <w:t xml:space="preserve"> </w:t>
      </w:r>
      <w:proofErr w:type="spellStart"/>
      <w:r>
        <w:t>feeding</w:t>
      </w:r>
      <w:proofErr w:type="spellEnd"/>
      <w:r>
        <w:t xml:space="preserve"> and parenteral nutrition | </w:t>
      </w:r>
      <w:proofErr w:type="spellStart"/>
      <w:r>
        <w:t>Guidance</w:t>
      </w:r>
      <w:proofErr w:type="spellEnd"/>
      <w:r>
        <w:t xml:space="preserve"> | NICE [Internet]. Nice.org.uk. NICE; 2006. Tillgänglig från: </w:t>
      </w:r>
      <w:hyperlink r:id="rId36" w:history="1">
        <w:r w:rsidRPr="00340BDD">
          <w:rPr>
            <w:rStyle w:val="Hyperlnk"/>
          </w:rPr>
          <w:t>https://www.nice.org.uk/Guidance/CG32</w:t>
        </w:r>
      </w:hyperlink>
    </w:p>
    <w:p w14:paraId="6385C8F3" w14:textId="0FB27A7C" w:rsidR="00340BDD" w:rsidRDefault="00340BDD" w:rsidP="00340BDD">
      <w:pPr>
        <w:pStyle w:val="Liststycke"/>
        <w:numPr>
          <w:ilvl w:val="0"/>
          <w:numId w:val="22"/>
        </w:numPr>
        <w:ind w:right="-143"/>
      </w:pPr>
      <w:r>
        <w:t>Vårdhandboken</w:t>
      </w:r>
    </w:p>
    <w:p w14:paraId="232AC742" w14:textId="47428DED" w:rsidR="009A32ED" w:rsidRPr="00A722BD" w:rsidRDefault="00340BDD" w:rsidP="00340BDD">
      <w:pPr>
        <w:pStyle w:val="Liststycke"/>
        <w:numPr>
          <w:ilvl w:val="0"/>
          <w:numId w:val="0"/>
        </w:numPr>
        <w:ind w:left="1287" w:right="-143"/>
      </w:pPr>
      <w:hyperlink r:id="rId37" w:history="1">
        <w:r w:rsidRPr="00340BDD">
          <w:rPr>
            <w:rStyle w:val="Hyperlnk"/>
          </w:rPr>
          <w:t>www.vardhandboken.se</w:t>
        </w:r>
      </w:hyperlink>
    </w:p>
    <w:p w14:paraId="40AA233F" w14:textId="04A51862" w:rsidR="009C6C0C" w:rsidRDefault="009C6C0C" w:rsidP="009A32ED">
      <w:pPr>
        <w:ind w:right="-143"/>
      </w:pPr>
    </w:p>
    <w:sectPr w:rsidR="009C6C0C" w:rsidSect="00B96AFF">
      <w:headerReference w:type="default" r:id="rId38"/>
      <w:footerReference w:type="even" r:id="rId39"/>
      <w:footerReference w:type="default" r:id="rId40"/>
      <w:headerReference w:type="first" r:id="rId41"/>
      <w:footerReference w:type="first" r:id="rId4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42DCB8" w14:textId="77777777" w:rsidR="00D76242" w:rsidRDefault="00D76242">
      <w:r>
        <w:separator/>
      </w:r>
    </w:p>
  </w:endnote>
  <w:endnote w:type="continuationSeparator" w:id="0">
    <w:p w14:paraId="5FAA12B5" w14:textId="77777777" w:rsidR="00D76242" w:rsidRDefault="00D76242">
      <w:r>
        <w:continuationSeparator/>
      </w:r>
    </w:p>
  </w:endnote>
  <w:endnote w:type="continuationNotice" w:id="1">
    <w:p w14:paraId="03CFB49B" w14:textId="77777777" w:rsidR="00D76242" w:rsidRDefault="00D762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171EA"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391259" w14:textId="77777777" w:rsidR="00D76242" w:rsidRDefault="00D76242"/>
  </w:footnote>
  <w:footnote w:type="continuationSeparator" w:id="0">
    <w:p w14:paraId="094B9619" w14:textId="77777777" w:rsidR="00D76242" w:rsidRDefault="00D76242">
      <w:r>
        <w:continuationSeparator/>
      </w:r>
    </w:p>
  </w:footnote>
  <w:footnote w:type="continuationNotice" w:id="1">
    <w:p w14:paraId="673DB72D" w14:textId="77777777" w:rsidR="00D76242" w:rsidRDefault="00D762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2B1321B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04CD5518">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37299B"/>
    <w:multiLevelType w:val="hybridMultilevel"/>
    <w:tmpl w:val="B37C239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5" w15:restartNumberingAfterBreak="0">
    <w:nsid w:val="125E4340"/>
    <w:multiLevelType w:val="hybridMultilevel"/>
    <w:tmpl w:val="BD0626F8"/>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F657D96"/>
    <w:multiLevelType w:val="hybridMultilevel"/>
    <w:tmpl w:val="BDF05A96"/>
    <w:lvl w:ilvl="0" w:tplc="24DED556">
      <w:start w:val="1"/>
      <w:numFmt w:val="decimal"/>
      <w:lvlText w:val="%1."/>
      <w:lvlJc w:val="left"/>
      <w:pPr>
        <w:ind w:left="1302" w:hanging="735"/>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7"/>
  </w:num>
  <w:num w:numId="3" w16cid:durableId="164058872">
    <w:abstractNumId w:val="0"/>
  </w:num>
  <w:num w:numId="4" w16cid:durableId="861477783">
    <w:abstractNumId w:val="8"/>
  </w:num>
  <w:num w:numId="5" w16cid:durableId="1280868239">
    <w:abstractNumId w:val="18"/>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6"/>
  </w:num>
  <w:num w:numId="13" w16cid:durableId="57095060">
    <w:abstractNumId w:val="16"/>
  </w:num>
  <w:num w:numId="14" w16cid:durableId="36130748">
    <w:abstractNumId w:val="12"/>
  </w:num>
  <w:num w:numId="15" w16cid:durableId="560679449">
    <w:abstractNumId w:val="9"/>
  </w:num>
  <w:num w:numId="16" w16cid:durableId="1420566503">
    <w:abstractNumId w:val="15"/>
  </w:num>
  <w:num w:numId="17" w16cid:durableId="256527698">
    <w:abstractNumId w:val="7"/>
  </w:num>
  <w:num w:numId="18" w16cid:durableId="1090539201">
    <w:abstractNumId w:val="13"/>
  </w:num>
  <w:num w:numId="19" w16cid:durableId="1846439597">
    <w:abstractNumId w:val="19"/>
  </w:num>
  <w:num w:numId="20" w16cid:durableId="1061951394">
    <w:abstractNumId w:val="5"/>
  </w:num>
  <w:num w:numId="21" w16cid:durableId="319387816">
    <w:abstractNumId w:val="4"/>
  </w:num>
  <w:num w:numId="22" w16cid:durableId="20548517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1EA"/>
    <w:rsid w:val="00030DDD"/>
    <w:rsid w:val="000313BB"/>
    <w:rsid w:val="00033ED5"/>
    <w:rsid w:val="000369D2"/>
    <w:rsid w:val="0003DADC"/>
    <w:rsid w:val="00050500"/>
    <w:rsid w:val="0005691C"/>
    <w:rsid w:val="00056ECB"/>
    <w:rsid w:val="00056ED5"/>
    <w:rsid w:val="00061969"/>
    <w:rsid w:val="000655CC"/>
    <w:rsid w:val="000700AE"/>
    <w:rsid w:val="00084024"/>
    <w:rsid w:val="0009062C"/>
    <w:rsid w:val="00095368"/>
    <w:rsid w:val="000954C4"/>
    <w:rsid w:val="000A611A"/>
    <w:rsid w:val="000B12D9"/>
    <w:rsid w:val="000B24B5"/>
    <w:rsid w:val="000B4536"/>
    <w:rsid w:val="000B7715"/>
    <w:rsid w:val="000E463B"/>
    <w:rsid w:val="000E5A7E"/>
    <w:rsid w:val="000F43A3"/>
    <w:rsid w:val="000F7681"/>
    <w:rsid w:val="00103031"/>
    <w:rsid w:val="001044FE"/>
    <w:rsid w:val="001108C0"/>
    <w:rsid w:val="00111CB2"/>
    <w:rsid w:val="001139D4"/>
    <w:rsid w:val="00130034"/>
    <w:rsid w:val="00131B08"/>
    <w:rsid w:val="00132A59"/>
    <w:rsid w:val="00133337"/>
    <w:rsid w:val="00133A0F"/>
    <w:rsid w:val="001353D3"/>
    <w:rsid w:val="0013580F"/>
    <w:rsid w:val="00137B6D"/>
    <w:rsid w:val="0014070B"/>
    <w:rsid w:val="001422C1"/>
    <w:rsid w:val="001522AE"/>
    <w:rsid w:val="00157D5B"/>
    <w:rsid w:val="00161FE6"/>
    <w:rsid w:val="00164C3D"/>
    <w:rsid w:val="00166D3A"/>
    <w:rsid w:val="0017508E"/>
    <w:rsid w:val="00181FDC"/>
    <w:rsid w:val="00184167"/>
    <w:rsid w:val="00184944"/>
    <w:rsid w:val="001860B9"/>
    <w:rsid w:val="00186F2B"/>
    <w:rsid w:val="001874D6"/>
    <w:rsid w:val="0019632A"/>
    <w:rsid w:val="001A4E7C"/>
    <w:rsid w:val="001B762C"/>
    <w:rsid w:val="001C4D0A"/>
    <w:rsid w:val="001C5FEF"/>
    <w:rsid w:val="001E1970"/>
    <w:rsid w:val="001E3789"/>
    <w:rsid w:val="001F1F8F"/>
    <w:rsid w:val="00211487"/>
    <w:rsid w:val="00211D91"/>
    <w:rsid w:val="00217DEC"/>
    <w:rsid w:val="002273C9"/>
    <w:rsid w:val="00235B57"/>
    <w:rsid w:val="00250F24"/>
    <w:rsid w:val="002523C5"/>
    <w:rsid w:val="0025380B"/>
    <w:rsid w:val="00253B54"/>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254"/>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0BDD"/>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629E"/>
    <w:rsid w:val="00531E60"/>
    <w:rsid w:val="00537A96"/>
    <w:rsid w:val="00541D07"/>
    <w:rsid w:val="00544BAB"/>
    <w:rsid w:val="00545F31"/>
    <w:rsid w:val="005578FA"/>
    <w:rsid w:val="00565129"/>
    <w:rsid w:val="00565CD0"/>
    <w:rsid w:val="00567820"/>
    <w:rsid w:val="0057277B"/>
    <w:rsid w:val="005770AD"/>
    <w:rsid w:val="00581414"/>
    <w:rsid w:val="00582490"/>
    <w:rsid w:val="00597E28"/>
    <w:rsid w:val="005A475A"/>
    <w:rsid w:val="005A54ED"/>
    <w:rsid w:val="005A5D5B"/>
    <w:rsid w:val="005A6081"/>
    <w:rsid w:val="005A627D"/>
    <w:rsid w:val="005A68A7"/>
    <w:rsid w:val="005C0045"/>
    <w:rsid w:val="005C084E"/>
    <w:rsid w:val="005C4606"/>
    <w:rsid w:val="005D0B0C"/>
    <w:rsid w:val="005E02B3"/>
    <w:rsid w:val="005E1E24"/>
    <w:rsid w:val="0060596B"/>
    <w:rsid w:val="00606D97"/>
    <w:rsid w:val="006148D8"/>
    <w:rsid w:val="00614E64"/>
    <w:rsid w:val="00617710"/>
    <w:rsid w:val="00617EE6"/>
    <w:rsid w:val="0062184C"/>
    <w:rsid w:val="00623724"/>
    <w:rsid w:val="00627BEA"/>
    <w:rsid w:val="006319DB"/>
    <w:rsid w:val="0064442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2576"/>
    <w:rsid w:val="007268AB"/>
    <w:rsid w:val="00730955"/>
    <w:rsid w:val="00733A9C"/>
    <w:rsid w:val="00736574"/>
    <w:rsid w:val="007367E0"/>
    <w:rsid w:val="00737215"/>
    <w:rsid w:val="00754905"/>
    <w:rsid w:val="00760038"/>
    <w:rsid w:val="0076188D"/>
    <w:rsid w:val="00762EE0"/>
    <w:rsid w:val="00765C41"/>
    <w:rsid w:val="00771100"/>
    <w:rsid w:val="00774944"/>
    <w:rsid w:val="007759DD"/>
    <w:rsid w:val="0078609F"/>
    <w:rsid w:val="007917BA"/>
    <w:rsid w:val="007A334E"/>
    <w:rsid w:val="007A5C6F"/>
    <w:rsid w:val="007D3C00"/>
    <w:rsid w:val="007D4241"/>
    <w:rsid w:val="007D4317"/>
    <w:rsid w:val="007D4EA3"/>
    <w:rsid w:val="007E4E5C"/>
    <w:rsid w:val="007F1CFF"/>
    <w:rsid w:val="007F55E2"/>
    <w:rsid w:val="007F5DD5"/>
    <w:rsid w:val="00821A1B"/>
    <w:rsid w:val="008262E9"/>
    <w:rsid w:val="00827E69"/>
    <w:rsid w:val="00831C35"/>
    <w:rsid w:val="00835C4D"/>
    <w:rsid w:val="00843F48"/>
    <w:rsid w:val="00851423"/>
    <w:rsid w:val="008559B4"/>
    <w:rsid w:val="008569C6"/>
    <w:rsid w:val="00857848"/>
    <w:rsid w:val="008654B6"/>
    <w:rsid w:val="0087139C"/>
    <w:rsid w:val="00873419"/>
    <w:rsid w:val="00880E83"/>
    <w:rsid w:val="00892F28"/>
    <w:rsid w:val="008A0C5F"/>
    <w:rsid w:val="008A0EF2"/>
    <w:rsid w:val="008A3DEA"/>
    <w:rsid w:val="008A4EB9"/>
    <w:rsid w:val="008A74C0"/>
    <w:rsid w:val="008B1694"/>
    <w:rsid w:val="008C06A2"/>
    <w:rsid w:val="008C4B27"/>
    <w:rsid w:val="008C7F0C"/>
    <w:rsid w:val="008C7F2A"/>
    <w:rsid w:val="008D124E"/>
    <w:rsid w:val="008D4B13"/>
    <w:rsid w:val="008E36F8"/>
    <w:rsid w:val="008E46B2"/>
    <w:rsid w:val="008E682C"/>
    <w:rsid w:val="008E78A1"/>
    <w:rsid w:val="008F589F"/>
    <w:rsid w:val="008F6917"/>
    <w:rsid w:val="00906238"/>
    <w:rsid w:val="00907EF9"/>
    <w:rsid w:val="00911231"/>
    <w:rsid w:val="0091295C"/>
    <w:rsid w:val="00914D58"/>
    <w:rsid w:val="00921F47"/>
    <w:rsid w:val="009228AB"/>
    <w:rsid w:val="00923AEB"/>
    <w:rsid w:val="0093085B"/>
    <w:rsid w:val="00931C57"/>
    <w:rsid w:val="009347A5"/>
    <w:rsid w:val="00942257"/>
    <w:rsid w:val="009471BF"/>
    <w:rsid w:val="00950E4E"/>
    <w:rsid w:val="009529BD"/>
    <w:rsid w:val="009533B4"/>
    <w:rsid w:val="00957D35"/>
    <w:rsid w:val="00971D93"/>
    <w:rsid w:val="009A07DC"/>
    <w:rsid w:val="009A1B79"/>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77C20"/>
    <w:rsid w:val="00A81198"/>
    <w:rsid w:val="00A81E48"/>
    <w:rsid w:val="00A82035"/>
    <w:rsid w:val="00A90D77"/>
    <w:rsid w:val="00A92E07"/>
    <w:rsid w:val="00AA0B3A"/>
    <w:rsid w:val="00AA6EB4"/>
    <w:rsid w:val="00AA767D"/>
    <w:rsid w:val="00AB0CC9"/>
    <w:rsid w:val="00AC3FF6"/>
    <w:rsid w:val="00AD18F9"/>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2E15"/>
    <w:rsid w:val="00B83715"/>
    <w:rsid w:val="00B84336"/>
    <w:rsid w:val="00B851B9"/>
    <w:rsid w:val="00B86453"/>
    <w:rsid w:val="00B90054"/>
    <w:rsid w:val="00B92C14"/>
    <w:rsid w:val="00B93597"/>
    <w:rsid w:val="00B96AFF"/>
    <w:rsid w:val="00B97D4E"/>
    <w:rsid w:val="00BA0066"/>
    <w:rsid w:val="00BB69DB"/>
    <w:rsid w:val="00BC322E"/>
    <w:rsid w:val="00BC44CD"/>
    <w:rsid w:val="00BC48A6"/>
    <w:rsid w:val="00BC6590"/>
    <w:rsid w:val="00BE7978"/>
    <w:rsid w:val="00C01F0D"/>
    <w:rsid w:val="00C07DDB"/>
    <w:rsid w:val="00C17238"/>
    <w:rsid w:val="00C27DA2"/>
    <w:rsid w:val="00C33A0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7682"/>
    <w:rsid w:val="00CB0493"/>
    <w:rsid w:val="00CB17FF"/>
    <w:rsid w:val="00CB1ED7"/>
    <w:rsid w:val="00CC167C"/>
    <w:rsid w:val="00CC52D9"/>
    <w:rsid w:val="00CC63FB"/>
    <w:rsid w:val="00CD6647"/>
    <w:rsid w:val="00CE4B73"/>
    <w:rsid w:val="00CF70BB"/>
    <w:rsid w:val="00D00BD7"/>
    <w:rsid w:val="00D074DB"/>
    <w:rsid w:val="00D139CF"/>
    <w:rsid w:val="00D20779"/>
    <w:rsid w:val="00D37E7F"/>
    <w:rsid w:val="00D44D17"/>
    <w:rsid w:val="00D47AD7"/>
    <w:rsid w:val="00D51529"/>
    <w:rsid w:val="00D62468"/>
    <w:rsid w:val="00D631E7"/>
    <w:rsid w:val="00D67C88"/>
    <w:rsid w:val="00D76242"/>
    <w:rsid w:val="00D85218"/>
    <w:rsid w:val="00D915B1"/>
    <w:rsid w:val="00DA299D"/>
    <w:rsid w:val="00DA65C4"/>
    <w:rsid w:val="00DC5D44"/>
    <w:rsid w:val="00DE4447"/>
    <w:rsid w:val="00DE5DA2"/>
    <w:rsid w:val="00DE63C6"/>
    <w:rsid w:val="00DF0033"/>
    <w:rsid w:val="00E026BF"/>
    <w:rsid w:val="00E07B1B"/>
    <w:rsid w:val="00E11853"/>
    <w:rsid w:val="00E411B6"/>
    <w:rsid w:val="00E41483"/>
    <w:rsid w:val="00E52A86"/>
    <w:rsid w:val="00E54B47"/>
    <w:rsid w:val="00E553BF"/>
    <w:rsid w:val="00E55D93"/>
    <w:rsid w:val="00E61294"/>
    <w:rsid w:val="00E66777"/>
    <w:rsid w:val="00E7237C"/>
    <w:rsid w:val="00E77C46"/>
    <w:rsid w:val="00E86CE8"/>
    <w:rsid w:val="00E90E82"/>
    <w:rsid w:val="00E95C58"/>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E5457"/>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537A96"/>
    <w:pPr>
      <w:tabs>
        <w:tab w:val="right" w:leader="dot" w:pos="8919"/>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customStyle="1" w:styleId="Tabelltext">
    <w:name w:val="Tabelltext"/>
    <w:qFormat/>
    <w:rsid w:val="0064442B"/>
    <w:pPr>
      <w:spacing w:after="100" w:line="288" w:lineRule="auto"/>
    </w:pPr>
    <w:rPr>
      <w:rFonts w:ascii="Georgia" w:eastAsia="Calibri" w:hAnsi="Georgia" w:cs="Calibri"/>
      <w:color w:val="000000" w:themeColor="text1"/>
      <w:sz w:val="22"/>
      <w:szCs w:val="24"/>
    </w:rPr>
  </w:style>
  <w:style w:type="paragraph" w:styleId="Kommentarer">
    <w:name w:val="annotation text"/>
    <w:basedOn w:val="Normal"/>
    <w:link w:val="KommentarerChar"/>
    <w:uiPriority w:val="99"/>
    <w:unhideWhenUsed/>
    <w:rsid w:val="0064442B"/>
    <w:pPr>
      <w:spacing w:line="240" w:lineRule="auto"/>
    </w:pPr>
    <w:rPr>
      <w:sz w:val="20"/>
      <w:szCs w:val="20"/>
    </w:rPr>
  </w:style>
  <w:style w:type="character" w:customStyle="1" w:styleId="KommentarerChar">
    <w:name w:val="Kommentarer Char"/>
    <w:basedOn w:val="Standardstycketeckensnitt"/>
    <w:link w:val="Kommentarer"/>
    <w:uiPriority w:val="99"/>
    <w:rsid w:val="0064442B"/>
    <w:rPr>
      <w:rFonts w:ascii="Georgia" w:hAnsi="Georgia"/>
    </w:rPr>
  </w:style>
  <w:style w:type="paragraph" w:styleId="Kommentarsmne">
    <w:name w:val="annotation subject"/>
    <w:basedOn w:val="Kommentarer"/>
    <w:next w:val="Kommentarer"/>
    <w:link w:val="KommentarsmneChar"/>
    <w:uiPriority w:val="99"/>
    <w:semiHidden/>
    <w:unhideWhenUsed/>
    <w:rsid w:val="0064442B"/>
    <w:pPr>
      <w:ind w:left="992"/>
    </w:pPr>
    <w:rPr>
      <w:b/>
      <w:bCs/>
    </w:rPr>
  </w:style>
  <w:style w:type="character" w:customStyle="1" w:styleId="KommentarsmneChar">
    <w:name w:val="Kommentarsämne Char"/>
    <w:basedOn w:val="KommentarerChar"/>
    <w:link w:val="Kommentarsmne"/>
    <w:uiPriority w:val="99"/>
    <w:semiHidden/>
    <w:rsid w:val="0064442B"/>
    <w:rPr>
      <w:rFonts w:ascii="Georgia" w:hAnsi="Georgia"/>
      <w:b/>
      <w:bCs/>
    </w:rPr>
  </w:style>
  <w:style w:type="paragraph" w:customStyle="1" w:styleId="Tabellrubriker">
    <w:name w:val="Tabellrubriker"/>
    <w:qFormat/>
    <w:rsid w:val="0064442B"/>
    <w:pPr>
      <w:spacing w:before="40" w:after="40"/>
    </w:pPr>
    <w:rPr>
      <w:rFonts w:ascii="Verdana" w:eastAsia="Calibri" w:hAnsi="Verdana" w:cs="Calibri"/>
      <w:b/>
      <w:bCs/>
      <w:color w:val="000000" w:themeColor="text1"/>
      <w:sz w:val="22"/>
      <w:szCs w:val="24"/>
    </w:rPr>
  </w:style>
  <w:style w:type="character" w:styleId="Kommentarsreferens">
    <w:name w:val="annotation reference"/>
    <w:basedOn w:val="Standardstycketeckensnitt"/>
    <w:uiPriority w:val="99"/>
    <w:semiHidden/>
    <w:unhideWhenUsed/>
    <w:rsid w:val="00130034"/>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vatskenutrition.vgregion.se/" TargetMode="External" Id="rId13" /><Relationship Type="http://schemas.openxmlformats.org/officeDocument/2006/relationships/image" Target="media/image1.png" Id="rId18" /><Relationship Type="http://schemas.openxmlformats.org/officeDocument/2006/relationships/hyperlink" Target="https://www.fresenius-kabi.com/content/dam/fresenius-kabi/se/products/product-documents/smofkabiven-smofkabiven-ef-smofkabiven-perifer/hjalpredan.pdf.coredownload.inline.pdf" TargetMode="External" Id="rId26" /><Relationship Type="http://schemas.openxmlformats.org/officeDocument/2006/relationships/footer" Target="footer1.xml" Id="rId39" /><Relationship Type="http://schemas.openxmlformats.org/officeDocument/2006/relationships/image" Target="cid:image002.png@01DBB468.1CA53870" TargetMode="External" Id="rId21" /><Relationship Type="http://schemas.openxmlformats.org/officeDocument/2006/relationships/hyperlink" Target="https://insidan.vgregion.se/forvaltningar/sodra-alvsborgs-sjukhus/styrdokument" TargetMode="External" Id="rId34" /><Relationship Type="http://schemas.openxmlformats.org/officeDocument/2006/relationships/footer" Target="footer3.xml" Id="rId42"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741/surrogate/Parenteral%20nutrition%20f%c3%b6r%20vuxna%20efter%20utskrivning%20fr%c3%a5n%20v%c3%a5rdavdelning%2c%20S%c3%84S.pdf" TargetMode="External" Id="rId16" /><Relationship Type="http://schemas.openxmlformats.org/officeDocument/2006/relationships/image" Target="media/image2.png" Id="rId20" /><Relationship Type="http://schemas.openxmlformats.org/officeDocument/2006/relationships/hyperlink" Target="https://www.apl.se/samhallsuppdraget/aida.html?sv.target=12.1f169aa2173042d75c421c68&amp;sv.12.1f169aa2173042d75c421c68.route=%2Fproduct%2F52%2Fdocument&amp;returnTo=%7B%22route%22%3A%22%2Fcharacter%2FF%22%7D" TargetMode="External" Id="rId29" /><Relationship Type="http://schemas.openxmlformats.org/officeDocument/2006/relationships/header" Target="header2.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fresenius-kabi.com/content/dam/fresenius-kabi/se/products/product-documents/smofkabiven-smofkabiven-ef-smofkabiven-perifer/hjalpredan.pdf.coredownload.inline.pdf" TargetMode="External" Id="rId24" /><Relationship Type="http://schemas.openxmlformats.org/officeDocument/2006/relationships/hyperlink" Target="https://www.fresenius-kabi.com/content/dam/fresenius-kabi/se/products/product-documents/smofkabiven-smofkabiven-ef-smofkabiven-perifer/hjalpredan.pdf.coredownload.inline.pdf" TargetMode="External" Id="rId32" /><Relationship Type="http://schemas.openxmlformats.org/officeDocument/2006/relationships/hyperlink" Target="www.vardhandboken.se" TargetMode="External" Id="rId37" /><Relationship Type="http://schemas.openxmlformats.org/officeDocument/2006/relationships/footer" Target="footer2.xml" Id="rId40" /><Relationship Type="http://schemas.openxmlformats.org/officeDocument/2006/relationships/hyperlink" Target="https://www.vardhandboken.se/katetrar-sonder-och-dran/central-venkateter/oversikt/" TargetMode="External" Id="rId15" /><Relationship Type="http://schemas.openxmlformats.org/officeDocument/2006/relationships/hyperlink" Target="https://mellanarkiv-offentlig.vgregion.se/alfresco/s/archive/stream/public/v1/source/available/sofia/su9882-597462984-103/surrogate/%c3%85tg%c3%a4rder%20vid%20leverp%c3%a5verkan%20av%20Parenteral%20Nutrition%20(PN)%20under%20l%c3%a5ng%20tid%20(mer%20%c3%a4n%204%20v.).pdf" TargetMode="External" Id="rId23" /><Relationship Type="http://schemas.openxmlformats.org/officeDocument/2006/relationships/hyperlink" Target="https://www.apl.se/samhallsuppdraget/aida.html?sv.target=12.1f169aa2173042d75c421c68&amp;sv.12.1f169aa2173042d75c421c68.route=%2Fproduct%2F586%2Fdocument&amp;returnTo=%7B%22route%22%3A%22%2Fcharacter%2FF%22%7D" TargetMode="External" Id="rId28" /><Relationship Type="http://schemas.openxmlformats.org/officeDocument/2006/relationships/hyperlink" Target="https://www.nice.org.uk/Guidance/CG32" TargetMode="External" Id="rId36" /><Relationship Type="http://schemas.openxmlformats.org/officeDocument/2006/relationships/footnotes" Target="footnotes.xml" Id="rId10" /><Relationship Type="http://schemas.openxmlformats.org/officeDocument/2006/relationships/image" Target="cid:image001.png@01DBB468.1CA53870" TargetMode="External" Id="rId19" /><Relationship Type="http://schemas.openxmlformats.org/officeDocument/2006/relationships/hyperlink" Target="https://mellanarkiv-offentlig.vgregion.se/alfresco/s/archive/stream/public/v1/source/available/sofia/rhs10012-1240736041-905/native/Regional%20rutin%20f%c3%b6r%20sp%c3%a4dning%20av%20intraven%c3%b6sa%20l%c3%a4kemedel%20till%20vuxna.pdf" TargetMode="External" Id="rId31" /><Relationship Type="http://schemas.openxmlformats.org/officeDocument/2006/relationships/theme" Target="theme/theme1.xml" Id="rId44"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14" /><Relationship Type="http://schemas.openxmlformats.org/officeDocument/2006/relationships/hyperlink" Target="https://mellanarkiv-offentlig.vgregion.se/alfresco/s/archive/stream/public/v1/source/available/sofia/ssn11760-725702066-686/surrogate/Terapir%c3%a5d%20Tiaminbehandling%20vid%20alkoholabstinens%20-%20malnutrition.pdf" TargetMode="External" Id="rId22" /><Relationship Type="http://schemas.openxmlformats.org/officeDocument/2006/relationships/hyperlink" Target="https://mellanarkiv-offentlig.vgregion.se/alfresco/s/archive/stream/public/v1/source/available/sofia/rhs10012-1240736041-905/native/Regional%20rutin%20f%c3%b6r%20sp%c3%a4dning%20av%20intraven%c3%b6sa%20l%c3%a4kemedel%20till%20vuxna.pdf" TargetMode="External" Id="rId27" /><Relationship Type="http://schemas.openxmlformats.org/officeDocument/2006/relationships/hyperlink" Target="https://www.fresenius-kabi.com/content/dam/fresenius-kabi/se/products/product-documents/smofkabiven-smofkabiven-ef-smofkabiven-perifer/hjalpredan.pdf.coredownload.inline.pdf" TargetMode="External" Id="rId30" /><Relationship Type="http://schemas.openxmlformats.org/officeDocument/2006/relationships/hyperlink" Target="https://www.fresenius-kabi.com/content/dam/fresenius-kabi/se/products/product-documents/smofkabiven-smofkabiven-ef-smofkabiven-perifer/hjalpredan.pdf.coredownload.inline.pdf" TargetMode="External" Id="rId35" /><Relationship Type="http://schemas.openxmlformats.org/officeDocument/2006/relationships/fontTable" Target="fontTable.xml" Id="rId43" /><Relationship Type="http://schemas.openxmlformats.org/officeDocument/2006/relationships/settings" Target="settings.xml" Id="rId8" /><Relationship Type="http://schemas.openxmlformats.org/officeDocument/2006/relationships/hyperlink" Target="https://www.vardhandboken.se/vard-och-behandling/nutrition/nutrition-parenteral/" TargetMode="External" Id="rId12" /><Relationship Type="http://schemas.openxmlformats.org/officeDocument/2006/relationships/hyperlink" Target="https://www.fass.se/LIF/startpage;jsessionid=zpbu8CtxoWuVxXxZRU2ruOB0ObkpKzpuNfa0ph6VqdTzjlFnk_2K!1491721576?userType=0" TargetMode="External" Id="rId17" /><Relationship Type="http://schemas.openxmlformats.org/officeDocument/2006/relationships/hyperlink" Target="https://mellanarkiv-offentlig.vgregion.se/alfresco/s/archive/stream/public/v1/source/available/sofia/rhs10012-1240736041-905/native/Regional%20rutin%20f%c3%b6r%20sp%c3%a4dning%20av%20intraven%c3%b6sa%20l%c3%a4kemedel%20till%20vuxna.pdf" TargetMode="External" Id="rId25" /><Relationship Type="http://schemas.openxmlformats.org/officeDocument/2006/relationships/hyperlink" Target="https://insidan.vgregion.se/forvaltningar/sodra-alvsborgs-sjukhus/styrdokument" TargetMode="External" Id="rId33" /><Relationship Type="http://schemas.openxmlformats.org/officeDocument/2006/relationships/header" Target="header1.xml" Id="rId38"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2357</Words>
  <Characters>20817</Characters>
  <Application>Microsoft Office Word</Application>
  <DocSecurity>0</DocSecurity>
  <Lines>578</Lines>
  <Paragraphs>254</Paragraphs>
  <ScaleCrop>false</ScaleCrop>
  <Manager/>
  <Company/>
  <LinksUpToDate>false</LinksUpToDate>
  <CharactersWithSpaces>22920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Parenteral nutrition för vuxna, SÄS</dc:title>
  <dc:subject/>
  <dc:creator/>
  <keywords/>
  <lastModifiedBy/>
  <revision>2</revision>
  <dcterms:created xsi:type="dcterms:W3CDTF">2025-11-06T14:08:00.0000000Z</dcterms:created>
  <dcterms:modified xsi:type="dcterms:W3CDTF">2026-04-08T10:53:00.0000000Z</dcterms:modified>
</coreProperties>
</file>