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D47B5E" w:rsidP="003537FE" w:rsidRDefault="00D47B5E" w14:paraId="0EDB8F46" w14:textId="77777777">
      <w:pPr>
        <w:pStyle w:val="Heading1"/>
        <w:ind w:right="-285"/>
      </w:pPr>
      <w:r>
        <w:t>Hudcancer hos organtransplanterade patienter – prevention och omhändertagande, SÄS</w:t>
      </w:r>
    </w:p>
    <w:p w:rsidR="00D47B5E" w:rsidP="00D47B5E" w:rsidRDefault="00D47B5E" w14:paraId="1814246F" w14:textId="77777777">
      <w:pPr>
        <w:pStyle w:val="Heading2"/>
      </w:pPr>
      <w:r>
        <w:t>Sammanfattning</w:t>
      </w:r>
    </w:p>
    <w:p w:rsidR="00D47B5E" w:rsidP="00D47B5E" w:rsidRDefault="006C3134" w14:paraId="57C66C0C" w14:textId="7D3B2507">
      <w:r>
        <w:t>R</w:t>
      </w:r>
      <w:r w:rsidR="00D47B5E">
        <w:t>utin för hantering av organtransplanterade patienter avseende hudcancer, prevention och uppföljning.</w:t>
      </w:r>
    </w:p>
    <w:p w:rsidR="00D47B5E" w:rsidP="00D47B5E" w:rsidRDefault="00D47B5E" w14:paraId="722BEB43" w14:textId="58F0EF96">
      <w:pPr>
        <w:pStyle w:val="Heading2"/>
      </w:pPr>
      <w:r>
        <w:t>Förändringar sedan föregående version</w:t>
      </w:r>
    </w:p>
    <w:p w:rsidR="719D5727" w:rsidP="065155AE" w:rsidRDefault="719D5727" w14:paraId="5CFBCFEC" w14:textId="05899767">
      <w:r w:rsidR="753A809C">
        <w:rPr/>
        <w:t xml:space="preserve">Redaktionella ändringar, </w:t>
      </w:r>
      <w:r w:rsidR="753A809C">
        <w:rPr/>
        <w:t>giltighetstiden</w:t>
      </w:r>
      <w:r w:rsidR="753A809C">
        <w:rPr/>
        <w:t xml:space="preserve"> förläng</w:t>
      </w:r>
      <w:r w:rsidR="5E9C6B68">
        <w:rPr/>
        <w:t>d</w:t>
      </w:r>
      <w:r w:rsidR="719D5727">
        <w:rPr/>
        <w:t>.</w:t>
      </w:r>
    </w:p>
    <w:p w:rsidR="00D47B5E" w:rsidP="00D47B5E" w:rsidRDefault="00D47B5E" w14:paraId="19ED608E" w14:textId="77777777">
      <w:pPr>
        <w:pStyle w:val="Heading2"/>
      </w:pPr>
      <w:r>
        <w:t>Bakgrund</w:t>
      </w:r>
    </w:p>
    <w:p w:rsidR="00D47B5E" w:rsidP="00BD1D22" w:rsidRDefault="00D47B5E" w14:paraId="429DDAC3" w14:textId="4359A405">
      <w:pPr>
        <w:suppressAutoHyphens/>
      </w:pPr>
      <w:r>
        <w:t>Organtransplanterade patienter löper kraftigt ökad risk att utveckla hudcancer av typen NMSC (Non-melanoma skin cancer) jämfört med normalbefolkningen. Dessutom drabbas organtransplanterade patienter av hudcancer tidigare än andra och tumörerna växer ofta fortare. Antal år med immunosupprimerande behandling, hudtyp, ålder vid transplantation samt solvanor, är de huvudsakliga faktorer som påverkar cancerrisken [1].</w:t>
      </w:r>
    </w:p>
    <w:p w:rsidR="00D47B5E" w:rsidP="00D47B5E" w:rsidRDefault="00D47B5E" w14:paraId="3656B4E0" w14:textId="77777777">
      <w:pPr>
        <w:pStyle w:val="Heading2"/>
      </w:pPr>
      <w:r>
        <w:t>Förutsättningar</w:t>
      </w:r>
    </w:p>
    <w:p w:rsidR="00D47B5E" w:rsidP="00BD1D22" w:rsidRDefault="00D47B5E" w14:paraId="3765C21A" w14:textId="7B552DE2">
      <w:pPr>
        <w:suppressAutoHyphens/>
      </w:pPr>
      <w:r>
        <w:t>Samarbete mellan patientens hemklinik och hudmottagningen samt fokus på prevention och tidig upptäckt av hudcancer, är av yttersta vikt för denna patientgrupp.</w:t>
      </w:r>
    </w:p>
    <w:p w:rsidR="00D47B5E" w:rsidP="00BD1D22" w:rsidRDefault="00D47B5E" w14:paraId="55D43949" w14:textId="77777777">
      <w:pPr>
        <w:pStyle w:val="Heading3"/>
      </w:pPr>
      <w:r>
        <w:t>Ansvar</w:t>
      </w:r>
    </w:p>
    <w:p w:rsidR="00D47B5E" w:rsidP="00D47B5E" w:rsidRDefault="00D47B5E" w14:paraId="12376C31" w14:textId="1190EED7">
      <w:r>
        <w:t xml:space="preserve">För ansvarsfördelning, se rubrik </w:t>
      </w:r>
      <w:r w:rsidRPr="00BD1D22">
        <w:rPr>
          <w:i/>
          <w:iCs/>
        </w:rPr>
        <w:t>Genomförande</w:t>
      </w:r>
      <w:r>
        <w:t>.</w:t>
      </w:r>
    </w:p>
    <w:p w:rsidR="00D47B5E" w:rsidP="00BD1D22" w:rsidRDefault="00D47B5E" w14:paraId="733E6206" w14:textId="77777777">
      <w:pPr>
        <w:pStyle w:val="Heading2"/>
      </w:pPr>
      <w:r>
        <w:t>Genomförande</w:t>
      </w:r>
    </w:p>
    <w:p w:rsidR="00D47B5E" w:rsidP="00746891" w:rsidRDefault="00D47B5E" w14:paraId="3B43724C" w14:textId="77777777">
      <w:pPr>
        <w:pStyle w:val="Heading3"/>
        <w:spacing w:before="120"/>
      </w:pPr>
      <w:r>
        <w:t>Patientens hemklinik</w:t>
      </w:r>
    </w:p>
    <w:p w:rsidRPr="00344854" w:rsidR="00D47B5E" w:rsidP="00BD1D22" w:rsidRDefault="00D47B5E" w14:paraId="258499AA" w14:textId="113FC2D9">
      <w:pPr>
        <w:pStyle w:val="ListBullet"/>
      </w:pPr>
      <w:r w:rsidRPr="00344854">
        <w:t>Lämna solskyddsråd muntligt och skriftligt: patientinformationen “</w:t>
      </w:r>
      <w:hyperlink w:history="1" r:id="rId12">
        <w:r w:rsidRPr="00344854">
          <w:rPr>
            <w:rStyle w:val="Hyperlink"/>
          </w:rPr>
          <w:t>Till dig som är organtransplanterad</w:t>
        </w:r>
      </w:hyperlink>
      <w:r w:rsidRPr="00344854">
        <w:t>”</w:t>
      </w:r>
      <w:r w:rsidR="00C02092">
        <w:t xml:space="preserve"> om solskydd och kontroll av huden</w:t>
      </w:r>
      <w:r w:rsidRPr="00344854">
        <w:t>.</w:t>
      </w:r>
    </w:p>
    <w:p w:rsidR="00D47B5E" w:rsidP="00BD1D22" w:rsidRDefault="00D47B5E" w14:paraId="6B07D03E" w14:textId="77777777">
      <w:pPr>
        <w:pStyle w:val="ListBullet"/>
      </w:pPr>
      <w:r>
        <w:t>Uppmana patienten att höra av sig till hudmottagningen vid nytillkomna, tumörsuspekta lesioner i huden.</w:t>
      </w:r>
    </w:p>
    <w:p w:rsidR="00D47B5E" w:rsidP="00BD1D22" w:rsidRDefault="00D47B5E" w14:paraId="25CCD149" w14:textId="3BB0EA65">
      <w:pPr>
        <w:pStyle w:val="ListBullet"/>
      </w:pPr>
      <w:r>
        <w:t>Remiss till hudmottagningen för genomgång av huden och individualiserad planering för uppföljning.</w:t>
      </w:r>
    </w:p>
    <w:p w:rsidR="00D47B5E" w:rsidP="00483A00" w:rsidRDefault="00D47B5E" w14:paraId="3D85B39D" w14:textId="0D1CFA43">
      <w:pPr>
        <w:pStyle w:val="Punktlistaunderliggande"/>
      </w:pPr>
      <w:r>
        <w:t xml:space="preserve">Alla organtransplanterade patienter ska bedömas av hudläkare första året efter transplantationen. Remiss till hudmottagningen skickas en gång från ansvarig läkare. Därefter har hudmottagningen huvudansvaret för patientens eventuella hudtumörer och uppföljning av dessa. </w:t>
      </w:r>
    </w:p>
    <w:p w:rsidR="00D47B5E" w:rsidP="00BD1D22" w:rsidRDefault="00D47B5E" w14:paraId="4D485C8F" w14:textId="2D76740B">
      <w:pPr>
        <w:pStyle w:val="ListBullet"/>
      </w:pPr>
      <w:r>
        <w:t>Överväg minskad dos immunosuppression hos patienter som drabbats av multipla hudtumörer [2].</w:t>
      </w:r>
    </w:p>
    <w:p w:rsidR="00D47B5E" w:rsidP="00992E1A" w:rsidRDefault="00D47B5E" w14:paraId="6C13C193" w14:textId="77777777">
      <w:pPr>
        <w:pStyle w:val="Heading3"/>
      </w:pPr>
      <w:r>
        <w:t>På hudmottagningen</w:t>
      </w:r>
    </w:p>
    <w:p w:rsidR="00D47B5E" w:rsidP="00F43ACA" w:rsidRDefault="00D47B5E" w14:paraId="4CF60642" w14:textId="0EDDB315">
      <w:pPr>
        <w:pStyle w:val="ListBullet"/>
      </w:pPr>
      <w:r>
        <w:t>Helkroppsinspektion</w:t>
      </w:r>
    </w:p>
    <w:p w:rsidR="00D47B5E" w:rsidP="00F43ACA" w:rsidRDefault="00D47B5E" w14:paraId="155AF483" w14:textId="13BDB413">
      <w:pPr>
        <w:pStyle w:val="Punktlistaunderliggande"/>
      </w:pPr>
      <w:r>
        <w:tab/>
      </w:r>
      <w:r>
        <w:t>Lymfkörtelpalpation på aktuella lokaler vid behov.</w:t>
      </w:r>
    </w:p>
    <w:p w:rsidRPr="00344854" w:rsidR="00D47B5E" w:rsidP="003E4F59" w:rsidRDefault="00D47B5E" w14:paraId="5D62F398" w14:textId="12C38DE5">
      <w:pPr>
        <w:pStyle w:val="ListBullet"/>
      </w:pPr>
      <w:r>
        <w:t xml:space="preserve">Solskyddsråd muntligt och skriftligt: </w:t>
      </w:r>
      <w:r w:rsidRPr="00344854">
        <w:t>patientinformationen “</w:t>
      </w:r>
      <w:hyperlink w:history="1" r:id="rId13">
        <w:r w:rsidRPr="00344854">
          <w:rPr>
            <w:rStyle w:val="Hyperlink"/>
          </w:rPr>
          <w:t>Till dig som är organtransplanterad</w:t>
        </w:r>
      </w:hyperlink>
      <w:r w:rsidRPr="00344854">
        <w:t>”</w:t>
      </w:r>
      <w:r w:rsidRPr="001126CD" w:rsidR="001126CD">
        <w:t xml:space="preserve"> </w:t>
      </w:r>
      <w:r w:rsidR="001126CD">
        <w:t xml:space="preserve">om </w:t>
      </w:r>
      <w:r w:rsidRPr="001126CD" w:rsidR="001126CD">
        <w:t>solskydd och kontroll av huden</w:t>
      </w:r>
      <w:r w:rsidRPr="00344854">
        <w:t>.</w:t>
      </w:r>
    </w:p>
    <w:p w:rsidRPr="00344854" w:rsidR="00D47B5E" w:rsidP="003E4F59" w:rsidRDefault="00D47B5E" w14:paraId="3827FC4A" w14:textId="5786EEB9">
      <w:pPr>
        <w:pStyle w:val="ListBullet"/>
      </w:pPr>
      <w:r w:rsidRPr="00344854">
        <w:t>Information om egenkontroll.</w:t>
      </w:r>
    </w:p>
    <w:p w:rsidR="00D47B5E" w:rsidP="003E4F59" w:rsidRDefault="00D47B5E" w14:paraId="71067633" w14:textId="641A4874">
      <w:pPr>
        <w:pStyle w:val="ListBullet"/>
      </w:pPr>
      <w:r>
        <w:t xml:space="preserve">Göra en individuell plan för uppföljning utifrån riskfaktorer: hudtyp, solexponering (t.ex. utomhusarbete), ålder, duration av immunosuppression, ålder vid transplantation, tidigare tumördiagnoser och precancerösa lesioner. </w:t>
      </w:r>
    </w:p>
    <w:p w:rsidR="00D47B5E" w:rsidP="002D0310" w:rsidRDefault="00D47B5E" w14:paraId="1FF18222" w14:textId="7004BE8B">
      <w:pPr>
        <w:pStyle w:val="Normalmedindrag"/>
      </w:pPr>
      <w:r>
        <w:t>Transplanterade patienter bör följas upp minst en gång per år utifrån individualiserad uppföljning</w:t>
      </w:r>
      <w:r w:rsidR="0002141C">
        <w:t>s</w:t>
      </w:r>
      <w:r>
        <w:t>plan baserad på riskbedömning [3].</w:t>
      </w:r>
    </w:p>
    <w:p w:rsidR="00D47B5E" w:rsidP="00F15F6C" w:rsidRDefault="00D47B5E" w14:paraId="0F1A12B8" w14:textId="6E176F86">
      <w:pPr>
        <w:pStyle w:val="Punktlistaunderliggande"/>
      </w:pPr>
      <w:r>
        <w:tab/>
      </w:r>
      <w:r>
        <w:t>Om patienten ska kallas: ange i planeringsunderlaget att det är en PRIO-pat som ska kallas och om det gäller var 3:e, 6:e eller 12:e månad.</w:t>
      </w:r>
    </w:p>
    <w:p w:rsidR="00D47B5E" w:rsidP="00F15F6C" w:rsidRDefault="00D47B5E" w14:paraId="764CD171" w14:textId="0E487637">
      <w:pPr>
        <w:pStyle w:val="Punktlistaunderliggande"/>
      </w:pPr>
      <w:r>
        <w:tab/>
      </w:r>
      <w:r>
        <w:t xml:space="preserve">Om patienten inte ska kallas: skriv under sökord </w:t>
      </w:r>
      <w:r w:rsidRPr="00B71216">
        <w:rPr>
          <w:i/>
          <w:iCs/>
        </w:rPr>
        <w:t>Planering i Melior</w:t>
      </w:r>
      <w:r>
        <w:t>: ”Öppen retur avseende hudtumörer till hudmottagningen tills vidare”. Diktera även ett planeringsunderlag till Elvis 10 år framåt, med kommentaren “Öppen retur”.</w:t>
      </w:r>
    </w:p>
    <w:p w:rsidR="00D47B5E" w:rsidP="006F0784" w:rsidRDefault="00D47B5E" w14:paraId="7C0BC985" w14:textId="657A999F">
      <w:pPr>
        <w:pStyle w:val="ListBullet"/>
        <w:keepNext/>
        <w:keepLines/>
      </w:pPr>
      <w:r>
        <w:t>Övrigt att tänka på</w:t>
      </w:r>
      <w:r w:rsidR="006F0784">
        <w:t>:</w:t>
      </w:r>
    </w:p>
    <w:p w:rsidR="00D47B5E" w:rsidP="006F0784" w:rsidRDefault="00D47B5E" w14:paraId="6B3EDBB0" w14:textId="0ED77E73">
      <w:pPr>
        <w:pStyle w:val="Punktlistaunderliggande"/>
      </w:pPr>
      <w:r>
        <w:t>Överväg fältbehandling vid utbredda områden av premaligna förändringar (”field of cancerization”).</w:t>
      </w:r>
    </w:p>
    <w:p w:rsidR="00D47B5E" w:rsidP="006F0784" w:rsidRDefault="00D47B5E" w14:paraId="657EF030" w14:textId="3D17DA08">
      <w:pPr>
        <w:pStyle w:val="Punktlistaunderliggande"/>
      </w:pPr>
      <w:r>
        <w:tab/>
      </w:r>
      <w:r>
        <w:t>Överväg Acitretin (i synnerhet vid &gt;5 NMSC/år, field of cancerization + NMSC, ökande frekvens av NMSC, multipla NMSC på högrisklokaler eller högrisk-NMSC) [4].</w:t>
      </w:r>
    </w:p>
    <w:p w:rsidR="00D47B5E" w:rsidP="002B3440" w:rsidRDefault="00D47B5E" w14:paraId="639AD408" w14:textId="5E97F12E">
      <w:pPr>
        <w:pStyle w:val="Heading2"/>
      </w:pPr>
      <w:r>
        <w:t>Dokumentinformation</w:t>
      </w:r>
    </w:p>
    <w:p w:rsidRPr="008A5010" w:rsidR="00D47B5E" w:rsidP="008A5010" w:rsidRDefault="00D47B5E" w14:paraId="45C51E75" w14:textId="77777777">
      <w:pPr>
        <w:spacing w:after="0"/>
        <w:rPr>
          <w:b/>
          <w:bCs/>
        </w:rPr>
      </w:pPr>
      <w:r w:rsidRPr="008A5010">
        <w:rPr>
          <w:b/>
          <w:bCs/>
        </w:rPr>
        <w:t>För innehållet svarar</w:t>
      </w:r>
    </w:p>
    <w:p w:rsidR="00D47B5E" w:rsidP="008A5010" w:rsidRDefault="00AF16E3" w14:paraId="28C267D5" w14:textId="5B6C3179">
      <w:r w:rsidRPr="00AF16E3">
        <w:t>Adriana Marquardt-Feszler, ST-läkare</w:t>
      </w:r>
      <w:r w:rsidR="00D47B5E">
        <w:t>, hudmottagningen, SÄS</w:t>
      </w:r>
    </w:p>
    <w:p w:rsidRPr="008A5010" w:rsidR="00D47B5E" w:rsidP="008A5010" w:rsidRDefault="00D47B5E" w14:paraId="45161C70" w14:textId="22F013A5">
      <w:pPr>
        <w:spacing w:after="0"/>
        <w:rPr>
          <w:b/>
          <w:bCs/>
        </w:rPr>
      </w:pPr>
      <w:r w:rsidRPr="008A5010">
        <w:rPr>
          <w:b/>
          <w:bCs/>
        </w:rPr>
        <w:t>Remissinstanser</w:t>
      </w:r>
      <w:r w:rsidR="00E30450">
        <w:rPr>
          <w:b/>
          <w:bCs/>
        </w:rPr>
        <w:t xml:space="preserve"> (utgåva 1)</w:t>
      </w:r>
    </w:p>
    <w:p w:rsidR="00D47B5E" w:rsidP="002B3440" w:rsidRDefault="00D47B5E" w14:paraId="7C4DC827" w14:textId="539E21CF">
      <w:pPr>
        <w:pStyle w:val="ListBullet"/>
      </w:pPr>
      <w:r>
        <w:t>Maria Teresa ”Maite” Gil Gonzalez, överläkare, medicinklini-ken/njursektionen, SÄS</w:t>
      </w:r>
    </w:p>
    <w:p w:rsidR="00D47B5E" w:rsidP="002B3440" w:rsidRDefault="00D47B5E" w14:paraId="4F048DB5" w14:textId="00E265B7">
      <w:pPr>
        <w:pStyle w:val="ListBullet"/>
      </w:pPr>
      <w:r>
        <w:t>Sara Oldberg Wagner, överläkare/medicinskt ansvarig, HIVÖ/hudmottagningen, SÄS</w:t>
      </w:r>
    </w:p>
    <w:p w:rsidR="00D47B5E" w:rsidP="002B3440" w:rsidRDefault="00D47B5E" w14:paraId="7CBD373C" w14:textId="1E88DA7D">
      <w:pPr>
        <w:pStyle w:val="ListBullet"/>
      </w:pPr>
      <w:r>
        <w:t>Verksamhetschefer, SÄS</w:t>
      </w:r>
    </w:p>
    <w:p w:rsidR="00D47B5E" w:rsidP="002B3440" w:rsidRDefault="00D47B5E" w14:paraId="01FCFAE0" w14:textId="4CE091B2">
      <w:pPr>
        <w:pStyle w:val="ListBullet"/>
      </w:pPr>
      <w:r>
        <w:t>Patientrådet, SÄS (patientinformation)</w:t>
      </w:r>
    </w:p>
    <w:p w:rsidRPr="00CA41B0" w:rsidR="00D47B5E" w:rsidP="00CA41B0" w:rsidRDefault="00D47B5E" w14:paraId="61312370" w14:textId="77777777">
      <w:pPr>
        <w:spacing w:after="0"/>
        <w:rPr>
          <w:b/>
          <w:bCs/>
        </w:rPr>
      </w:pPr>
      <w:r w:rsidRPr="00CA41B0">
        <w:rPr>
          <w:b/>
          <w:bCs/>
        </w:rPr>
        <w:t>Fastställt av</w:t>
      </w:r>
    </w:p>
    <w:p w:rsidR="00D47B5E" w:rsidP="00D47B5E" w:rsidRDefault="00344854" w14:paraId="35296525" w14:textId="7BF006C9">
      <w:r>
        <w:t>Jerker Nilson</w:t>
      </w:r>
      <w:r w:rsidR="00D47B5E">
        <w:t>, chefläkare, SÄS</w:t>
      </w:r>
    </w:p>
    <w:p w:rsidRPr="00CA41B0" w:rsidR="00D47B5E" w:rsidP="00CA41B0" w:rsidRDefault="00D47B5E" w14:paraId="101A04AD" w14:textId="77777777">
      <w:pPr>
        <w:spacing w:after="0"/>
        <w:rPr>
          <w:b/>
          <w:bCs/>
        </w:rPr>
      </w:pPr>
      <w:r w:rsidRPr="00CA41B0">
        <w:rPr>
          <w:b/>
          <w:bCs/>
        </w:rPr>
        <w:t>Nyckelord</w:t>
      </w:r>
    </w:p>
    <w:p w:rsidR="00D47B5E" w:rsidP="00D47B5E" w:rsidRDefault="00D47B5E" w14:paraId="51321838" w14:textId="77777777">
      <w:r>
        <w:t>Organtransplantationer, transplantationer, hudcancer, hudtumörer, hudinspektioner, immunterapi, immundämpande, medicinering, läkemedelsbehandling</w:t>
      </w:r>
    </w:p>
    <w:p w:rsidR="00D47B5E" w:rsidP="00CA41B0" w:rsidRDefault="00D47B5E" w14:paraId="3E624B5B" w14:textId="77777777">
      <w:pPr>
        <w:pStyle w:val="Heading2"/>
      </w:pPr>
      <w:r>
        <w:t>Referensförteckning</w:t>
      </w:r>
    </w:p>
    <w:p w:rsidR="00D47B5E" w:rsidP="00936929" w:rsidRDefault="00D47B5E" w14:paraId="5BF1C3C4" w14:textId="0BAF8490">
      <w:pPr>
        <w:pStyle w:val="Punktlistanumrerad"/>
      </w:pPr>
      <w:r>
        <w:t>Mittal A, Colegio OR. Skin Cancers in Organ Transplant Recipients. Am J Transplant. 2017;17(10):2509-30.</w:t>
      </w:r>
    </w:p>
    <w:p w:rsidR="00D47B5E" w:rsidP="00936929" w:rsidRDefault="00D47B5E" w14:paraId="64F00AA5" w14:textId="0F582024">
      <w:pPr>
        <w:pStyle w:val="Punktlistanumrerad"/>
      </w:pPr>
      <w:r>
        <w:t>Otley CC, Maragh SL. Reduction of immunosuppression for transplantassociated skin cancer: rationale and evidence of efficacy. Dermatol Surg. 2005;31(2):163-8.</w:t>
      </w:r>
    </w:p>
    <w:p w:rsidR="00D47B5E" w:rsidRDefault="00D47B5E" w14:paraId="7D907C61" w14:textId="182A9274">
      <w:pPr>
        <w:pStyle w:val="Punktlistanumrerad"/>
      </w:pPr>
      <w:r>
        <w:t>National Kidney Foundation.</w:t>
      </w:r>
      <w:r w:rsidR="00033C3C">
        <w:br/>
      </w:r>
      <w:hyperlink w:history="1" r:id="rId14">
        <w:r w:rsidRPr="00420D6A" w:rsidR="00033C3C">
          <w:rPr>
            <w:rStyle w:val="Hyperlink"/>
          </w:rPr>
          <w:t>www.kidney.org</w:t>
        </w:r>
      </w:hyperlink>
    </w:p>
    <w:p w:rsidRPr="006978CC" w:rsidR="009C6C0C" w:rsidP="00936929" w:rsidRDefault="00D47B5E" w14:paraId="40AA233F" w14:textId="78BFE551">
      <w:pPr>
        <w:pStyle w:val="Punktlistanumrerad"/>
      </w:pPr>
      <w:r>
        <w:t>Herold M, Good AJ, Nielson CB, Longo MI. Use of Topical and System-ic Retinoids in Solid Organ Transplant Recipients: Update and Review of the Current Literature. Dermatol Surg. 2019;45(12):1442-9.</w:t>
      </w:r>
    </w:p>
    <w:sectPr w:rsidRPr="006978CC" w:rsidR="009C6C0C" w:rsidSect="00B96AFF">
      <w:headerReference w:type="default" r:id="rId15"/>
      <w:footerReference w:type="even" r:id="rId16"/>
      <w:footerReference w:type="default" r:id="rId17"/>
      <w:headerReference w:type="first" r:id="rId18"/>
      <w:footerReference w:type="first" r:id="rId19"/>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1B2699" w:rsidRDefault="001B2699" w14:paraId="6B745DE9" w14:textId="77777777">
      <w:r>
        <w:separator/>
      </w:r>
    </w:p>
  </w:endnote>
  <w:endnote w:type="continuationSeparator" w:id="0">
    <w:p w:rsidR="001B2699" w:rsidRDefault="001B2699" w14:paraId="3FB0FC1A" w14:textId="77777777">
      <w:r>
        <w:continuationSeparator/>
      </w:r>
    </w:p>
  </w:endnote>
  <w:endnote w:type="continuationNotice" w:id="1">
    <w:p w:rsidR="001B2699" w:rsidRDefault="001B2699" w14:paraId="19C8C0E1"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gency FB">
    <w:charset w:val="00"/>
    <w:family w:val="swiss"/>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02AFF24">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p w:rsidR="00660269" w:rsidP="00E37A8D" w:rsidRDefault="00E37A8D" w14:paraId="1FE2B822" w14:textId="539B3B11">
    <w:pPr>
      <w:pStyle w:val="Footer"/>
      <w:spacing w:after="0" w:line="240" w:lineRule="auto"/>
      <w:ind w:left="6237" w:firstLine="426"/>
      <w:jc w:val="left"/>
    </w:pPr>
    <w:r>
      <w:rPr>
        <w:noProof/>
      </w:rPr>
      <w:drawing>
        <wp:inline distT="0" distB="0" distL="0" distR="0" wp14:anchorId="0535E773" wp14:editId="7FFCEC4F">
          <wp:extent cx="1897200" cy="363600"/>
          <wp:effectExtent l="0" t="0" r="0" b="0"/>
          <wp:docPr id="15390928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180048" name=""/>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1B2699" w:rsidRDefault="001B2699" w14:paraId="04FA4DF2" w14:textId="77777777"/>
  </w:footnote>
  <w:footnote w:type="continuationSeparator" w:id="0">
    <w:p w:rsidR="001B2699" w:rsidRDefault="001B2699" w14:paraId="64A1B883" w14:textId="77777777">
      <w:r>
        <w:continuationSeparator/>
      </w:r>
    </w:p>
  </w:footnote>
  <w:footnote w:type="continuationNotice" w:id="1">
    <w:p w:rsidR="001B2699" w:rsidRDefault="001B2699" w14:paraId="780BD3FC"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8D7C14D">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6C5204" w14:paraId="058CDD4D" w14:textId="08EBF3A0">
    <w:pPr>
      <w:pStyle w:val="Header"/>
      <w:ind w:left="0" w:right="567"/>
    </w:pPr>
    <w:r>
      <w:rPr>
        <w:noProof/>
        <w:sz w:val="20"/>
        <w:szCs w:val="20"/>
      </w:rPr>
      <mc:AlternateContent>
        <mc:Choice Requires="wps">
          <w:drawing>
            <wp:anchor distT="0" distB="0" distL="114300" distR="114300" simplePos="0" relativeHeight="251658240" behindDoc="0" locked="0" layoutInCell="1" allowOverlap="1" wp14:anchorId="5B7982AB" wp14:editId="6EE63863">
              <wp:simplePos x="0" y="0"/>
              <wp:positionH relativeFrom="column">
                <wp:posOffset>-172720</wp:posOffset>
              </wp:positionH>
              <wp:positionV relativeFrom="paragraph">
                <wp:posOffset>-72390</wp:posOffset>
              </wp:positionV>
              <wp:extent cx="4669155" cy="2667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266700"/>
                      </a:xfrm>
                      <a:prstGeom prst="rect">
                        <a:avLst/>
                      </a:prstGeom>
                      <a:noFill/>
                      <a:ln w="6350">
                        <a:noFill/>
                      </a:ln>
                    </wps:spPr>
                    <wps:txbx>
                      <w:txbxContent>
                        <w:p w:rsidRPr="001F3B09" w:rsidR="00413A60" w:rsidRDefault="00413A60" w14:paraId="72D45401" w14:textId="0A2CCBAA">
                          <w:pPr>
                            <w:ind w:left="0"/>
                          </w:pPr>
                          <w:r w:rsidRPr="001F3B09">
                            <w:rPr>
                              <w:sz w:val="20"/>
                              <w:szCs w:val="20"/>
                            </w:rPr>
                            <w:t>OBS! Utskriven version kan vara ogiltig. Verifiera innehållet</w:t>
                          </w:r>
                          <w:r w:rsidRPr="001F3B09"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8A71FE4">
            <v:shapetype id="_x0000_t202" coordsize="21600,21600" o:spt="202" path="m,l,21600r21600,l21600,xe" w14:anchorId="5B7982AB">
              <v:stroke joinstyle="miter"/>
              <v:path gradientshapeok="t" o:connecttype="rect"/>
            </v:shapetype>
            <v:shape id="Textruta 6" style="position:absolute;margin-left:-13.6pt;margin-top:-5.7pt;width:367.65pt;height:2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">
              <v:textbox>
                <w:txbxContent>
                  <w:p w:rsidRPr="001F3B09" w:rsidR="00413A60" w:rsidRDefault="00413A60" w14:paraId="6D41DF98" w14:textId="0A2CCBAA">
                    <w:pPr>
                      <w:ind w:left="0"/>
                    </w:pPr>
                    <w:r w:rsidRPr="001F3B09">
                      <w:rPr>
                        <w:sz w:val="20"/>
                        <w:szCs w:val="20"/>
                      </w:rPr>
                      <w:t>OBS! Utskriven version kan vara ogiltig. Verifiera innehållet</w:t>
                    </w:r>
                    <w:r w:rsidRPr="001F3B09"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7D7D8A"/>
    <w:multiLevelType w:val="hybridMultilevel"/>
    <w:tmpl w:val="BE3A2D32"/>
    <w:lvl w:ilvl="0" w:tplc="5C0EEC82">
      <w:start w:val="1"/>
      <w:numFmt w:val="bullet"/>
      <w:pStyle w:val="Punktlistaunderliggande"/>
      <w:lvlText w:val="–"/>
      <w:lvlJc w:val="left"/>
      <w:pPr>
        <w:ind w:left="1709" w:hanging="360"/>
      </w:pPr>
      <w:rPr>
        <w:rFonts w:hint="default" w:ascii="Agency FB" w:hAnsi="Agency FB"/>
        <w:outline w:val="0"/>
        <w:shadow w:val="0"/>
        <w:emboss w:val="0"/>
        <w:imprint w:val="0"/>
        <w:color w:val="auto"/>
      </w:rPr>
    </w:lvl>
    <w:lvl w:ilvl="1" w:tplc="041D0003" w:tentative="1">
      <w:start w:val="1"/>
      <w:numFmt w:val="bullet"/>
      <w:lvlText w:val="o"/>
      <w:lvlJc w:val="left"/>
      <w:pPr>
        <w:ind w:left="2789" w:hanging="360"/>
      </w:pPr>
      <w:rPr>
        <w:rFonts w:hint="default" w:ascii="Courier New" w:hAnsi="Courier New" w:cs="Courier New"/>
      </w:rPr>
    </w:lvl>
    <w:lvl w:ilvl="2" w:tplc="041D0005" w:tentative="1">
      <w:start w:val="1"/>
      <w:numFmt w:val="bullet"/>
      <w:lvlText w:val=""/>
      <w:lvlJc w:val="left"/>
      <w:pPr>
        <w:ind w:left="3509" w:hanging="360"/>
      </w:pPr>
      <w:rPr>
        <w:rFonts w:hint="default" w:ascii="Wingdings" w:hAnsi="Wingdings"/>
      </w:rPr>
    </w:lvl>
    <w:lvl w:ilvl="3" w:tplc="041D0001" w:tentative="1">
      <w:start w:val="1"/>
      <w:numFmt w:val="bullet"/>
      <w:lvlText w:val=""/>
      <w:lvlJc w:val="left"/>
      <w:pPr>
        <w:ind w:left="4229" w:hanging="360"/>
      </w:pPr>
      <w:rPr>
        <w:rFonts w:hint="default" w:ascii="Symbol" w:hAnsi="Symbol"/>
      </w:rPr>
    </w:lvl>
    <w:lvl w:ilvl="4" w:tplc="041D0003" w:tentative="1">
      <w:start w:val="1"/>
      <w:numFmt w:val="bullet"/>
      <w:lvlText w:val="o"/>
      <w:lvlJc w:val="left"/>
      <w:pPr>
        <w:ind w:left="4949" w:hanging="360"/>
      </w:pPr>
      <w:rPr>
        <w:rFonts w:hint="default" w:ascii="Courier New" w:hAnsi="Courier New" w:cs="Courier New"/>
      </w:rPr>
    </w:lvl>
    <w:lvl w:ilvl="5" w:tplc="041D0005" w:tentative="1">
      <w:start w:val="1"/>
      <w:numFmt w:val="bullet"/>
      <w:lvlText w:val=""/>
      <w:lvlJc w:val="left"/>
      <w:pPr>
        <w:ind w:left="5669" w:hanging="360"/>
      </w:pPr>
      <w:rPr>
        <w:rFonts w:hint="default" w:ascii="Wingdings" w:hAnsi="Wingdings"/>
      </w:rPr>
    </w:lvl>
    <w:lvl w:ilvl="6" w:tplc="041D0001" w:tentative="1">
      <w:start w:val="1"/>
      <w:numFmt w:val="bullet"/>
      <w:lvlText w:val=""/>
      <w:lvlJc w:val="left"/>
      <w:pPr>
        <w:ind w:left="6389" w:hanging="360"/>
      </w:pPr>
      <w:rPr>
        <w:rFonts w:hint="default" w:ascii="Symbol" w:hAnsi="Symbol"/>
      </w:rPr>
    </w:lvl>
    <w:lvl w:ilvl="7" w:tplc="041D0003" w:tentative="1">
      <w:start w:val="1"/>
      <w:numFmt w:val="bullet"/>
      <w:lvlText w:val="o"/>
      <w:lvlJc w:val="left"/>
      <w:pPr>
        <w:ind w:left="7109" w:hanging="360"/>
      </w:pPr>
      <w:rPr>
        <w:rFonts w:hint="default" w:ascii="Courier New" w:hAnsi="Courier New" w:cs="Courier New"/>
      </w:rPr>
    </w:lvl>
    <w:lvl w:ilvl="8" w:tplc="041D0005" w:tentative="1">
      <w:start w:val="1"/>
      <w:numFmt w:val="bullet"/>
      <w:lvlText w:val=""/>
      <w:lvlJc w:val="left"/>
      <w:pPr>
        <w:ind w:left="7829" w:hanging="360"/>
      </w:pPr>
      <w:rPr>
        <w:rFonts w:hint="default" w:ascii="Wingdings" w:hAnsi="Wingdings"/>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254F045C"/>
    <w:multiLevelType w:val="hybridMultilevel"/>
    <w:tmpl w:val="F7FE81F0"/>
    <w:lvl w:ilvl="0" w:tplc="E4F88D1E">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3E524706"/>
    <w:lvl w:ilvl="0" w:tplc="3C5ADAF0">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777062892">
    <w:abstractNumId w:val="19"/>
  </w:num>
  <w:num w:numId="2" w16cid:durableId="413741728">
    <w:abstractNumId w:val="16"/>
  </w:num>
  <w:num w:numId="3" w16cid:durableId="1967467531">
    <w:abstractNumId w:val="0"/>
  </w:num>
  <w:num w:numId="4" w16cid:durableId="2049602004">
    <w:abstractNumId w:val="7"/>
  </w:num>
  <w:num w:numId="5" w16cid:durableId="1214777215">
    <w:abstractNumId w:val="17"/>
  </w:num>
  <w:num w:numId="6" w16cid:durableId="530725539">
    <w:abstractNumId w:val="2"/>
  </w:num>
  <w:num w:numId="7" w16cid:durableId="334891334">
    <w:abstractNumId w:val="13"/>
  </w:num>
  <w:num w:numId="8" w16cid:durableId="1724327446">
    <w:abstractNumId w:val="10"/>
  </w:num>
  <w:num w:numId="9" w16cid:durableId="192809641">
    <w:abstractNumId w:val="1"/>
  </w:num>
  <w:num w:numId="10" w16cid:durableId="1704137486">
    <w:abstractNumId w:val="1"/>
  </w:num>
  <w:num w:numId="11" w16cid:durableId="1656497041">
    <w:abstractNumId w:val="4"/>
  </w:num>
  <w:num w:numId="12" w16cid:durableId="766926488">
    <w:abstractNumId w:val="5"/>
  </w:num>
  <w:num w:numId="13" w16cid:durableId="1389500318">
    <w:abstractNumId w:val="15"/>
  </w:num>
  <w:num w:numId="14" w16cid:durableId="1255628351">
    <w:abstractNumId w:val="11"/>
  </w:num>
  <w:num w:numId="15" w16cid:durableId="1226145728">
    <w:abstractNumId w:val="8"/>
  </w:num>
  <w:num w:numId="16" w16cid:durableId="691613715">
    <w:abstractNumId w:val="14"/>
  </w:num>
  <w:num w:numId="17" w16cid:durableId="1629778263">
    <w:abstractNumId w:val="6"/>
  </w:num>
  <w:num w:numId="18" w16cid:durableId="2033526627">
    <w:abstractNumId w:val="12"/>
  </w:num>
  <w:num w:numId="19" w16cid:durableId="1815416572">
    <w:abstractNumId w:val="18"/>
  </w:num>
  <w:num w:numId="20" w16cid:durableId="1074815411">
    <w:abstractNumId w:val="3"/>
  </w:num>
  <w:num w:numId="21" w16cid:durableId="475757822">
    <w:abstractNumId w:val="9"/>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17511"/>
    <w:rsid w:val="0002141C"/>
    <w:rsid w:val="00030DDD"/>
    <w:rsid w:val="000313BB"/>
    <w:rsid w:val="00033C3C"/>
    <w:rsid w:val="00033ED5"/>
    <w:rsid w:val="00050500"/>
    <w:rsid w:val="0005691C"/>
    <w:rsid w:val="00056ECB"/>
    <w:rsid w:val="00056ED5"/>
    <w:rsid w:val="00061969"/>
    <w:rsid w:val="000655CC"/>
    <w:rsid w:val="00066B6D"/>
    <w:rsid w:val="000700AE"/>
    <w:rsid w:val="00084024"/>
    <w:rsid w:val="0009062C"/>
    <w:rsid w:val="00095368"/>
    <w:rsid w:val="000954C4"/>
    <w:rsid w:val="000A611A"/>
    <w:rsid w:val="000B04DC"/>
    <w:rsid w:val="000B12D9"/>
    <w:rsid w:val="000B4536"/>
    <w:rsid w:val="000B7715"/>
    <w:rsid w:val="000E463B"/>
    <w:rsid w:val="000E5A7E"/>
    <w:rsid w:val="000F43A3"/>
    <w:rsid w:val="000F7681"/>
    <w:rsid w:val="00103031"/>
    <w:rsid w:val="001044FE"/>
    <w:rsid w:val="001126CD"/>
    <w:rsid w:val="001139D4"/>
    <w:rsid w:val="00131B08"/>
    <w:rsid w:val="00132A59"/>
    <w:rsid w:val="00133337"/>
    <w:rsid w:val="00133A0F"/>
    <w:rsid w:val="0013580F"/>
    <w:rsid w:val="00137B6D"/>
    <w:rsid w:val="0014070B"/>
    <w:rsid w:val="001422C1"/>
    <w:rsid w:val="001522AE"/>
    <w:rsid w:val="00152D66"/>
    <w:rsid w:val="00157D5B"/>
    <w:rsid w:val="00161FE6"/>
    <w:rsid w:val="00164C3D"/>
    <w:rsid w:val="00166D3A"/>
    <w:rsid w:val="0017258B"/>
    <w:rsid w:val="0017508E"/>
    <w:rsid w:val="00181FDC"/>
    <w:rsid w:val="00184167"/>
    <w:rsid w:val="001860B9"/>
    <w:rsid w:val="00186F2B"/>
    <w:rsid w:val="001874D6"/>
    <w:rsid w:val="0019632A"/>
    <w:rsid w:val="001A4E7C"/>
    <w:rsid w:val="001B2699"/>
    <w:rsid w:val="001B762C"/>
    <w:rsid w:val="001C4D0A"/>
    <w:rsid w:val="001C5FEF"/>
    <w:rsid w:val="001E3789"/>
    <w:rsid w:val="001F3B09"/>
    <w:rsid w:val="00210271"/>
    <w:rsid w:val="00211487"/>
    <w:rsid w:val="00211D91"/>
    <w:rsid w:val="00217DEC"/>
    <w:rsid w:val="00235B57"/>
    <w:rsid w:val="00250F24"/>
    <w:rsid w:val="002523C5"/>
    <w:rsid w:val="0025380B"/>
    <w:rsid w:val="0025703A"/>
    <w:rsid w:val="00262F3D"/>
    <w:rsid w:val="00263281"/>
    <w:rsid w:val="002651D6"/>
    <w:rsid w:val="0026551F"/>
    <w:rsid w:val="00270FA8"/>
    <w:rsid w:val="00277A5C"/>
    <w:rsid w:val="00280A85"/>
    <w:rsid w:val="00284119"/>
    <w:rsid w:val="00290B5C"/>
    <w:rsid w:val="00294005"/>
    <w:rsid w:val="00294791"/>
    <w:rsid w:val="002A1C4F"/>
    <w:rsid w:val="002A7450"/>
    <w:rsid w:val="002B0B30"/>
    <w:rsid w:val="002B0C78"/>
    <w:rsid w:val="002B3440"/>
    <w:rsid w:val="002C0C02"/>
    <w:rsid w:val="002C1277"/>
    <w:rsid w:val="002C60AD"/>
    <w:rsid w:val="002D0310"/>
    <w:rsid w:val="002D0E0E"/>
    <w:rsid w:val="002D6023"/>
    <w:rsid w:val="002E2119"/>
    <w:rsid w:val="002E263F"/>
    <w:rsid w:val="002E44AB"/>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4854"/>
    <w:rsid w:val="00345EB1"/>
    <w:rsid w:val="00350CC4"/>
    <w:rsid w:val="003537FE"/>
    <w:rsid w:val="0035712F"/>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E4F59"/>
    <w:rsid w:val="003F1013"/>
    <w:rsid w:val="003F1ACF"/>
    <w:rsid w:val="003F6F6C"/>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3A00"/>
    <w:rsid w:val="004876F6"/>
    <w:rsid w:val="0049236A"/>
    <w:rsid w:val="00492718"/>
    <w:rsid w:val="004A355D"/>
    <w:rsid w:val="004A4970"/>
    <w:rsid w:val="004B1F6E"/>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84399"/>
    <w:rsid w:val="005938CA"/>
    <w:rsid w:val="00597E28"/>
    <w:rsid w:val="005A54ED"/>
    <w:rsid w:val="005A5D5B"/>
    <w:rsid w:val="005A6081"/>
    <w:rsid w:val="005A627D"/>
    <w:rsid w:val="005B07AE"/>
    <w:rsid w:val="005C0045"/>
    <w:rsid w:val="005C084E"/>
    <w:rsid w:val="005C4606"/>
    <w:rsid w:val="005D0B0C"/>
    <w:rsid w:val="005E02B3"/>
    <w:rsid w:val="005E1E24"/>
    <w:rsid w:val="0060596B"/>
    <w:rsid w:val="00606D97"/>
    <w:rsid w:val="00612892"/>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909A0"/>
    <w:rsid w:val="006978CC"/>
    <w:rsid w:val="006A2789"/>
    <w:rsid w:val="006A4978"/>
    <w:rsid w:val="006A7261"/>
    <w:rsid w:val="006B0D29"/>
    <w:rsid w:val="006B10A2"/>
    <w:rsid w:val="006B1819"/>
    <w:rsid w:val="006C3134"/>
    <w:rsid w:val="006C5048"/>
    <w:rsid w:val="006C5204"/>
    <w:rsid w:val="006C6A4B"/>
    <w:rsid w:val="006C779F"/>
    <w:rsid w:val="006D01F5"/>
    <w:rsid w:val="006D0CFB"/>
    <w:rsid w:val="006D30C0"/>
    <w:rsid w:val="006D7535"/>
    <w:rsid w:val="006E2F84"/>
    <w:rsid w:val="006E450B"/>
    <w:rsid w:val="006F0784"/>
    <w:rsid w:val="006F0D7E"/>
    <w:rsid w:val="00710B77"/>
    <w:rsid w:val="00710E00"/>
    <w:rsid w:val="007155D5"/>
    <w:rsid w:val="0072075B"/>
    <w:rsid w:val="007221C2"/>
    <w:rsid w:val="00730955"/>
    <w:rsid w:val="00733A9C"/>
    <w:rsid w:val="00736574"/>
    <w:rsid w:val="007367E0"/>
    <w:rsid w:val="00737215"/>
    <w:rsid w:val="00746891"/>
    <w:rsid w:val="00754905"/>
    <w:rsid w:val="00760038"/>
    <w:rsid w:val="00762EE0"/>
    <w:rsid w:val="00765C41"/>
    <w:rsid w:val="00771100"/>
    <w:rsid w:val="007759DD"/>
    <w:rsid w:val="007770AD"/>
    <w:rsid w:val="00777DE5"/>
    <w:rsid w:val="0078609F"/>
    <w:rsid w:val="00786850"/>
    <w:rsid w:val="007917BA"/>
    <w:rsid w:val="00796EC1"/>
    <w:rsid w:val="007A334E"/>
    <w:rsid w:val="007A5C6F"/>
    <w:rsid w:val="007D4241"/>
    <w:rsid w:val="007D4317"/>
    <w:rsid w:val="007D4EA3"/>
    <w:rsid w:val="007F1CFF"/>
    <w:rsid w:val="007F5DD5"/>
    <w:rsid w:val="00800765"/>
    <w:rsid w:val="00821A1B"/>
    <w:rsid w:val="008262E9"/>
    <w:rsid w:val="00827E69"/>
    <w:rsid w:val="00835C4D"/>
    <w:rsid w:val="00843F48"/>
    <w:rsid w:val="00851423"/>
    <w:rsid w:val="008569C6"/>
    <w:rsid w:val="00857848"/>
    <w:rsid w:val="00861820"/>
    <w:rsid w:val="008654B6"/>
    <w:rsid w:val="0087139C"/>
    <w:rsid w:val="00873419"/>
    <w:rsid w:val="00880E83"/>
    <w:rsid w:val="00892F28"/>
    <w:rsid w:val="008A0C5F"/>
    <w:rsid w:val="008A175B"/>
    <w:rsid w:val="008A3DEA"/>
    <w:rsid w:val="008A4EB9"/>
    <w:rsid w:val="008A5010"/>
    <w:rsid w:val="008A74C0"/>
    <w:rsid w:val="008B1694"/>
    <w:rsid w:val="008C4B27"/>
    <w:rsid w:val="008C7F0C"/>
    <w:rsid w:val="008C7F2A"/>
    <w:rsid w:val="008D4B13"/>
    <w:rsid w:val="008E146A"/>
    <w:rsid w:val="008E1877"/>
    <w:rsid w:val="008E36F8"/>
    <w:rsid w:val="008E46B2"/>
    <w:rsid w:val="008E5F0D"/>
    <w:rsid w:val="008E682C"/>
    <w:rsid w:val="008E78A1"/>
    <w:rsid w:val="008F589F"/>
    <w:rsid w:val="00906238"/>
    <w:rsid w:val="00907EF9"/>
    <w:rsid w:val="00911231"/>
    <w:rsid w:val="0091295C"/>
    <w:rsid w:val="00914D58"/>
    <w:rsid w:val="00921F47"/>
    <w:rsid w:val="009228AB"/>
    <w:rsid w:val="0093085B"/>
    <w:rsid w:val="00931C57"/>
    <w:rsid w:val="0093286F"/>
    <w:rsid w:val="009347A5"/>
    <w:rsid w:val="00936929"/>
    <w:rsid w:val="00942257"/>
    <w:rsid w:val="009471BF"/>
    <w:rsid w:val="00950E4E"/>
    <w:rsid w:val="009529BD"/>
    <w:rsid w:val="009533B4"/>
    <w:rsid w:val="00957D35"/>
    <w:rsid w:val="00960C5C"/>
    <w:rsid w:val="00964C9A"/>
    <w:rsid w:val="00971D93"/>
    <w:rsid w:val="00992E1A"/>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3CE7"/>
    <w:rsid w:val="00AA6EB4"/>
    <w:rsid w:val="00AA767D"/>
    <w:rsid w:val="00AB0CC9"/>
    <w:rsid w:val="00AC3FF6"/>
    <w:rsid w:val="00AD38F9"/>
    <w:rsid w:val="00AD73EC"/>
    <w:rsid w:val="00AD7AD5"/>
    <w:rsid w:val="00AE5BC7"/>
    <w:rsid w:val="00AF16E3"/>
    <w:rsid w:val="00AF5AAF"/>
    <w:rsid w:val="00B046D8"/>
    <w:rsid w:val="00B13F4C"/>
    <w:rsid w:val="00B16219"/>
    <w:rsid w:val="00B16C59"/>
    <w:rsid w:val="00B27B97"/>
    <w:rsid w:val="00B33FDD"/>
    <w:rsid w:val="00B359CC"/>
    <w:rsid w:val="00B36107"/>
    <w:rsid w:val="00B405A1"/>
    <w:rsid w:val="00B41789"/>
    <w:rsid w:val="00B46C03"/>
    <w:rsid w:val="00B60C6C"/>
    <w:rsid w:val="00B619A9"/>
    <w:rsid w:val="00B65A9D"/>
    <w:rsid w:val="00B66D60"/>
    <w:rsid w:val="00B71216"/>
    <w:rsid w:val="00B75EDE"/>
    <w:rsid w:val="00B77D88"/>
    <w:rsid w:val="00B77FAF"/>
    <w:rsid w:val="00B84336"/>
    <w:rsid w:val="00B851B9"/>
    <w:rsid w:val="00B86453"/>
    <w:rsid w:val="00B90054"/>
    <w:rsid w:val="00B92C14"/>
    <w:rsid w:val="00B96AFF"/>
    <w:rsid w:val="00BA0066"/>
    <w:rsid w:val="00BA4D56"/>
    <w:rsid w:val="00BB69DB"/>
    <w:rsid w:val="00BC322E"/>
    <w:rsid w:val="00BC44CD"/>
    <w:rsid w:val="00BC48A6"/>
    <w:rsid w:val="00BD1D22"/>
    <w:rsid w:val="00BE7978"/>
    <w:rsid w:val="00C01F0D"/>
    <w:rsid w:val="00C02092"/>
    <w:rsid w:val="00C0460A"/>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6A2A"/>
    <w:rsid w:val="00C97BD3"/>
    <w:rsid w:val="00CA39EF"/>
    <w:rsid w:val="00CA41B0"/>
    <w:rsid w:val="00CA521F"/>
    <w:rsid w:val="00CB0493"/>
    <w:rsid w:val="00CB17FF"/>
    <w:rsid w:val="00CB1ED7"/>
    <w:rsid w:val="00CC167C"/>
    <w:rsid w:val="00CC28AA"/>
    <w:rsid w:val="00CC52D9"/>
    <w:rsid w:val="00CD6647"/>
    <w:rsid w:val="00CE4B73"/>
    <w:rsid w:val="00CF30D8"/>
    <w:rsid w:val="00CF70BB"/>
    <w:rsid w:val="00D074DB"/>
    <w:rsid w:val="00D07ECA"/>
    <w:rsid w:val="00D139CF"/>
    <w:rsid w:val="00D20779"/>
    <w:rsid w:val="00D37E7F"/>
    <w:rsid w:val="00D47AD7"/>
    <w:rsid w:val="00D47B5E"/>
    <w:rsid w:val="00D51529"/>
    <w:rsid w:val="00D67C88"/>
    <w:rsid w:val="00D85218"/>
    <w:rsid w:val="00D915B1"/>
    <w:rsid w:val="00DA299D"/>
    <w:rsid w:val="00DA30CB"/>
    <w:rsid w:val="00DA65C4"/>
    <w:rsid w:val="00DB1875"/>
    <w:rsid w:val="00DC2DD6"/>
    <w:rsid w:val="00DE4447"/>
    <w:rsid w:val="00DE5DA2"/>
    <w:rsid w:val="00DE63C6"/>
    <w:rsid w:val="00DF0033"/>
    <w:rsid w:val="00E026BF"/>
    <w:rsid w:val="00E07B1B"/>
    <w:rsid w:val="00E11853"/>
    <w:rsid w:val="00E30450"/>
    <w:rsid w:val="00E37A8D"/>
    <w:rsid w:val="00E52A86"/>
    <w:rsid w:val="00E54B47"/>
    <w:rsid w:val="00E553BF"/>
    <w:rsid w:val="00E55D93"/>
    <w:rsid w:val="00E61294"/>
    <w:rsid w:val="00E7237C"/>
    <w:rsid w:val="00E77C46"/>
    <w:rsid w:val="00E86CE8"/>
    <w:rsid w:val="00E90E82"/>
    <w:rsid w:val="00E9521F"/>
    <w:rsid w:val="00EA00CB"/>
    <w:rsid w:val="00EA1BAA"/>
    <w:rsid w:val="00EA3FCD"/>
    <w:rsid w:val="00EA42A0"/>
    <w:rsid w:val="00EB6714"/>
    <w:rsid w:val="00EC0A68"/>
    <w:rsid w:val="00EC3C32"/>
    <w:rsid w:val="00EC5006"/>
    <w:rsid w:val="00ED49C3"/>
    <w:rsid w:val="00ED6CE8"/>
    <w:rsid w:val="00ED7AA6"/>
    <w:rsid w:val="00EE2A56"/>
    <w:rsid w:val="00EE3818"/>
    <w:rsid w:val="00F15F6C"/>
    <w:rsid w:val="00F22264"/>
    <w:rsid w:val="00F2564D"/>
    <w:rsid w:val="00F35B05"/>
    <w:rsid w:val="00F413D9"/>
    <w:rsid w:val="00F43ACA"/>
    <w:rsid w:val="00F5135F"/>
    <w:rsid w:val="00F51F78"/>
    <w:rsid w:val="00F6335D"/>
    <w:rsid w:val="00F86F47"/>
    <w:rsid w:val="00F90B64"/>
    <w:rsid w:val="00FB2F0F"/>
    <w:rsid w:val="00FB5086"/>
    <w:rsid w:val="00FB5411"/>
    <w:rsid w:val="00FB6392"/>
    <w:rsid w:val="00FC4F36"/>
    <w:rsid w:val="00FD3C70"/>
    <w:rsid w:val="00FD6820"/>
    <w:rsid w:val="00FE12D8"/>
    <w:rsid w:val="00FF7C02"/>
    <w:rsid w:val="024801E3"/>
    <w:rsid w:val="065155AE"/>
    <w:rsid w:val="151EB1CE"/>
    <w:rsid w:val="5E9C6B68"/>
    <w:rsid w:val="647B2B65"/>
    <w:rsid w:val="6571DE36"/>
    <w:rsid w:val="6B2CF8ED"/>
    <w:rsid w:val="719D5727"/>
    <w:rsid w:val="753A809C"/>
    <w:rsid w:val="755BA49F"/>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28B751FF-749E-4F95-945F-26473C0DE10A}"/>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3537FE"/>
    <w:pPr>
      <w:spacing w:after="120" w:line="288" w:lineRule="auto"/>
      <w:ind w:left="992" w:right="868"/>
    </w:pPr>
    <w:rPr>
      <w:rFonts w:ascii="Georgia" w:hAnsi="Georgia"/>
      <w:sz w:val="24"/>
      <w:szCs w:val="24"/>
    </w:rPr>
  </w:style>
  <w:style w:type="paragraph" w:styleId="Heading1">
    <w:name w:val="heading 1"/>
    <w:aliases w:val="Rubrik VGR"/>
    <w:next w:val="Normal"/>
    <w:link w:val="Heading1Char"/>
    <w:qFormat/>
    <w:rsid w:val="001F3B09"/>
    <w:pPr>
      <w:keepNext/>
      <w:spacing w:before="1600" w:after="240"/>
      <w:ind w:left="992"/>
      <w:contextualSpacing/>
      <w:outlineLvl w:val="0"/>
    </w:pPr>
    <w:rPr>
      <w:rFonts w:ascii="Verdana" w:hAnsi="Verdana" w:eastAsia="MS Gothic"/>
      <w:bCs/>
      <w:kern w:val="32"/>
      <w:sz w:val="44"/>
      <w:szCs w:val="32"/>
    </w:rPr>
  </w:style>
  <w:style w:type="paragraph" w:styleId="Heading2">
    <w:name w:val="heading 2"/>
    <w:aliases w:val="Rubrik 2 VGR"/>
    <w:basedOn w:val="Normal"/>
    <w:next w:val="Normal"/>
    <w:link w:val="Heading2Char"/>
    <w:uiPriority w:val="3"/>
    <w:unhideWhenUsed/>
    <w:qFormat/>
    <w:rsid w:val="003537F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Heading3">
    <w:name w:val="heading 3"/>
    <w:aliases w:val="Rubrik 3 VGR"/>
    <w:basedOn w:val="Normal"/>
    <w:next w:val="Normal"/>
    <w:link w:val="Heading3Char"/>
    <w:uiPriority w:val="3"/>
    <w:unhideWhenUsed/>
    <w:qFormat/>
    <w:rsid w:val="003537FE"/>
    <w:pPr>
      <w:keepNext/>
      <w:keepLines/>
      <w:spacing w:before="240" w:after="40" w:line="240" w:lineRule="auto"/>
      <w:outlineLvl w:val="2"/>
    </w:pPr>
    <w:rPr>
      <w:rFonts w:ascii="Verdana" w:hAnsi="Verdana" w:eastAsiaTheme="majorEastAsia" w:cstheme="majorBidi"/>
      <w:bCs/>
      <w:color w:val="000000" w:themeColor="text1"/>
      <w:sz w:val="30"/>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Heading9">
    <w:name w:val="heading 9"/>
    <w:basedOn w:val="Normal"/>
    <w:next w:val="Normal"/>
    <w:link w:val="Heading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1F3B09"/>
    <w:rPr>
      <w:rFonts w:ascii="Verdana" w:hAnsi="Verdana" w:eastAsia="MS Gothic"/>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3537FE"/>
    <w:rPr>
      <w:rFonts w:ascii="Verdana" w:hAnsi="Verdana" w:eastAsiaTheme="majorEastAsia" w:cstheme="majorBidi"/>
      <w:bCs/>
      <w:color w:val="000000" w:themeColor="text1"/>
      <w:sz w:val="36"/>
      <w:szCs w:val="26"/>
    </w:rPr>
  </w:style>
  <w:style w:type="character" w:styleId="Heading3Char" w:customStyle="1">
    <w:name w:val="Heading 3 Char"/>
    <w:aliases w:val="Rubrik 3 VGR Char"/>
    <w:basedOn w:val="DefaultParagraphFont"/>
    <w:link w:val="Heading3"/>
    <w:uiPriority w:val="3"/>
    <w:rsid w:val="003537FE"/>
    <w:rPr>
      <w:rFonts w:ascii="Verdana" w:hAnsi="Verdana" w:eastAsiaTheme="majorEastAsia" w:cstheme="majorBidi"/>
      <w:bCs/>
      <w:color w:val="000000" w:themeColor="text1"/>
      <w:sz w:val="30"/>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D67C88"/>
    <w:pPr>
      <w:tabs>
        <w:tab w:val="right" w:leader="dot" w:pos="8919"/>
      </w:tabs>
      <w:ind w:right="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BD1D22"/>
    <w:pPr>
      <w:numPr>
        <w:numId w:val="14"/>
      </w:numPr>
      <w:ind w:left="1349"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 w:type="character" w:styleId="Heading9Char" w:customStyle="1">
    <w:name w:val="Heading 9 Char"/>
    <w:basedOn w:val="DefaultParagraphFont"/>
    <w:link w:val="Heading9"/>
    <w:uiPriority w:val="9"/>
    <w:semiHidden/>
    <w:rsid w:val="009A32ED"/>
    <w:rPr>
      <w:rFonts w:asciiTheme="majorHAnsi" w:hAnsiTheme="majorHAnsi" w:eastAsiaTheme="majorEastAsia" w:cstheme="majorBidi"/>
      <w:i/>
      <w:iCs/>
      <w:color w:val="272727" w:themeColor="text1" w:themeTint="D8"/>
      <w:sz w:val="21"/>
      <w:szCs w:val="21"/>
    </w:rPr>
  </w:style>
  <w:style w:type="paragraph" w:styleId="BodyText">
    <w:name w:val="Body Text"/>
    <w:aliases w:val="(=Löpande text)"/>
    <w:link w:val="BodyTextChar"/>
    <w:rsid w:val="009A32ED"/>
    <w:pPr>
      <w:spacing w:after="160"/>
      <w:ind w:left="2676"/>
    </w:pPr>
    <w:rPr>
      <w:sz w:val="24"/>
    </w:rPr>
  </w:style>
  <w:style w:type="character" w:styleId="BodyTextChar" w:customStyle="1">
    <w:name w:val="Body Text Char"/>
    <w:aliases w:val="(=Löpande text) Char"/>
    <w:basedOn w:val="DefaultParagraphFont"/>
    <w:link w:val="BodyText"/>
    <w:rsid w:val="009A32ED"/>
    <w:rPr>
      <w:sz w:val="24"/>
    </w:rPr>
  </w:style>
  <w:style w:type="paragraph" w:styleId="Tabell" w:customStyle="1">
    <w:name w:val="Tabell"/>
    <w:link w:val="TabellChar"/>
    <w:qFormat/>
    <w:rsid w:val="009A32ED"/>
    <w:pPr>
      <w:spacing w:line="288" w:lineRule="auto"/>
      <w:ind w:right="-142"/>
    </w:pPr>
    <w:rPr>
      <w:sz w:val="24"/>
      <w:szCs w:val="24"/>
    </w:rPr>
  </w:style>
  <w:style w:type="character" w:styleId="TabellChar" w:customStyle="1">
    <w:name w:val="Tabell Char"/>
    <w:basedOn w:val="DefaultParagraphFont"/>
    <w:link w:val="Tabell"/>
    <w:rsid w:val="009A32ED"/>
    <w:rPr>
      <w:sz w:val="24"/>
      <w:szCs w:val="24"/>
    </w:rPr>
  </w:style>
  <w:style w:type="paragraph" w:styleId="Punktlistaunderliggande" w:customStyle="1">
    <w:name w:val="Punktlista underliggande"/>
    <w:qFormat/>
    <w:rsid w:val="003537FE"/>
    <w:pPr>
      <w:numPr>
        <w:numId w:val="20"/>
      </w:numPr>
      <w:tabs>
        <w:tab w:val="left" w:pos="1707"/>
      </w:tabs>
      <w:spacing w:after="120" w:line="288" w:lineRule="auto"/>
      <w:ind w:left="1706" w:right="868" w:hanging="357"/>
      <w:contextualSpacing/>
    </w:pPr>
    <w:rPr>
      <w:rFonts w:ascii="Georgia" w:hAnsi="Georgia"/>
      <w:sz w:val="24"/>
      <w:szCs w:val="24"/>
    </w:rPr>
  </w:style>
  <w:style w:type="paragraph" w:styleId="Normalmedindrag" w:customStyle="1">
    <w:name w:val="Normal med indrag"/>
    <w:qFormat/>
    <w:rsid w:val="003537FE"/>
    <w:pPr>
      <w:spacing w:after="120" w:line="288" w:lineRule="auto"/>
      <w:ind w:left="1349"/>
    </w:pPr>
    <w:rPr>
      <w:rFonts w:ascii="Georgia" w:hAnsi="Georgia"/>
      <w:sz w:val="24"/>
      <w:szCs w:val="24"/>
    </w:rPr>
  </w:style>
  <w:style w:type="paragraph" w:styleId="Punktlistanumrerad" w:customStyle="1">
    <w:name w:val="Punktlista numrerad"/>
    <w:qFormat/>
    <w:rsid w:val="003537FE"/>
    <w:pPr>
      <w:numPr>
        <w:numId w:val="21"/>
      </w:numPr>
      <w:spacing w:after="120" w:line="288" w:lineRule="auto"/>
      <w:ind w:left="1349" w:right="868" w:hanging="357"/>
    </w:pPr>
    <w:rPr>
      <w:rFonts w:ascii="Georgia" w:hAnsi="Georgia"/>
      <w:sz w:val="24"/>
      <w:szCs w:val="24"/>
    </w:rPr>
  </w:style>
  <w:style w:type="character" w:styleId="UnresolvedMention">
    <w:name w:val="Unresolved Mention"/>
    <w:basedOn w:val="DefaultParagraphFont"/>
    <w:uiPriority w:val="99"/>
    <w:semiHidden/>
    <w:unhideWhenUsed/>
    <w:rsid w:val="00033C3C"/>
    <w:rPr>
      <w:color w:val="605E5C"/>
      <w:shd w:val="clear" w:color="auto" w:fill="E1DFDD"/>
    </w:rPr>
  </w:style>
  <w:style w:type="character" w:styleId="FollowedHyperlink">
    <w:name w:val="FollowedHyperlink"/>
    <w:basedOn w:val="DefaultParagraphFont"/>
    <w:uiPriority w:val="99"/>
    <w:semiHidden/>
    <w:unhideWhenUsed/>
    <w:rsid w:val="00C02092"/>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2-738863596-535/surrogate/Organtransplanterad%2c%20information%20till%20patient%20om%20hudcancer%2c%20S%c3%84St%20om.pdf" TargetMode="External"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535/surrogate/Organtransplanterad%2c%20information%20till%20patient%20om%20hudcancer%2c%20S%c3%84St%20om.pdf"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yperlink" Target="http://www.kidney.org/" TargetMode="External" Id="rId14" /></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Hudcancer hos organtransplanterade patienter – prevention och omhändertagande, SÄS</dc:title>
  <dc:subject/>
  <dc:creator/>
  <keywords/>
  <lastModifiedBy>Karin Åhlin</lastModifiedBy>
  <revision>66</revision>
  <lastPrinted>2016-03-31T19:56:00.0000000Z</lastPrinted>
  <dcterms:created xsi:type="dcterms:W3CDTF">2021-05-27T18:47:00.0000000Z</dcterms:created>
  <dcterms:modified xsi:type="dcterms:W3CDTF">2025-03-20T15:16:41.0000000Z</dcterms:modified>
</coreProperties>
</file>