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8C83" w14:textId="77777777" w:rsidR="00A704D1" w:rsidRDefault="00A704D1" w:rsidP="00F35B05">
      <w:pPr>
        <w:pStyle w:val="Rubrik2"/>
        <w:sectPr w:rsidR="00A704D1" w:rsidSect="00A704D1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0"/>
          <w:pgMar w:top="3402" w:right="1979" w:bottom="1276" w:left="992" w:header="283" w:footer="737" w:gutter="0"/>
          <w:cols w:space="708"/>
          <w:noEndnote/>
          <w:titlePg/>
          <w:docGrid w:linePitch="326"/>
        </w:sectPr>
      </w:pPr>
      <w:bookmarkStart w:id="0" w:name="_Toc321146591"/>
    </w:p>
    <w:p w14:paraId="22682EA6" w14:textId="77777777" w:rsidR="00A704D1" w:rsidRPr="00A704D1" w:rsidRDefault="00A704D1" w:rsidP="00606D0A">
      <w:pPr>
        <w:pStyle w:val="Rubrik1"/>
      </w:pPr>
      <w:r w:rsidRPr="00A704D1">
        <w:t>Antikoagulantia och/eller trombocythämmare vid akut/halvakut kirurgi inom 24 timmar</w:t>
      </w:r>
    </w:p>
    <w:p w14:paraId="11D25E77" w14:textId="77777777" w:rsidR="00A704D1" w:rsidRPr="00A704D1" w:rsidRDefault="00A704D1" w:rsidP="00606D0A">
      <w:pPr>
        <w:pStyle w:val="Rubrik2"/>
      </w:pPr>
      <w:bookmarkStart w:id="1" w:name="_Toc432599631"/>
      <w:bookmarkStart w:id="2" w:name="_Toc438113095"/>
      <w:bookmarkStart w:id="3" w:name="_Toc256000000"/>
      <w:bookmarkStart w:id="4" w:name="_Toc256000016"/>
      <w:bookmarkStart w:id="5" w:name="_Toc256000032"/>
      <w:bookmarkStart w:id="6" w:name="_Toc256000048"/>
      <w:bookmarkStart w:id="7" w:name="_Toc256000064"/>
      <w:bookmarkStart w:id="8" w:name="_Toc256000080"/>
      <w:bookmarkStart w:id="9" w:name="_Toc450816042"/>
      <w:bookmarkStart w:id="10" w:name="_Toc451432056"/>
      <w:bookmarkStart w:id="11" w:name="_Toc451434528"/>
      <w:bookmarkStart w:id="12" w:name="_Toc256000096"/>
      <w:bookmarkStart w:id="13" w:name="_Toc256000112"/>
      <w:bookmarkStart w:id="14" w:name="_Toc256000128"/>
      <w:bookmarkStart w:id="15" w:name="_Toc256000144"/>
      <w:bookmarkStart w:id="16" w:name="_Toc96594256"/>
      <w:bookmarkStart w:id="17" w:name="_Toc256000160"/>
      <w:bookmarkStart w:id="18" w:name="_Toc126826811"/>
      <w:r w:rsidRPr="00A704D1">
        <w:t>Sammanfattning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E7EABA2" w14:textId="77777777" w:rsidR="00A704D1" w:rsidRDefault="00A704D1" w:rsidP="00606D0A">
      <w:r w:rsidRPr="00A704D1">
        <w:t>Riktlinjen beskriver handläggning av patienter som behandlas med antikoagulantia och/eller trombocythämmare vid akut/halvakut kirurgi inom 24 timmar.</w:t>
      </w:r>
    </w:p>
    <w:p w14:paraId="4AAE6A71" w14:textId="7DB2D206" w:rsidR="00606D0A" w:rsidRDefault="00606D0A" w:rsidP="00606D0A">
      <w:pPr>
        <w:pStyle w:val="Rubrik2"/>
      </w:pPr>
      <w:bookmarkStart w:id="19" w:name="_Toc126826812"/>
      <w:r>
        <w:t>Förändringar sedan föregående version</w:t>
      </w:r>
      <w:bookmarkEnd w:id="19"/>
    </w:p>
    <w:p w14:paraId="60E891F0" w14:textId="68F5EC4B" w:rsidR="00606D0A" w:rsidRPr="00A704D1" w:rsidRDefault="004A4AA0" w:rsidP="00606D0A">
      <w:r>
        <w:t>Uppda</w:t>
      </w:r>
      <w:r w:rsidR="000E0A2F">
        <w:t>tering för samordning me</w:t>
      </w:r>
      <w:r w:rsidR="00E13D7E">
        <w:t>d</w:t>
      </w:r>
      <w:r w:rsidR="000E0A2F">
        <w:t xml:space="preserve"> rekommenderade preparat </w:t>
      </w:r>
      <w:r w:rsidR="001F779F">
        <w:t>(sid 2+3)</w:t>
      </w:r>
      <w:r w:rsidR="00E13D7E">
        <w:t>.</w:t>
      </w:r>
    </w:p>
    <w:p w14:paraId="6C8B4CBA" w14:textId="77777777" w:rsidR="00A704D1" w:rsidRPr="00F82114" w:rsidRDefault="00A704D1" w:rsidP="00F82114">
      <w:pPr>
        <w:spacing w:before="360" w:after="40"/>
        <w:rPr>
          <w:rFonts w:asciiTheme="majorHAnsi" w:hAnsiTheme="majorHAnsi" w:cstheme="majorHAnsi"/>
          <w:sz w:val="28"/>
          <w:szCs w:val="28"/>
        </w:rPr>
      </w:pPr>
      <w:r w:rsidRPr="00F82114">
        <w:rPr>
          <w:rFonts w:asciiTheme="majorHAnsi" w:hAnsiTheme="majorHAnsi" w:cstheme="majorHAnsi"/>
          <w:sz w:val="28"/>
          <w:szCs w:val="28"/>
        </w:rPr>
        <w:t>Innehållsförteckning</w:t>
      </w:r>
    </w:p>
    <w:p w14:paraId="3CB8742C" w14:textId="3693D31D" w:rsidR="00C6775C" w:rsidRDefault="00884E7D">
      <w:pPr>
        <w:pStyle w:val="Innehll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="Arial" w:hAnsi="Arial"/>
          <w:noProof/>
          <w:color w:val="0000FF"/>
          <w:sz w:val="22"/>
          <w:szCs w:val="32"/>
          <w:u w:val="single"/>
        </w:rPr>
        <w:fldChar w:fldCharType="begin"/>
      </w:r>
      <w:r>
        <w:rPr>
          <w:rFonts w:ascii="Arial" w:hAnsi="Arial"/>
          <w:noProof/>
          <w:color w:val="0000FF"/>
          <w:sz w:val="22"/>
          <w:szCs w:val="32"/>
          <w:u w:val="single"/>
        </w:rPr>
        <w:instrText xml:space="preserve"> TOC \h \z \t "Rubrik 2;1;Rubrik 3;2;Faktaruta rubrik;3;Mellanrubrik VGR;3" </w:instrText>
      </w:r>
      <w:r>
        <w:rPr>
          <w:rFonts w:ascii="Arial" w:hAnsi="Arial"/>
          <w:noProof/>
          <w:color w:val="0000FF"/>
          <w:sz w:val="22"/>
          <w:szCs w:val="32"/>
          <w:u w:val="single"/>
        </w:rPr>
        <w:fldChar w:fldCharType="separate"/>
      </w:r>
      <w:hyperlink w:anchor="_Toc126826811" w:history="1">
        <w:r w:rsidR="00C6775C" w:rsidRPr="00530D3A">
          <w:rPr>
            <w:rStyle w:val="Hyperlnk"/>
            <w:rFonts w:eastAsia="MS Gothic"/>
            <w:noProof/>
          </w:rPr>
          <w:t>Sammanfattning</w:t>
        </w:r>
        <w:r w:rsidR="00C6775C">
          <w:rPr>
            <w:noProof/>
            <w:webHidden/>
          </w:rPr>
          <w:tab/>
        </w:r>
        <w:r w:rsidR="00C6775C">
          <w:rPr>
            <w:noProof/>
            <w:webHidden/>
          </w:rPr>
          <w:fldChar w:fldCharType="begin"/>
        </w:r>
        <w:r w:rsidR="00C6775C">
          <w:rPr>
            <w:noProof/>
            <w:webHidden/>
          </w:rPr>
          <w:instrText xml:space="preserve"> PAGEREF _Toc126826811 \h </w:instrText>
        </w:r>
        <w:r w:rsidR="00C6775C">
          <w:rPr>
            <w:noProof/>
            <w:webHidden/>
          </w:rPr>
        </w:r>
        <w:r w:rsidR="00C6775C">
          <w:rPr>
            <w:noProof/>
            <w:webHidden/>
          </w:rPr>
          <w:fldChar w:fldCharType="separate"/>
        </w:r>
        <w:r w:rsidR="00C6775C">
          <w:rPr>
            <w:noProof/>
            <w:webHidden/>
          </w:rPr>
          <w:t>1</w:t>
        </w:r>
        <w:r w:rsidR="00C6775C">
          <w:rPr>
            <w:noProof/>
            <w:webHidden/>
          </w:rPr>
          <w:fldChar w:fldCharType="end"/>
        </w:r>
      </w:hyperlink>
    </w:p>
    <w:p w14:paraId="0B4D7F80" w14:textId="2420A2A7" w:rsidR="00C6775C" w:rsidRDefault="001F779F">
      <w:pPr>
        <w:pStyle w:val="Innehll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26812" w:history="1">
        <w:r w:rsidR="00C6775C" w:rsidRPr="00530D3A">
          <w:rPr>
            <w:rStyle w:val="Hyperlnk"/>
            <w:rFonts w:eastAsia="MS Gothic"/>
            <w:noProof/>
          </w:rPr>
          <w:t>Förändringar sedan föregående version</w:t>
        </w:r>
        <w:r w:rsidR="00C6775C">
          <w:rPr>
            <w:noProof/>
            <w:webHidden/>
          </w:rPr>
          <w:tab/>
        </w:r>
        <w:r w:rsidR="00C6775C">
          <w:rPr>
            <w:noProof/>
            <w:webHidden/>
          </w:rPr>
          <w:fldChar w:fldCharType="begin"/>
        </w:r>
        <w:r w:rsidR="00C6775C">
          <w:rPr>
            <w:noProof/>
            <w:webHidden/>
          </w:rPr>
          <w:instrText xml:space="preserve"> PAGEREF _Toc126826812 \h </w:instrText>
        </w:r>
        <w:r w:rsidR="00C6775C">
          <w:rPr>
            <w:noProof/>
            <w:webHidden/>
          </w:rPr>
        </w:r>
        <w:r w:rsidR="00C6775C">
          <w:rPr>
            <w:noProof/>
            <w:webHidden/>
          </w:rPr>
          <w:fldChar w:fldCharType="separate"/>
        </w:r>
        <w:r w:rsidR="00C6775C">
          <w:rPr>
            <w:noProof/>
            <w:webHidden/>
          </w:rPr>
          <w:t>1</w:t>
        </w:r>
        <w:r w:rsidR="00C6775C">
          <w:rPr>
            <w:noProof/>
            <w:webHidden/>
          </w:rPr>
          <w:fldChar w:fldCharType="end"/>
        </w:r>
      </w:hyperlink>
    </w:p>
    <w:p w14:paraId="3720F7DD" w14:textId="7DABA247" w:rsidR="00C6775C" w:rsidRDefault="001F779F">
      <w:pPr>
        <w:pStyle w:val="Innehll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26813" w:history="1">
        <w:r w:rsidR="00C6775C" w:rsidRPr="00530D3A">
          <w:rPr>
            <w:rStyle w:val="Hyperlnk"/>
            <w:rFonts w:eastAsia="MS Gothic"/>
            <w:noProof/>
          </w:rPr>
          <w:t>Bakgrund</w:t>
        </w:r>
        <w:r w:rsidR="00C6775C">
          <w:rPr>
            <w:noProof/>
            <w:webHidden/>
          </w:rPr>
          <w:tab/>
        </w:r>
        <w:r w:rsidR="00C6775C">
          <w:rPr>
            <w:noProof/>
            <w:webHidden/>
          </w:rPr>
          <w:fldChar w:fldCharType="begin"/>
        </w:r>
        <w:r w:rsidR="00C6775C">
          <w:rPr>
            <w:noProof/>
            <w:webHidden/>
          </w:rPr>
          <w:instrText xml:space="preserve"> PAGEREF _Toc126826813 \h </w:instrText>
        </w:r>
        <w:r w:rsidR="00C6775C">
          <w:rPr>
            <w:noProof/>
            <w:webHidden/>
          </w:rPr>
        </w:r>
        <w:r w:rsidR="00C6775C">
          <w:rPr>
            <w:noProof/>
            <w:webHidden/>
          </w:rPr>
          <w:fldChar w:fldCharType="separate"/>
        </w:r>
        <w:r w:rsidR="00C6775C">
          <w:rPr>
            <w:noProof/>
            <w:webHidden/>
          </w:rPr>
          <w:t>2</w:t>
        </w:r>
        <w:r w:rsidR="00C6775C">
          <w:rPr>
            <w:noProof/>
            <w:webHidden/>
          </w:rPr>
          <w:fldChar w:fldCharType="end"/>
        </w:r>
      </w:hyperlink>
    </w:p>
    <w:p w14:paraId="06D1B321" w14:textId="41735497" w:rsidR="00C6775C" w:rsidRDefault="001F779F">
      <w:pPr>
        <w:pStyle w:val="Innehll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26814" w:history="1">
        <w:r w:rsidR="00C6775C" w:rsidRPr="00530D3A">
          <w:rPr>
            <w:rStyle w:val="Hyperlnk"/>
            <w:rFonts w:eastAsia="MS Gothic"/>
            <w:noProof/>
          </w:rPr>
          <w:t>Förutsättningar</w:t>
        </w:r>
        <w:r w:rsidR="00C6775C">
          <w:rPr>
            <w:noProof/>
            <w:webHidden/>
          </w:rPr>
          <w:tab/>
        </w:r>
        <w:r w:rsidR="00C6775C">
          <w:rPr>
            <w:noProof/>
            <w:webHidden/>
          </w:rPr>
          <w:fldChar w:fldCharType="begin"/>
        </w:r>
        <w:r w:rsidR="00C6775C">
          <w:rPr>
            <w:noProof/>
            <w:webHidden/>
          </w:rPr>
          <w:instrText xml:space="preserve"> PAGEREF _Toc126826814 \h </w:instrText>
        </w:r>
        <w:r w:rsidR="00C6775C">
          <w:rPr>
            <w:noProof/>
            <w:webHidden/>
          </w:rPr>
        </w:r>
        <w:r w:rsidR="00C6775C">
          <w:rPr>
            <w:noProof/>
            <w:webHidden/>
          </w:rPr>
          <w:fldChar w:fldCharType="separate"/>
        </w:r>
        <w:r w:rsidR="00C6775C">
          <w:rPr>
            <w:noProof/>
            <w:webHidden/>
          </w:rPr>
          <w:t>2</w:t>
        </w:r>
        <w:r w:rsidR="00C6775C">
          <w:rPr>
            <w:noProof/>
            <w:webHidden/>
          </w:rPr>
          <w:fldChar w:fldCharType="end"/>
        </w:r>
      </w:hyperlink>
    </w:p>
    <w:p w14:paraId="35D1A44C" w14:textId="48DB5804" w:rsidR="00C6775C" w:rsidRDefault="001F779F">
      <w:pPr>
        <w:pStyle w:val="Innehll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26815" w:history="1">
        <w:r w:rsidR="00C6775C" w:rsidRPr="00530D3A">
          <w:rPr>
            <w:rStyle w:val="Hyperlnk"/>
            <w:rFonts w:eastAsia="MS Gothic"/>
            <w:noProof/>
          </w:rPr>
          <w:t>Ansvar</w:t>
        </w:r>
        <w:r w:rsidR="00C6775C">
          <w:rPr>
            <w:noProof/>
            <w:webHidden/>
          </w:rPr>
          <w:tab/>
        </w:r>
        <w:r w:rsidR="00C6775C">
          <w:rPr>
            <w:noProof/>
            <w:webHidden/>
          </w:rPr>
          <w:fldChar w:fldCharType="begin"/>
        </w:r>
        <w:r w:rsidR="00C6775C">
          <w:rPr>
            <w:noProof/>
            <w:webHidden/>
          </w:rPr>
          <w:instrText xml:space="preserve"> PAGEREF _Toc126826815 \h </w:instrText>
        </w:r>
        <w:r w:rsidR="00C6775C">
          <w:rPr>
            <w:noProof/>
            <w:webHidden/>
          </w:rPr>
        </w:r>
        <w:r w:rsidR="00C6775C">
          <w:rPr>
            <w:noProof/>
            <w:webHidden/>
          </w:rPr>
          <w:fldChar w:fldCharType="separate"/>
        </w:r>
        <w:r w:rsidR="00C6775C">
          <w:rPr>
            <w:noProof/>
            <w:webHidden/>
          </w:rPr>
          <w:t>2</w:t>
        </w:r>
        <w:r w:rsidR="00C6775C">
          <w:rPr>
            <w:noProof/>
            <w:webHidden/>
          </w:rPr>
          <w:fldChar w:fldCharType="end"/>
        </w:r>
      </w:hyperlink>
    </w:p>
    <w:p w14:paraId="4698D100" w14:textId="484B6DA9" w:rsidR="00C6775C" w:rsidRDefault="001F779F">
      <w:pPr>
        <w:pStyle w:val="Innehll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26816" w:history="1">
        <w:r w:rsidR="00C6775C" w:rsidRPr="00530D3A">
          <w:rPr>
            <w:rStyle w:val="Hyperlnk"/>
            <w:rFonts w:eastAsia="MS Gothic"/>
            <w:noProof/>
          </w:rPr>
          <w:t>Antikoagulantia och operatörens ansvar</w:t>
        </w:r>
        <w:r w:rsidR="00C6775C">
          <w:rPr>
            <w:noProof/>
            <w:webHidden/>
          </w:rPr>
          <w:tab/>
        </w:r>
        <w:r w:rsidR="00C6775C">
          <w:rPr>
            <w:noProof/>
            <w:webHidden/>
          </w:rPr>
          <w:fldChar w:fldCharType="begin"/>
        </w:r>
        <w:r w:rsidR="00C6775C">
          <w:rPr>
            <w:noProof/>
            <w:webHidden/>
          </w:rPr>
          <w:instrText xml:space="preserve"> PAGEREF _Toc126826816 \h </w:instrText>
        </w:r>
        <w:r w:rsidR="00C6775C">
          <w:rPr>
            <w:noProof/>
            <w:webHidden/>
          </w:rPr>
        </w:r>
        <w:r w:rsidR="00C6775C">
          <w:rPr>
            <w:noProof/>
            <w:webHidden/>
          </w:rPr>
          <w:fldChar w:fldCharType="separate"/>
        </w:r>
        <w:r w:rsidR="00C6775C">
          <w:rPr>
            <w:noProof/>
            <w:webHidden/>
          </w:rPr>
          <w:t>2</w:t>
        </w:r>
        <w:r w:rsidR="00C6775C">
          <w:rPr>
            <w:noProof/>
            <w:webHidden/>
          </w:rPr>
          <w:fldChar w:fldCharType="end"/>
        </w:r>
      </w:hyperlink>
    </w:p>
    <w:p w14:paraId="6F96BB39" w14:textId="61F8B0EC" w:rsidR="00C6775C" w:rsidRDefault="001F779F">
      <w:pPr>
        <w:pStyle w:val="Innehll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26817" w:history="1">
        <w:r w:rsidR="00C6775C" w:rsidRPr="00530D3A">
          <w:rPr>
            <w:rStyle w:val="Hyperlnk"/>
            <w:rFonts w:eastAsia="MS Gothic"/>
            <w:noProof/>
          </w:rPr>
          <w:t>Genomförande</w:t>
        </w:r>
        <w:r w:rsidR="00C6775C">
          <w:rPr>
            <w:noProof/>
            <w:webHidden/>
          </w:rPr>
          <w:tab/>
        </w:r>
        <w:r w:rsidR="00C6775C">
          <w:rPr>
            <w:noProof/>
            <w:webHidden/>
          </w:rPr>
          <w:fldChar w:fldCharType="begin"/>
        </w:r>
        <w:r w:rsidR="00C6775C">
          <w:rPr>
            <w:noProof/>
            <w:webHidden/>
          </w:rPr>
          <w:instrText xml:space="preserve"> PAGEREF _Toc126826817 \h </w:instrText>
        </w:r>
        <w:r w:rsidR="00C6775C">
          <w:rPr>
            <w:noProof/>
            <w:webHidden/>
          </w:rPr>
        </w:r>
        <w:r w:rsidR="00C6775C">
          <w:rPr>
            <w:noProof/>
            <w:webHidden/>
          </w:rPr>
          <w:fldChar w:fldCharType="separate"/>
        </w:r>
        <w:r w:rsidR="00C6775C">
          <w:rPr>
            <w:noProof/>
            <w:webHidden/>
          </w:rPr>
          <w:t>2</w:t>
        </w:r>
        <w:r w:rsidR="00C6775C">
          <w:rPr>
            <w:noProof/>
            <w:webHidden/>
          </w:rPr>
          <w:fldChar w:fldCharType="end"/>
        </w:r>
      </w:hyperlink>
    </w:p>
    <w:p w14:paraId="04996BD4" w14:textId="56630905" w:rsidR="00C6775C" w:rsidRDefault="001F779F">
      <w:pPr>
        <w:pStyle w:val="Innehll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26818" w:history="1">
        <w:r w:rsidR="00C6775C" w:rsidRPr="00530D3A">
          <w:rPr>
            <w:rStyle w:val="Hyperlnk"/>
            <w:rFonts w:eastAsia="MS Gothic"/>
            <w:noProof/>
          </w:rPr>
          <w:t>Preparat</w:t>
        </w:r>
        <w:r w:rsidR="00C6775C">
          <w:rPr>
            <w:noProof/>
            <w:webHidden/>
          </w:rPr>
          <w:tab/>
        </w:r>
        <w:r w:rsidR="00C6775C">
          <w:rPr>
            <w:noProof/>
            <w:webHidden/>
          </w:rPr>
          <w:fldChar w:fldCharType="begin"/>
        </w:r>
        <w:r w:rsidR="00C6775C">
          <w:rPr>
            <w:noProof/>
            <w:webHidden/>
          </w:rPr>
          <w:instrText xml:space="preserve"> PAGEREF _Toc126826818 \h </w:instrText>
        </w:r>
        <w:r w:rsidR="00C6775C">
          <w:rPr>
            <w:noProof/>
            <w:webHidden/>
          </w:rPr>
        </w:r>
        <w:r w:rsidR="00C6775C">
          <w:rPr>
            <w:noProof/>
            <w:webHidden/>
          </w:rPr>
          <w:fldChar w:fldCharType="separate"/>
        </w:r>
        <w:r w:rsidR="00C6775C">
          <w:rPr>
            <w:noProof/>
            <w:webHidden/>
          </w:rPr>
          <w:t>2</w:t>
        </w:r>
        <w:r w:rsidR="00C6775C">
          <w:rPr>
            <w:noProof/>
            <w:webHidden/>
          </w:rPr>
          <w:fldChar w:fldCharType="end"/>
        </w:r>
      </w:hyperlink>
    </w:p>
    <w:p w14:paraId="0CCA49B5" w14:textId="248ACF40" w:rsidR="00C6775C" w:rsidRDefault="001F779F">
      <w:pPr>
        <w:pStyle w:val="Innehll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26819" w:history="1">
        <w:r w:rsidR="00C6775C" w:rsidRPr="00530D3A">
          <w:rPr>
            <w:rStyle w:val="Hyperlnk"/>
            <w:rFonts w:eastAsia="MS Gothic"/>
            <w:noProof/>
          </w:rPr>
          <w:t>Antikoagulantia</w:t>
        </w:r>
        <w:r w:rsidR="00C6775C">
          <w:rPr>
            <w:noProof/>
            <w:webHidden/>
          </w:rPr>
          <w:tab/>
        </w:r>
        <w:r w:rsidR="00C6775C">
          <w:rPr>
            <w:noProof/>
            <w:webHidden/>
          </w:rPr>
          <w:fldChar w:fldCharType="begin"/>
        </w:r>
        <w:r w:rsidR="00C6775C">
          <w:rPr>
            <w:noProof/>
            <w:webHidden/>
          </w:rPr>
          <w:instrText xml:space="preserve"> PAGEREF _Toc126826819 \h </w:instrText>
        </w:r>
        <w:r w:rsidR="00C6775C">
          <w:rPr>
            <w:noProof/>
            <w:webHidden/>
          </w:rPr>
        </w:r>
        <w:r w:rsidR="00C6775C">
          <w:rPr>
            <w:noProof/>
            <w:webHidden/>
          </w:rPr>
          <w:fldChar w:fldCharType="separate"/>
        </w:r>
        <w:r w:rsidR="00C6775C">
          <w:rPr>
            <w:noProof/>
            <w:webHidden/>
          </w:rPr>
          <w:t>2</w:t>
        </w:r>
        <w:r w:rsidR="00C6775C">
          <w:rPr>
            <w:noProof/>
            <w:webHidden/>
          </w:rPr>
          <w:fldChar w:fldCharType="end"/>
        </w:r>
      </w:hyperlink>
    </w:p>
    <w:p w14:paraId="477A663E" w14:textId="2E0B2785" w:rsidR="00C6775C" w:rsidRDefault="001F779F">
      <w:pPr>
        <w:pStyle w:val="Innehll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26820" w:history="1">
        <w:r w:rsidR="00C6775C" w:rsidRPr="00530D3A">
          <w:rPr>
            <w:rStyle w:val="Hyperlnk"/>
            <w:rFonts w:eastAsia="MS Gothic"/>
            <w:noProof/>
          </w:rPr>
          <w:t>Trombocythämmare</w:t>
        </w:r>
        <w:r w:rsidR="00C6775C">
          <w:rPr>
            <w:noProof/>
            <w:webHidden/>
          </w:rPr>
          <w:tab/>
        </w:r>
        <w:r w:rsidR="00C6775C">
          <w:rPr>
            <w:noProof/>
            <w:webHidden/>
          </w:rPr>
          <w:fldChar w:fldCharType="begin"/>
        </w:r>
        <w:r w:rsidR="00C6775C">
          <w:rPr>
            <w:noProof/>
            <w:webHidden/>
          </w:rPr>
          <w:instrText xml:space="preserve"> PAGEREF _Toc126826820 \h </w:instrText>
        </w:r>
        <w:r w:rsidR="00C6775C">
          <w:rPr>
            <w:noProof/>
            <w:webHidden/>
          </w:rPr>
        </w:r>
        <w:r w:rsidR="00C6775C">
          <w:rPr>
            <w:noProof/>
            <w:webHidden/>
          </w:rPr>
          <w:fldChar w:fldCharType="separate"/>
        </w:r>
        <w:r w:rsidR="00C6775C">
          <w:rPr>
            <w:noProof/>
            <w:webHidden/>
          </w:rPr>
          <w:t>2</w:t>
        </w:r>
        <w:r w:rsidR="00C6775C">
          <w:rPr>
            <w:noProof/>
            <w:webHidden/>
          </w:rPr>
          <w:fldChar w:fldCharType="end"/>
        </w:r>
      </w:hyperlink>
    </w:p>
    <w:p w14:paraId="3DB128EC" w14:textId="1B2D6831" w:rsidR="00C6775C" w:rsidRDefault="001F779F">
      <w:pPr>
        <w:pStyle w:val="Innehll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26821" w:history="1">
        <w:r w:rsidR="00C6775C" w:rsidRPr="00530D3A">
          <w:rPr>
            <w:rStyle w:val="Hyperlnk"/>
            <w:rFonts w:eastAsia="MS Gothic"/>
            <w:noProof/>
          </w:rPr>
          <w:t>Värdera</w:t>
        </w:r>
        <w:r w:rsidR="00C6775C">
          <w:rPr>
            <w:noProof/>
            <w:webHidden/>
          </w:rPr>
          <w:tab/>
        </w:r>
        <w:r w:rsidR="00C6775C">
          <w:rPr>
            <w:noProof/>
            <w:webHidden/>
          </w:rPr>
          <w:fldChar w:fldCharType="begin"/>
        </w:r>
        <w:r w:rsidR="00C6775C">
          <w:rPr>
            <w:noProof/>
            <w:webHidden/>
          </w:rPr>
          <w:instrText xml:space="preserve"> PAGEREF _Toc126826821 \h </w:instrText>
        </w:r>
        <w:r w:rsidR="00C6775C">
          <w:rPr>
            <w:noProof/>
            <w:webHidden/>
          </w:rPr>
        </w:r>
        <w:r w:rsidR="00C6775C">
          <w:rPr>
            <w:noProof/>
            <w:webHidden/>
          </w:rPr>
          <w:fldChar w:fldCharType="separate"/>
        </w:r>
        <w:r w:rsidR="00C6775C">
          <w:rPr>
            <w:noProof/>
            <w:webHidden/>
          </w:rPr>
          <w:t>3</w:t>
        </w:r>
        <w:r w:rsidR="00C6775C">
          <w:rPr>
            <w:noProof/>
            <w:webHidden/>
          </w:rPr>
          <w:fldChar w:fldCharType="end"/>
        </w:r>
      </w:hyperlink>
    </w:p>
    <w:p w14:paraId="507BBBC0" w14:textId="20C69AF8" w:rsidR="00C6775C" w:rsidRDefault="001F779F">
      <w:pPr>
        <w:pStyle w:val="Innehll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26822" w:history="1">
        <w:r w:rsidR="00C6775C" w:rsidRPr="00530D3A">
          <w:rPr>
            <w:rStyle w:val="Hyperlnk"/>
            <w:rFonts w:eastAsia="MS Gothic"/>
            <w:noProof/>
          </w:rPr>
          <w:t>Åtgärder</w:t>
        </w:r>
        <w:r w:rsidR="00C6775C">
          <w:rPr>
            <w:noProof/>
            <w:webHidden/>
          </w:rPr>
          <w:tab/>
        </w:r>
        <w:r w:rsidR="00C6775C">
          <w:rPr>
            <w:noProof/>
            <w:webHidden/>
          </w:rPr>
          <w:fldChar w:fldCharType="begin"/>
        </w:r>
        <w:r w:rsidR="00C6775C">
          <w:rPr>
            <w:noProof/>
            <w:webHidden/>
          </w:rPr>
          <w:instrText xml:space="preserve"> PAGEREF _Toc126826822 \h </w:instrText>
        </w:r>
        <w:r w:rsidR="00C6775C">
          <w:rPr>
            <w:noProof/>
            <w:webHidden/>
          </w:rPr>
        </w:r>
        <w:r w:rsidR="00C6775C">
          <w:rPr>
            <w:noProof/>
            <w:webHidden/>
          </w:rPr>
          <w:fldChar w:fldCharType="separate"/>
        </w:r>
        <w:r w:rsidR="00C6775C">
          <w:rPr>
            <w:noProof/>
            <w:webHidden/>
          </w:rPr>
          <w:t>3</w:t>
        </w:r>
        <w:r w:rsidR="00C6775C">
          <w:rPr>
            <w:noProof/>
            <w:webHidden/>
          </w:rPr>
          <w:fldChar w:fldCharType="end"/>
        </w:r>
      </w:hyperlink>
    </w:p>
    <w:p w14:paraId="35DEA2AC" w14:textId="3D020A4B" w:rsidR="00C6775C" w:rsidRDefault="001F779F">
      <w:pPr>
        <w:pStyle w:val="Innehll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26823" w:history="1">
        <w:r w:rsidR="00C6775C" w:rsidRPr="00530D3A">
          <w:rPr>
            <w:rStyle w:val="Hyperlnk"/>
            <w:rFonts w:eastAsia="MS Gothic"/>
            <w:noProof/>
          </w:rPr>
          <w:t>Antikoagulantia</w:t>
        </w:r>
        <w:r w:rsidR="00C6775C">
          <w:rPr>
            <w:noProof/>
            <w:webHidden/>
          </w:rPr>
          <w:tab/>
        </w:r>
        <w:r w:rsidR="00C6775C">
          <w:rPr>
            <w:noProof/>
            <w:webHidden/>
          </w:rPr>
          <w:fldChar w:fldCharType="begin"/>
        </w:r>
        <w:r w:rsidR="00C6775C">
          <w:rPr>
            <w:noProof/>
            <w:webHidden/>
          </w:rPr>
          <w:instrText xml:space="preserve"> PAGEREF _Toc126826823 \h </w:instrText>
        </w:r>
        <w:r w:rsidR="00C6775C">
          <w:rPr>
            <w:noProof/>
            <w:webHidden/>
          </w:rPr>
        </w:r>
        <w:r w:rsidR="00C6775C">
          <w:rPr>
            <w:noProof/>
            <w:webHidden/>
          </w:rPr>
          <w:fldChar w:fldCharType="separate"/>
        </w:r>
        <w:r w:rsidR="00C6775C">
          <w:rPr>
            <w:noProof/>
            <w:webHidden/>
          </w:rPr>
          <w:t>3</w:t>
        </w:r>
        <w:r w:rsidR="00C6775C">
          <w:rPr>
            <w:noProof/>
            <w:webHidden/>
          </w:rPr>
          <w:fldChar w:fldCharType="end"/>
        </w:r>
      </w:hyperlink>
    </w:p>
    <w:p w14:paraId="391365DE" w14:textId="70A977C3" w:rsidR="00C6775C" w:rsidRDefault="001F779F">
      <w:pPr>
        <w:pStyle w:val="Innehll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26824" w:history="1">
        <w:r w:rsidR="00C6775C" w:rsidRPr="00530D3A">
          <w:rPr>
            <w:rStyle w:val="Hyperlnk"/>
            <w:rFonts w:eastAsia="MS Gothic"/>
            <w:noProof/>
          </w:rPr>
          <w:t>NOAK</w:t>
        </w:r>
        <w:r w:rsidR="00C6775C">
          <w:rPr>
            <w:noProof/>
            <w:webHidden/>
          </w:rPr>
          <w:tab/>
        </w:r>
        <w:r w:rsidR="00C6775C">
          <w:rPr>
            <w:noProof/>
            <w:webHidden/>
          </w:rPr>
          <w:fldChar w:fldCharType="begin"/>
        </w:r>
        <w:r w:rsidR="00C6775C">
          <w:rPr>
            <w:noProof/>
            <w:webHidden/>
          </w:rPr>
          <w:instrText xml:space="preserve"> PAGEREF _Toc126826824 \h </w:instrText>
        </w:r>
        <w:r w:rsidR="00C6775C">
          <w:rPr>
            <w:noProof/>
            <w:webHidden/>
          </w:rPr>
        </w:r>
        <w:r w:rsidR="00C6775C">
          <w:rPr>
            <w:noProof/>
            <w:webHidden/>
          </w:rPr>
          <w:fldChar w:fldCharType="separate"/>
        </w:r>
        <w:r w:rsidR="00C6775C">
          <w:rPr>
            <w:noProof/>
            <w:webHidden/>
          </w:rPr>
          <w:t>3</w:t>
        </w:r>
        <w:r w:rsidR="00C6775C">
          <w:rPr>
            <w:noProof/>
            <w:webHidden/>
          </w:rPr>
          <w:fldChar w:fldCharType="end"/>
        </w:r>
      </w:hyperlink>
    </w:p>
    <w:p w14:paraId="3837D722" w14:textId="10FA6D5A" w:rsidR="00C6775C" w:rsidRDefault="001F779F">
      <w:pPr>
        <w:pStyle w:val="Innehll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26825" w:history="1">
        <w:r w:rsidR="00C6775C" w:rsidRPr="00530D3A">
          <w:rPr>
            <w:rStyle w:val="Hyperlnk"/>
            <w:rFonts w:eastAsia="MS Gothic"/>
            <w:noProof/>
          </w:rPr>
          <w:t>Dokumentinformation</w:t>
        </w:r>
        <w:r w:rsidR="00C6775C">
          <w:rPr>
            <w:noProof/>
            <w:webHidden/>
          </w:rPr>
          <w:tab/>
        </w:r>
        <w:r w:rsidR="00C6775C">
          <w:rPr>
            <w:noProof/>
            <w:webHidden/>
          </w:rPr>
          <w:fldChar w:fldCharType="begin"/>
        </w:r>
        <w:r w:rsidR="00C6775C">
          <w:rPr>
            <w:noProof/>
            <w:webHidden/>
          </w:rPr>
          <w:instrText xml:space="preserve"> PAGEREF _Toc126826825 \h </w:instrText>
        </w:r>
        <w:r w:rsidR="00C6775C">
          <w:rPr>
            <w:noProof/>
            <w:webHidden/>
          </w:rPr>
        </w:r>
        <w:r w:rsidR="00C6775C">
          <w:rPr>
            <w:noProof/>
            <w:webHidden/>
          </w:rPr>
          <w:fldChar w:fldCharType="separate"/>
        </w:r>
        <w:r w:rsidR="00C6775C">
          <w:rPr>
            <w:noProof/>
            <w:webHidden/>
          </w:rPr>
          <w:t>5</w:t>
        </w:r>
        <w:r w:rsidR="00C6775C">
          <w:rPr>
            <w:noProof/>
            <w:webHidden/>
          </w:rPr>
          <w:fldChar w:fldCharType="end"/>
        </w:r>
      </w:hyperlink>
    </w:p>
    <w:p w14:paraId="5144F2E4" w14:textId="3BAC17A3" w:rsidR="00C6775C" w:rsidRDefault="001F779F">
      <w:pPr>
        <w:pStyle w:val="Innehll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26826" w:history="1">
        <w:r w:rsidR="00C6775C" w:rsidRPr="00530D3A">
          <w:rPr>
            <w:rStyle w:val="Hyperlnk"/>
            <w:rFonts w:eastAsia="MS Gothic"/>
            <w:noProof/>
          </w:rPr>
          <w:t>Referensförteckning</w:t>
        </w:r>
        <w:r w:rsidR="00C6775C">
          <w:rPr>
            <w:noProof/>
            <w:webHidden/>
          </w:rPr>
          <w:tab/>
        </w:r>
        <w:r w:rsidR="00C6775C">
          <w:rPr>
            <w:noProof/>
            <w:webHidden/>
          </w:rPr>
          <w:fldChar w:fldCharType="begin"/>
        </w:r>
        <w:r w:rsidR="00C6775C">
          <w:rPr>
            <w:noProof/>
            <w:webHidden/>
          </w:rPr>
          <w:instrText xml:space="preserve"> PAGEREF _Toc126826826 \h </w:instrText>
        </w:r>
        <w:r w:rsidR="00C6775C">
          <w:rPr>
            <w:noProof/>
            <w:webHidden/>
          </w:rPr>
        </w:r>
        <w:r w:rsidR="00C6775C">
          <w:rPr>
            <w:noProof/>
            <w:webHidden/>
          </w:rPr>
          <w:fldChar w:fldCharType="separate"/>
        </w:r>
        <w:r w:rsidR="00C6775C">
          <w:rPr>
            <w:noProof/>
            <w:webHidden/>
          </w:rPr>
          <w:t>5</w:t>
        </w:r>
        <w:r w:rsidR="00C6775C">
          <w:rPr>
            <w:noProof/>
            <w:webHidden/>
          </w:rPr>
          <w:fldChar w:fldCharType="end"/>
        </w:r>
      </w:hyperlink>
    </w:p>
    <w:p w14:paraId="5D26EFDD" w14:textId="197A2DED" w:rsidR="00C6775C" w:rsidRDefault="001F779F">
      <w:pPr>
        <w:pStyle w:val="Innehll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26827" w:history="1">
        <w:r w:rsidR="00C6775C" w:rsidRPr="00530D3A">
          <w:rPr>
            <w:rStyle w:val="Hyperlnk"/>
            <w:rFonts w:eastAsia="MS Gothic"/>
            <w:noProof/>
          </w:rPr>
          <w:t>Länkförteckning</w:t>
        </w:r>
        <w:r w:rsidR="00C6775C">
          <w:rPr>
            <w:noProof/>
            <w:webHidden/>
          </w:rPr>
          <w:tab/>
        </w:r>
        <w:r w:rsidR="00C6775C">
          <w:rPr>
            <w:noProof/>
            <w:webHidden/>
          </w:rPr>
          <w:fldChar w:fldCharType="begin"/>
        </w:r>
        <w:r w:rsidR="00C6775C">
          <w:rPr>
            <w:noProof/>
            <w:webHidden/>
          </w:rPr>
          <w:instrText xml:space="preserve"> PAGEREF _Toc126826827 \h </w:instrText>
        </w:r>
        <w:r w:rsidR="00C6775C">
          <w:rPr>
            <w:noProof/>
            <w:webHidden/>
          </w:rPr>
        </w:r>
        <w:r w:rsidR="00C6775C">
          <w:rPr>
            <w:noProof/>
            <w:webHidden/>
          </w:rPr>
          <w:fldChar w:fldCharType="separate"/>
        </w:r>
        <w:r w:rsidR="00C6775C">
          <w:rPr>
            <w:noProof/>
            <w:webHidden/>
          </w:rPr>
          <w:t>5</w:t>
        </w:r>
        <w:r w:rsidR="00C6775C">
          <w:rPr>
            <w:noProof/>
            <w:webHidden/>
          </w:rPr>
          <w:fldChar w:fldCharType="end"/>
        </w:r>
      </w:hyperlink>
    </w:p>
    <w:p w14:paraId="3356BADE" w14:textId="39CCE5B9" w:rsidR="00A704D1" w:rsidRPr="00A704D1" w:rsidRDefault="00884E7D" w:rsidP="00884E7D">
      <w:pPr>
        <w:pStyle w:val="Rubrik2"/>
      </w:pPr>
      <w:r>
        <w:rPr>
          <w:rFonts w:ascii="Arial" w:hAnsi="Arial"/>
          <w:noProof/>
          <w:color w:val="0000FF"/>
          <w:sz w:val="22"/>
          <w:szCs w:val="32"/>
          <w:u w:val="single"/>
        </w:rPr>
        <w:lastRenderedPageBreak/>
        <w:fldChar w:fldCharType="end"/>
      </w:r>
      <w:bookmarkStart w:id="20" w:name="_Toc432599632"/>
      <w:bookmarkStart w:id="21" w:name="_Toc438113096"/>
      <w:bookmarkStart w:id="22" w:name="_Toc256000001"/>
      <w:bookmarkStart w:id="23" w:name="_Toc256000017"/>
      <w:bookmarkStart w:id="24" w:name="_Toc256000033"/>
      <w:bookmarkStart w:id="25" w:name="_Toc256000049"/>
      <w:bookmarkStart w:id="26" w:name="_Toc256000065"/>
      <w:bookmarkStart w:id="27" w:name="_Toc256000081"/>
      <w:bookmarkStart w:id="28" w:name="_Toc450816043"/>
      <w:bookmarkStart w:id="29" w:name="_Toc451432057"/>
      <w:bookmarkStart w:id="30" w:name="_Toc451434529"/>
      <w:bookmarkStart w:id="31" w:name="_Toc256000097"/>
      <w:bookmarkStart w:id="32" w:name="_Toc256000113"/>
      <w:bookmarkStart w:id="33" w:name="_Toc256000129"/>
      <w:bookmarkStart w:id="34" w:name="_Toc256000145"/>
      <w:bookmarkStart w:id="35" w:name="_Toc96594257"/>
      <w:bookmarkStart w:id="36" w:name="_Toc256000161"/>
      <w:bookmarkStart w:id="37" w:name="_Toc126826813"/>
      <w:r w:rsidR="00A704D1" w:rsidRPr="00A704D1">
        <w:t>Bakgrund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214BAB05" w14:textId="77777777" w:rsidR="00A704D1" w:rsidRPr="00A704D1" w:rsidRDefault="00A704D1" w:rsidP="00F82114">
      <w:r w:rsidRPr="00A704D1">
        <w:t>Riktlinjen baseras på kliniska råd för behandling med nya perorala antikoagulantia sammanställda av Svenska Sällskapet för Trombos och Hemostas [1].</w:t>
      </w:r>
    </w:p>
    <w:p w14:paraId="07BD3601" w14:textId="77777777" w:rsidR="00A704D1" w:rsidRPr="00A704D1" w:rsidRDefault="00A704D1" w:rsidP="00F82114">
      <w:pPr>
        <w:pStyle w:val="Rubrik2"/>
      </w:pPr>
      <w:bookmarkStart w:id="38" w:name="_Toc432599633"/>
      <w:bookmarkStart w:id="39" w:name="_Toc438113097"/>
      <w:bookmarkStart w:id="40" w:name="_Toc256000002"/>
      <w:bookmarkStart w:id="41" w:name="_Toc256000018"/>
      <w:bookmarkStart w:id="42" w:name="_Toc256000034"/>
      <w:bookmarkStart w:id="43" w:name="_Toc256000050"/>
      <w:bookmarkStart w:id="44" w:name="_Toc256000066"/>
      <w:bookmarkStart w:id="45" w:name="_Toc256000082"/>
      <w:bookmarkStart w:id="46" w:name="_Toc450816044"/>
      <w:bookmarkStart w:id="47" w:name="_Toc451432058"/>
      <w:bookmarkStart w:id="48" w:name="_Toc451434530"/>
      <w:bookmarkStart w:id="49" w:name="_Toc256000098"/>
      <w:bookmarkStart w:id="50" w:name="_Toc256000114"/>
      <w:bookmarkStart w:id="51" w:name="_Toc256000130"/>
      <w:bookmarkStart w:id="52" w:name="_Toc256000146"/>
      <w:bookmarkStart w:id="53" w:name="_Toc96594258"/>
      <w:bookmarkStart w:id="54" w:name="_Toc256000162"/>
      <w:bookmarkStart w:id="55" w:name="_Toc126826814"/>
      <w:r w:rsidRPr="00A704D1">
        <w:t>Förutsättningar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00CD773E" w14:textId="77777777" w:rsidR="00A704D1" w:rsidRPr="00A704D1" w:rsidRDefault="00A704D1" w:rsidP="00884E7D">
      <w:pPr>
        <w:pStyle w:val="Rubrik3"/>
        <w:spacing w:before="120"/>
      </w:pPr>
      <w:bookmarkStart w:id="56" w:name="_Toc432599634"/>
      <w:bookmarkStart w:id="57" w:name="_Toc438113098"/>
      <w:bookmarkStart w:id="58" w:name="_Toc256000003"/>
      <w:bookmarkStart w:id="59" w:name="_Toc256000019"/>
      <w:bookmarkStart w:id="60" w:name="_Toc256000035"/>
      <w:bookmarkStart w:id="61" w:name="_Toc256000051"/>
      <w:bookmarkStart w:id="62" w:name="_Toc256000067"/>
      <w:bookmarkStart w:id="63" w:name="_Toc256000083"/>
      <w:bookmarkStart w:id="64" w:name="_Toc450816045"/>
      <w:bookmarkStart w:id="65" w:name="_Toc451432059"/>
      <w:bookmarkStart w:id="66" w:name="_Toc451434531"/>
      <w:bookmarkStart w:id="67" w:name="_Toc256000099"/>
      <w:bookmarkStart w:id="68" w:name="_Toc256000115"/>
      <w:bookmarkStart w:id="69" w:name="_Toc256000131"/>
      <w:bookmarkStart w:id="70" w:name="_Toc256000147"/>
      <w:bookmarkStart w:id="71" w:name="_Toc96594259"/>
      <w:bookmarkStart w:id="72" w:name="_Toc256000163"/>
      <w:bookmarkStart w:id="73" w:name="_Toc126826815"/>
      <w:r w:rsidRPr="00A704D1">
        <w:t>Ansvar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656445CF" w14:textId="77777777" w:rsidR="00A704D1" w:rsidRPr="00A704D1" w:rsidRDefault="00A704D1" w:rsidP="00F82114">
      <w:pPr>
        <w:pStyle w:val="MellanrubrikVGR"/>
        <w:spacing w:before="120"/>
      </w:pPr>
      <w:bookmarkStart w:id="74" w:name="_Toc432599635"/>
      <w:bookmarkStart w:id="75" w:name="_Toc438113099"/>
      <w:bookmarkStart w:id="76" w:name="_Toc256000004"/>
      <w:bookmarkStart w:id="77" w:name="_Toc256000020"/>
      <w:bookmarkStart w:id="78" w:name="_Toc256000036"/>
      <w:bookmarkStart w:id="79" w:name="_Toc256000052"/>
      <w:bookmarkStart w:id="80" w:name="_Toc256000068"/>
      <w:bookmarkStart w:id="81" w:name="_Toc256000084"/>
      <w:bookmarkStart w:id="82" w:name="_Toc450816046"/>
      <w:bookmarkStart w:id="83" w:name="_Toc451432060"/>
      <w:bookmarkStart w:id="84" w:name="_Toc451434532"/>
      <w:bookmarkStart w:id="85" w:name="_Toc256000100"/>
      <w:bookmarkStart w:id="86" w:name="_Toc256000116"/>
      <w:bookmarkStart w:id="87" w:name="_Toc256000132"/>
      <w:bookmarkStart w:id="88" w:name="_Toc256000148"/>
      <w:bookmarkStart w:id="89" w:name="_Toc96594260"/>
      <w:bookmarkStart w:id="90" w:name="_Toc256000164"/>
      <w:bookmarkStart w:id="91" w:name="_Toc126826816"/>
      <w:r w:rsidRPr="00A704D1">
        <w:t>Antikoagulantia och operatörens ansvar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14:paraId="52D7108F" w14:textId="77777777" w:rsidR="00A704D1" w:rsidRPr="00A704D1" w:rsidRDefault="00A704D1" w:rsidP="00F82114">
      <w:r w:rsidRPr="00A704D1">
        <w:t>Det åligger operatören att förvissa sig om att aktuellt PK (INR)-värde, och de LMH-doser som getts före operationsstart, är rimliga med hänsyn till ingreppets omfattning. Om antikoagulationen bedöms för kraftig åligger det operatören att uppskjuta operationen tills åtgärder vidtagits för att säkra hemostasen.</w:t>
      </w:r>
    </w:p>
    <w:p w14:paraId="1FA314A5" w14:textId="77777777" w:rsidR="00A704D1" w:rsidRPr="00A704D1" w:rsidRDefault="00A704D1" w:rsidP="00F82114">
      <w:r w:rsidRPr="00A704D1">
        <w:t>Operatören ansvarar också för att antikoagulationen postoperativt är rimlig ur blödningsrisksynpunkt.</w:t>
      </w:r>
    </w:p>
    <w:p w14:paraId="2F9AFD12" w14:textId="77777777" w:rsidR="00A704D1" w:rsidRPr="00A704D1" w:rsidRDefault="00A704D1" w:rsidP="00F82114">
      <w:pPr>
        <w:pStyle w:val="Rubrik2"/>
      </w:pPr>
      <w:bookmarkStart w:id="92" w:name="_Toc432599636"/>
      <w:bookmarkStart w:id="93" w:name="_Toc438113100"/>
      <w:bookmarkStart w:id="94" w:name="_Toc256000005"/>
      <w:bookmarkStart w:id="95" w:name="_Toc256000021"/>
      <w:bookmarkStart w:id="96" w:name="_Toc256000037"/>
      <w:bookmarkStart w:id="97" w:name="_Toc256000053"/>
      <w:bookmarkStart w:id="98" w:name="_Toc256000069"/>
      <w:bookmarkStart w:id="99" w:name="_Toc256000085"/>
      <w:bookmarkStart w:id="100" w:name="_Toc450816047"/>
      <w:bookmarkStart w:id="101" w:name="_Toc451432061"/>
      <w:bookmarkStart w:id="102" w:name="_Toc451434533"/>
      <w:bookmarkStart w:id="103" w:name="_Toc256000101"/>
      <w:bookmarkStart w:id="104" w:name="_Toc256000117"/>
      <w:bookmarkStart w:id="105" w:name="_Toc256000133"/>
      <w:bookmarkStart w:id="106" w:name="_Toc256000149"/>
      <w:bookmarkStart w:id="107" w:name="_Toc96594261"/>
      <w:bookmarkStart w:id="108" w:name="_Toc256000165"/>
      <w:bookmarkStart w:id="109" w:name="_Toc126826817"/>
      <w:r w:rsidRPr="00A704D1">
        <w:t>Genomförande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14:paraId="67EB5A07" w14:textId="77777777" w:rsidR="00A704D1" w:rsidRPr="00A704D1" w:rsidRDefault="00A704D1" w:rsidP="00884E7D">
      <w:pPr>
        <w:pStyle w:val="Rubrik3"/>
        <w:spacing w:before="120"/>
      </w:pPr>
      <w:bookmarkStart w:id="110" w:name="_Toc432599637"/>
      <w:bookmarkStart w:id="111" w:name="_Toc438113101"/>
      <w:bookmarkStart w:id="112" w:name="_Toc256000006"/>
      <w:bookmarkStart w:id="113" w:name="_Toc256000022"/>
      <w:bookmarkStart w:id="114" w:name="_Toc256000038"/>
      <w:bookmarkStart w:id="115" w:name="_Toc256000054"/>
      <w:bookmarkStart w:id="116" w:name="_Toc256000070"/>
      <w:bookmarkStart w:id="117" w:name="_Toc256000086"/>
      <w:bookmarkStart w:id="118" w:name="_Toc450816048"/>
      <w:bookmarkStart w:id="119" w:name="_Toc451432062"/>
      <w:bookmarkStart w:id="120" w:name="_Toc451434534"/>
      <w:bookmarkStart w:id="121" w:name="_Toc256000102"/>
      <w:bookmarkStart w:id="122" w:name="_Toc256000118"/>
      <w:bookmarkStart w:id="123" w:name="_Toc256000134"/>
      <w:bookmarkStart w:id="124" w:name="_Toc256000150"/>
      <w:bookmarkStart w:id="125" w:name="_Toc96594262"/>
      <w:bookmarkStart w:id="126" w:name="_Toc256000166"/>
      <w:bookmarkStart w:id="127" w:name="_Toc126826818"/>
      <w:r w:rsidRPr="00A704D1">
        <w:t>Preparat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14:paraId="4AE9AB1D" w14:textId="77777777" w:rsidR="00A704D1" w:rsidRPr="00A704D1" w:rsidRDefault="00A704D1" w:rsidP="00F82114">
      <w:pPr>
        <w:pStyle w:val="MellanrubrikVGR"/>
        <w:spacing w:before="120"/>
      </w:pPr>
      <w:bookmarkStart w:id="128" w:name="_Toc432599638"/>
      <w:bookmarkStart w:id="129" w:name="_Toc438113102"/>
      <w:bookmarkStart w:id="130" w:name="_Toc256000007"/>
      <w:bookmarkStart w:id="131" w:name="_Toc256000023"/>
      <w:bookmarkStart w:id="132" w:name="_Toc256000039"/>
      <w:bookmarkStart w:id="133" w:name="_Toc256000055"/>
      <w:bookmarkStart w:id="134" w:name="_Toc256000071"/>
      <w:bookmarkStart w:id="135" w:name="_Toc256000087"/>
      <w:bookmarkStart w:id="136" w:name="_Toc450816049"/>
      <w:bookmarkStart w:id="137" w:name="_Toc451432063"/>
      <w:bookmarkStart w:id="138" w:name="_Toc451434535"/>
      <w:bookmarkStart w:id="139" w:name="_Toc256000103"/>
      <w:bookmarkStart w:id="140" w:name="_Toc256000119"/>
      <w:bookmarkStart w:id="141" w:name="_Toc256000135"/>
      <w:bookmarkStart w:id="142" w:name="_Toc256000151"/>
      <w:bookmarkStart w:id="143" w:name="_Toc96594263"/>
      <w:bookmarkStart w:id="144" w:name="_Toc256000167"/>
      <w:bookmarkStart w:id="145" w:name="_Toc126826819"/>
      <w:r w:rsidRPr="00A704D1">
        <w:t>Antikoagulantia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14:paraId="015658F2" w14:textId="77777777" w:rsidR="00A704D1" w:rsidRPr="00A704D1" w:rsidRDefault="00A704D1" w:rsidP="004E3B90">
      <w:pPr>
        <w:pStyle w:val="Punktlista"/>
      </w:pPr>
      <w:r w:rsidRPr="00A704D1">
        <w:t>Warfarin</w:t>
      </w:r>
    </w:p>
    <w:p w14:paraId="689EF47C" w14:textId="77777777" w:rsidR="00A704D1" w:rsidRPr="00A704D1" w:rsidRDefault="00A704D1" w:rsidP="004E3B90">
      <w:pPr>
        <w:pStyle w:val="Punktlista"/>
      </w:pPr>
      <w:r w:rsidRPr="00A704D1">
        <w:t>NOAK = Nya Orala AntiKoagulantia</w:t>
      </w:r>
    </w:p>
    <w:p w14:paraId="35161835" w14:textId="77777777" w:rsidR="00A704D1" w:rsidRPr="00A704D1" w:rsidRDefault="00A704D1" w:rsidP="004E3B90">
      <w:pPr>
        <w:pStyle w:val="Punktlistaunderliggande"/>
      </w:pPr>
      <w:r w:rsidRPr="00A704D1">
        <w:t>apixaban (Eliquis</w:t>
      </w:r>
      <w:r w:rsidRPr="00A704D1">
        <w:rPr>
          <w:vertAlign w:val="superscript"/>
        </w:rPr>
        <w:t>®</w:t>
      </w:r>
      <w:r w:rsidRPr="00A704D1">
        <w:t>)</w:t>
      </w:r>
    </w:p>
    <w:p w14:paraId="2BAB826C" w14:textId="77777777" w:rsidR="00A704D1" w:rsidRPr="00A704D1" w:rsidRDefault="00A704D1" w:rsidP="004E3B90">
      <w:pPr>
        <w:pStyle w:val="Punktlistaunderliggande"/>
      </w:pPr>
      <w:r w:rsidRPr="00A704D1">
        <w:t>rivaroxaban (Xarelto</w:t>
      </w:r>
      <w:r w:rsidRPr="00A704D1">
        <w:rPr>
          <w:vertAlign w:val="superscript"/>
        </w:rPr>
        <w:t>®</w:t>
      </w:r>
      <w:r w:rsidRPr="00A704D1">
        <w:t>)</w:t>
      </w:r>
    </w:p>
    <w:p w14:paraId="6DB7228D" w14:textId="77777777" w:rsidR="00A704D1" w:rsidRPr="00A704D1" w:rsidRDefault="00A704D1" w:rsidP="004E3B90">
      <w:pPr>
        <w:pStyle w:val="Punktlistaunderliggande"/>
      </w:pPr>
      <w:r w:rsidRPr="00A704D1">
        <w:t>dabigatran (Pradaxa</w:t>
      </w:r>
      <w:r w:rsidRPr="00A704D1">
        <w:rPr>
          <w:vertAlign w:val="superscript"/>
        </w:rPr>
        <w:t>®</w:t>
      </w:r>
      <w:r w:rsidRPr="00A704D1">
        <w:t>)</w:t>
      </w:r>
    </w:p>
    <w:p w14:paraId="25B579B4" w14:textId="77777777" w:rsidR="00A704D1" w:rsidRPr="00A704D1" w:rsidRDefault="00A704D1" w:rsidP="004E3B90">
      <w:pPr>
        <w:pStyle w:val="Punktlista"/>
      </w:pPr>
      <w:r w:rsidRPr="00A704D1">
        <w:t>LMH = lågmolekylära hepariner</w:t>
      </w:r>
    </w:p>
    <w:p w14:paraId="3E0AB93F" w14:textId="77777777" w:rsidR="00A704D1" w:rsidRPr="00A704D1" w:rsidRDefault="00A704D1" w:rsidP="004E3B90">
      <w:pPr>
        <w:pStyle w:val="Punktlistaunderliggande"/>
      </w:pPr>
      <w:r w:rsidRPr="00A704D1">
        <w:t>dalteparin (Fragmin</w:t>
      </w:r>
      <w:r w:rsidRPr="00A704D1">
        <w:rPr>
          <w:vertAlign w:val="superscript"/>
        </w:rPr>
        <w:t>®</w:t>
      </w:r>
      <w:r w:rsidRPr="00A704D1">
        <w:t>)</w:t>
      </w:r>
    </w:p>
    <w:p w14:paraId="3C716AF9" w14:textId="77777777" w:rsidR="00A704D1" w:rsidRPr="00A704D1" w:rsidRDefault="00A704D1" w:rsidP="004E3B90">
      <w:pPr>
        <w:pStyle w:val="Punktlistaunderliggande"/>
      </w:pPr>
      <w:r w:rsidRPr="00A704D1">
        <w:t>tinzaparin (Innohep</w:t>
      </w:r>
      <w:r w:rsidRPr="00A704D1">
        <w:rPr>
          <w:vertAlign w:val="superscript"/>
        </w:rPr>
        <w:t>®</w:t>
      </w:r>
      <w:r w:rsidRPr="00A704D1">
        <w:t>)</w:t>
      </w:r>
    </w:p>
    <w:p w14:paraId="66219810" w14:textId="77777777" w:rsidR="00A704D1" w:rsidRPr="00A704D1" w:rsidRDefault="00A704D1" w:rsidP="004E3B90">
      <w:pPr>
        <w:pStyle w:val="Punktlistaunderliggande"/>
      </w:pPr>
      <w:r w:rsidRPr="00A704D1">
        <w:t>enoxaparin (Klexane</w:t>
      </w:r>
      <w:r w:rsidRPr="00A704D1">
        <w:rPr>
          <w:vertAlign w:val="superscript"/>
        </w:rPr>
        <w:t>®</w:t>
      </w:r>
      <w:r w:rsidRPr="00A704D1">
        <w:t>)</w:t>
      </w:r>
    </w:p>
    <w:p w14:paraId="31D39433" w14:textId="77777777" w:rsidR="00A704D1" w:rsidRPr="00A704D1" w:rsidRDefault="00A704D1" w:rsidP="00F82114">
      <w:pPr>
        <w:pStyle w:val="MellanrubrikVGR"/>
      </w:pPr>
      <w:bookmarkStart w:id="146" w:name="_Toc432599639"/>
      <w:bookmarkStart w:id="147" w:name="_Toc438113103"/>
      <w:bookmarkStart w:id="148" w:name="_Toc256000008"/>
      <w:bookmarkStart w:id="149" w:name="_Toc256000024"/>
      <w:bookmarkStart w:id="150" w:name="_Toc256000040"/>
      <w:bookmarkStart w:id="151" w:name="_Toc256000056"/>
      <w:bookmarkStart w:id="152" w:name="_Toc256000072"/>
      <w:bookmarkStart w:id="153" w:name="_Toc256000088"/>
      <w:bookmarkStart w:id="154" w:name="_Toc450816050"/>
      <w:bookmarkStart w:id="155" w:name="_Toc451432064"/>
      <w:bookmarkStart w:id="156" w:name="_Toc451434536"/>
      <w:bookmarkStart w:id="157" w:name="_Toc256000104"/>
      <w:bookmarkStart w:id="158" w:name="_Toc256000120"/>
      <w:bookmarkStart w:id="159" w:name="_Toc256000136"/>
      <w:bookmarkStart w:id="160" w:name="_Toc256000152"/>
      <w:bookmarkStart w:id="161" w:name="_Toc96594264"/>
      <w:bookmarkStart w:id="162" w:name="_Toc256000168"/>
      <w:bookmarkStart w:id="163" w:name="_Toc126826820"/>
      <w:r w:rsidRPr="00A704D1">
        <w:t>Trombocythämmare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14:paraId="1CE94212" w14:textId="77777777" w:rsidR="00A704D1" w:rsidRPr="00A704D1" w:rsidRDefault="00A704D1" w:rsidP="003E4A61">
      <w:pPr>
        <w:pStyle w:val="Punktlista"/>
        <w:rPr>
          <w:lang w:val="en-US"/>
        </w:rPr>
      </w:pPr>
      <w:r w:rsidRPr="00A704D1">
        <w:rPr>
          <w:lang w:val="en-US"/>
        </w:rPr>
        <w:t>ASA (Trombyl</w:t>
      </w:r>
      <w:r w:rsidRPr="00A704D1">
        <w:rPr>
          <w:vertAlign w:val="superscript"/>
        </w:rPr>
        <w:t>®</w:t>
      </w:r>
      <w:r w:rsidRPr="00A704D1">
        <w:rPr>
          <w:lang w:val="en-US"/>
        </w:rPr>
        <w:t>)</w:t>
      </w:r>
    </w:p>
    <w:p w14:paraId="3B986257" w14:textId="77777777" w:rsidR="00A704D1" w:rsidRPr="00A704D1" w:rsidRDefault="00A704D1" w:rsidP="003E4A61">
      <w:pPr>
        <w:pStyle w:val="Punktlista"/>
        <w:rPr>
          <w:lang w:val="en-US"/>
        </w:rPr>
      </w:pPr>
      <w:r w:rsidRPr="00A704D1">
        <w:rPr>
          <w:lang w:val="en-US"/>
        </w:rPr>
        <w:t>Clopidogrel (Plavix</w:t>
      </w:r>
      <w:r w:rsidRPr="00A704D1">
        <w:rPr>
          <w:vertAlign w:val="superscript"/>
        </w:rPr>
        <w:t>®</w:t>
      </w:r>
      <w:r w:rsidRPr="00A704D1">
        <w:rPr>
          <w:lang w:val="en-US"/>
        </w:rPr>
        <w:t>)</w:t>
      </w:r>
    </w:p>
    <w:p w14:paraId="6001671D" w14:textId="77777777" w:rsidR="00A704D1" w:rsidRPr="00A704D1" w:rsidRDefault="00A704D1" w:rsidP="003E4A61">
      <w:pPr>
        <w:pStyle w:val="Punktlista"/>
        <w:rPr>
          <w:lang w:val="en-US"/>
        </w:rPr>
      </w:pPr>
      <w:r w:rsidRPr="00A704D1">
        <w:rPr>
          <w:lang w:val="en-US"/>
        </w:rPr>
        <w:t>Ticagrelor (Brilique</w:t>
      </w:r>
      <w:r w:rsidRPr="00A704D1">
        <w:rPr>
          <w:vertAlign w:val="superscript"/>
        </w:rPr>
        <w:t>®</w:t>
      </w:r>
      <w:r w:rsidRPr="00A704D1">
        <w:t>)</w:t>
      </w:r>
    </w:p>
    <w:p w14:paraId="30DDB6A0" w14:textId="77777777" w:rsidR="00A704D1" w:rsidRPr="00A704D1" w:rsidRDefault="00A704D1" w:rsidP="003E4A61">
      <w:pPr>
        <w:pStyle w:val="Punktlista"/>
      </w:pPr>
      <w:r>
        <w:t>Prasugrel (Effient</w:t>
      </w:r>
      <w:r w:rsidRPr="03E7F1E4">
        <w:rPr>
          <w:vertAlign w:val="superscript"/>
        </w:rPr>
        <w:t>®</w:t>
      </w:r>
      <w:r>
        <w:t>)</w:t>
      </w:r>
    </w:p>
    <w:p w14:paraId="7B09E2CE" w14:textId="77777777" w:rsidR="00A704D1" w:rsidRPr="00A704D1" w:rsidRDefault="00A704D1" w:rsidP="003E4A61">
      <w:pPr>
        <w:pStyle w:val="Punktlista"/>
      </w:pPr>
      <w:r>
        <w:t>Cilostazol (Pletal</w:t>
      </w:r>
      <w:r w:rsidRPr="03E7F1E4">
        <w:rPr>
          <w:vertAlign w:val="superscript"/>
        </w:rPr>
        <w:t>®</w:t>
      </w:r>
      <w:r>
        <w:t>)</w:t>
      </w:r>
    </w:p>
    <w:p w14:paraId="454EED6D" w14:textId="2D551154" w:rsidR="00A704D1" w:rsidRPr="00A704D1" w:rsidRDefault="00A704D1" w:rsidP="003E4A61">
      <w:pPr>
        <w:pStyle w:val="MellanrubrikVGR"/>
      </w:pPr>
      <w:bookmarkStart w:id="164" w:name="_Toc432599640"/>
      <w:bookmarkStart w:id="165" w:name="_Toc438113104"/>
      <w:bookmarkStart w:id="166" w:name="_Toc256000009"/>
      <w:bookmarkStart w:id="167" w:name="_Toc256000025"/>
      <w:bookmarkStart w:id="168" w:name="_Toc256000041"/>
      <w:bookmarkStart w:id="169" w:name="_Toc256000057"/>
      <w:bookmarkStart w:id="170" w:name="_Toc256000073"/>
      <w:bookmarkStart w:id="171" w:name="_Toc256000089"/>
      <w:bookmarkStart w:id="172" w:name="_Toc450816051"/>
      <w:bookmarkStart w:id="173" w:name="_Toc451432065"/>
      <w:bookmarkStart w:id="174" w:name="_Toc451434537"/>
      <w:bookmarkStart w:id="175" w:name="_Toc256000105"/>
      <w:bookmarkStart w:id="176" w:name="_Toc256000121"/>
      <w:bookmarkStart w:id="177" w:name="_Toc256000137"/>
      <w:bookmarkStart w:id="178" w:name="_Toc256000153"/>
      <w:bookmarkStart w:id="179" w:name="_Toc96594265"/>
      <w:bookmarkStart w:id="180" w:name="_Toc256000169"/>
      <w:bookmarkStart w:id="181" w:name="_Toc126826821"/>
      <w:r w:rsidRPr="00A704D1">
        <w:lastRenderedPageBreak/>
        <w:t>Värdera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</w:p>
    <w:p w14:paraId="7FF73A59" w14:textId="77777777" w:rsidR="00A704D1" w:rsidRPr="00A704D1" w:rsidRDefault="00A704D1" w:rsidP="003E4A61">
      <w:pPr>
        <w:pStyle w:val="Punktlista"/>
      </w:pPr>
      <w:r>
        <w:t>Kirurgins brådskandegrad - skjut fram operationen så länge som möjligt.</w:t>
      </w:r>
    </w:p>
    <w:p w14:paraId="4A865AAC" w14:textId="77777777" w:rsidR="00A704D1" w:rsidRPr="00A704D1" w:rsidRDefault="00A704D1" w:rsidP="003E4A61">
      <w:pPr>
        <w:pStyle w:val="Punktlista"/>
      </w:pPr>
      <w:r>
        <w:t>Blödningsrisk/kirurgins omfattning.</w:t>
      </w:r>
    </w:p>
    <w:p w14:paraId="1F515985" w14:textId="77777777" w:rsidR="00A704D1" w:rsidRPr="00A704D1" w:rsidRDefault="00A704D1" w:rsidP="003E4A61">
      <w:pPr>
        <w:pStyle w:val="Punktlista"/>
      </w:pPr>
      <w:r>
        <w:t>Njurfunktion - beräkna eGFR.</w:t>
      </w:r>
    </w:p>
    <w:p w14:paraId="0EE3FF6A" w14:textId="77777777" w:rsidR="00A704D1" w:rsidRPr="00A704D1" w:rsidRDefault="00A704D1" w:rsidP="003E4A61">
      <w:pPr>
        <w:pStyle w:val="Punktlista"/>
      </w:pPr>
      <w:r>
        <w:t>Helst erfaren operatör, dagtid.</w:t>
      </w:r>
    </w:p>
    <w:p w14:paraId="5BCA2C8B" w14:textId="77777777" w:rsidR="00A704D1" w:rsidRPr="00A704D1" w:rsidRDefault="00A704D1" w:rsidP="003E4A61">
      <w:pPr>
        <w:pStyle w:val="Punktlista"/>
      </w:pPr>
      <w:r>
        <w:t>Kontrollera PK, APTT, Hb, Kreatinin och TPK.</w:t>
      </w:r>
    </w:p>
    <w:p w14:paraId="761BC2AF" w14:textId="77777777" w:rsidR="00A704D1" w:rsidRPr="00A704D1" w:rsidRDefault="00A704D1" w:rsidP="003E4A61">
      <w:pPr>
        <w:pStyle w:val="Punktlista"/>
      </w:pPr>
      <w:r>
        <w:t>När togs senaste dos av NOAK/LMH/Waran?</w:t>
      </w:r>
    </w:p>
    <w:p w14:paraId="2208ACE3" w14:textId="0F964D91" w:rsidR="00A704D1" w:rsidRPr="00A704D1" w:rsidRDefault="00A704D1" w:rsidP="003E4A61">
      <w:pPr>
        <w:pStyle w:val="Punktlista"/>
      </w:pPr>
      <w:r>
        <w:t>Kontakta koagulationsjour, SU, vid kombinerad behandling med AK/trombocythämning.</w:t>
      </w:r>
    </w:p>
    <w:tbl>
      <w:tblPr>
        <w:tblStyle w:val="Tabellrutnt"/>
        <w:tblW w:w="0" w:type="auto"/>
        <w:tblInd w:w="992" w:type="dxa"/>
        <w:tblLook w:val="04A0" w:firstRow="1" w:lastRow="0" w:firstColumn="1" w:lastColumn="0" w:noHBand="0" w:noVBand="1"/>
        <w:tblCaption w:val="Beräkningsformel för riskvärdering"/>
        <w:tblDescription w:val="Tabellen visar beräkningsformel för riskvärdering inför operation vid antikoagulantiabehandling."/>
      </w:tblPr>
      <w:tblGrid>
        <w:gridCol w:w="4815"/>
      </w:tblGrid>
      <w:tr w:rsidR="005B378E" w14:paraId="5578DF70" w14:textId="77777777" w:rsidTr="005B378E">
        <w:tc>
          <w:tcPr>
            <w:tcW w:w="4815" w:type="dxa"/>
            <w:shd w:val="clear" w:color="auto" w:fill="E5E5E5" w:themeFill="background2" w:themeFillTint="33"/>
          </w:tcPr>
          <w:p w14:paraId="388E5357" w14:textId="77777777" w:rsidR="005B378E" w:rsidRDefault="005B378E" w:rsidP="005B378E">
            <w:pPr>
              <w:ind w:left="0"/>
            </w:pPr>
            <w:r>
              <w:t>eGFR: (140-ålder) x vikt x k/Kreatinin</w:t>
            </w:r>
          </w:p>
          <w:p w14:paraId="5ACF1581" w14:textId="47201130" w:rsidR="005B378E" w:rsidRDefault="005B378E" w:rsidP="005B378E">
            <w:pPr>
              <w:ind w:left="0"/>
            </w:pPr>
            <w:r>
              <w:t>k = 1,23 för män, 1,04 för kvinnor</w:t>
            </w:r>
          </w:p>
        </w:tc>
      </w:tr>
    </w:tbl>
    <w:p w14:paraId="7D935435" w14:textId="77777777" w:rsidR="00A704D1" w:rsidRPr="00A704D1" w:rsidRDefault="00A704D1" w:rsidP="00A7260C">
      <w:pPr>
        <w:pStyle w:val="Rubrik3"/>
      </w:pPr>
      <w:bookmarkStart w:id="182" w:name="_Toc432599641"/>
      <w:bookmarkStart w:id="183" w:name="_Toc438113105"/>
      <w:bookmarkStart w:id="184" w:name="_Toc256000010"/>
      <w:bookmarkStart w:id="185" w:name="_Toc256000026"/>
      <w:bookmarkStart w:id="186" w:name="_Toc256000042"/>
      <w:bookmarkStart w:id="187" w:name="_Toc256000058"/>
      <w:bookmarkStart w:id="188" w:name="_Toc256000074"/>
      <w:bookmarkStart w:id="189" w:name="_Toc256000090"/>
      <w:bookmarkStart w:id="190" w:name="_Toc450816052"/>
      <w:bookmarkStart w:id="191" w:name="_Toc451432066"/>
      <w:bookmarkStart w:id="192" w:name="_Toc451434538"/>
      <w:bookmarkStart w:id="193" w:name="_Toc256000106"/>
      <w:bookmarkStart w:id="194" w:name="_Toc256000122"/>
      <w:bookmarkStart w:id="195" w:name="_Toc256000138"/>
      <w:bookmarkStart w:id="196" w:name="_Toc256000154"/>
      <w:bookmarkStart w:id="197" w:name="_Toc96594266"/>
      <w:bookmarkStart w:id="198" w:name="_Toc256000170"/>
      <w:bookmarkStart w:id="199" w:name="_Toc126826822"/>
      <w:r w:rsidRPr="00A704D1">
        <w:t>Åtgärder</w:t>
      </w:r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</w:p>
    <w:p w14:paraId="18127B61" w14:textId="77777777" w:rsidR="00A704D1" w:rsidRPr="00A704D1" w:rsidRDefault="00A704D1" w:rsidP="005B378E">
      <w:pPr>
        <w:pStyle w:val="MellanrubrikVGR"/>
        <w:spacing w:before="120"/>
      </w:pPr>
      <w:bookmarkStart w:id="200" w:name="_Toc432599642"/>
      <w:bookmarkStart w:id="201" w:name="_Toc438113106"/>
      <w:bookmarkStart w:id="202" w:name="_Toc256000011"/>
      <w:bookmarkStart w:id="203" w:name="_Toc256000027"/>
      <w:bookmarkStart w:id="204" w:name="_Toc256000043"/>
      <w:bookmarkStart w:id="205" w:name="_Toc256000059"/>
      <w:bookmarkStart w:id="206" w:name="_Toc256000075"/>
      <w:bookmarkStart w:id="207" w:name="_Toc256000091"/>
      <w:bookmarkStart w:id="208" w:name="_Toc450816053"/>
      <w:bookmarkStart w:id="209" w:name="_Toc451432067"/>
      <w:bookmarkStart w:id="210" w:name="_Toc451434539"/>
      <w:bookmarkStart w:id="211" w:name="_Toc256000107"/>
      <w:bookmarkStart w:id="212" w:name="_Toc256000123"/>
      <w:bookmarkStart w:id="213" w:name="_Toc256000139"/>
      <w:bookmarkStart w:id="214" w:name="_Toc256000155"/>
      <w:bookmarkStart w:id="215" w:name="_Toc96594267"/>
      <w:bookmarkStart w:id="216" w:name="_Toc256000171"/>
      <w:bookmarkStart w:id="217" w:name="_Toc126826823"/>
      <w:r w:rsidRPr="00A704D1">
        <w:t>Antikoagulantia</w:t>
      </w:r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</w:p>
    <w:p w14:paraId="1813F11D" w14:textId="77777777" w:rsidR="00A704D1" w:rsidRPr="00A704D1" w:rsidRDefault="00A704D1" w:rsidP="00464C9A">
      <w:pPr>
        <w:pStyle w:val="Underrubrik"/>
        <w:rPr>
          <w:b w:val="0"/>
        </w:rPr>
      </w:pPr>
      <w:r w:rsidRPr="00A704D1">
        <w:t>Waran</w:t>
      </w:r>
    </w:p>
    <w:p w14:paraId="501593D7" w14:textId="77777777" w:rsidR="00A704D1" w:rsidRPr="00A704D1" w:rsidRDefault="00A704D1" w:rsidP="00AF5BD1">
      <w:pPr>
        <w:pStyle w:val="Punktlista"/>
      </w:pPr>
      <w:r>
        <w:t>Konakion 10 mg iv.</w:t>
      </w:r>
    </w:p>
    <w:p w14:paraId="06213442" w14:textId="7DA062B3" w:rsidR="00AF5BD1" w:rsidRDefault="00A704D1" w:rsidP="00AF5BD1">
      <w:pPr>
        <w:pStyle w:val="Punktlista"/>
      </w:pPr>
      <w:r>
        <w:t xml:space="preserve">Om PK &gt;1,5 reversera med </w:t>
      </w:r>
      <w:r w:rsidR="37AD5191">
        <w:t>Confidex, för dosering se FASS.</w:t>
      </w:r>
    </w:p>
    <w:p w14:paraId="1FC1F341" w14:textId="5BDF6FFF" w:rsidR="00A704D1" w:rsidRPr="00A704D1" w:rsidRDefault="00A704D1" w:rsidP="00884E7D">
      <w:pPr>
        <w:pStyle w:val="MellanrubrikVGR"/>
      </w:pPr>
      <w:bookmarkStart w:id="218" w:name="_Toc126826824"/>
      <w:r w:rsidRPr="00A704D1">
        <w:t>NOAK</w:t>
      </w:r>
      <w:bookmarkEnd w:id="218"/>
    </w:p>
    <w:p w14:paraId="6E9DC02E" w14:textId="1A341A3E" w:rsidR="00A704D1" w:rsidRPr="00A704D1" w:rsidRDefault="00A704D1" w:rsidP="00AF5BD1">
      <w:r w:rsidRPr="00A704D1">
        <w:t xml:space="preserve">Det finns f.n. bara en antidot mot NOAK, och det är Praxbind som används för att reversera effekten av Pradaxa. Detta används dock enbart vid livs-hotande tillstånd enligt riktlinje </w:t>
      </w:r>
      <w:hyperlink r:id="rId17" w:history="1">
        <w:r w:rsidRPr="00204BF9">
          <w:rPr>
            <w:rStyle w:val="Hyperlnk"/>
          </w:rPr>
          <w:t>Pradaxa - effektreversering med idarucizumab (Praxbin</w:t>
        </w:r>
        <w:r w:rsidR="00204BF9">
          <w:rPr>
            <w:rStyle w:val="Hyperlnk"/>
          </w:rPr>
          <w:t>d)</w:t>
        </w:r>
      </w:hyperlink>
      <w:r w:rsidRPr="00A704D1">
        <w:t>.</w:t>
      </w:r>
    </w:p>
    <w:p w14:paraId="34E28E10" w14:textId="77777777" w:rsidR="00A704D1" w:rsidRPr="00A704D1" w:rsidRDefault="00A704D1" w:rsidP="00AF5BD1">
      <w:r w:rsidRPr="00A704D1">
        <w:t>När det gäller övriga NOAK-preparat finns viss erfarenhet som talar för positiv effekt på koagulationen om man ger Ocplex. Detta gäller bara vid akut kirurgi inom 1-2 timmar och om patienten tagit sitt NOAK-preparat under de senaste 15 timmarna, se nedan. På SÄS finns f n inte metoder för koncentrationsbestämning av NOAK.</w:t>
      </w:r>
    </w:p>
    <w:p w14:paraId="7270BE45" w14:textId="77777777" w:rsidR="00A704D1" w:rsidRPr="00A704D1" w:rsidRDefault="00A704D1" w:rsidP="00AF5BD1">
      <w:r w:rsidRPr="00A704D1">
        <w:t>Om PK och APTT är normala är koncentrationen av respektive NOAK låg förutsatt att senaste dos inte tagits inom de senaste 2-4 timmarna.</w:t>
      </w:r>
    </w:p>
    <w:p w14:paraId="6A4061B0" w14:textId="77777777" w:rsidR="00A704D1" w:rsidRPr="00A704D1" w:rsidRDefault="00A704D1" w:rsidP="00204BF9">
      <w:r w:rsidRPr="00A704D1">
        <w:t>Ansvarig narkosläkare ordinerar på preoperativa mottagningen:</w:t>
      </w:r>
    </w:p>
    <w:p w14:paraId="42F08A42" w14:textId="77777777" w:rsidR="00A704D1" w:rsidRPr="00A704D1" w:rsidRDefault="00A704D1" w:rsidP="00E54E1B">
      <w:pPr>
        <w:pStyle w:val="Punktlista"/>
      </w:pPr>
      <w:r>
        <w:t>&lt;15 timmar sedan senaste NOAK-dos ges 1 500 E Ocplex.</w:t>
      </w:r>
    </w:p>
    <w:p w14:paraId="20F4E058" w14:textId="77777777" w:rsidR="00A704D1" w:rsidRPr="00A704D1" w:rsidRDefault="00A704D1" w:rsidP="00E54E1B">
      <w:pPr>
        <w:pStyle w:val="Punktlista"/>
      </w:pPr>
      <w:r>
        <w:t xml:space="preserve">15-24 timmar sedan senaste NOAK-dos </w:t>
      </w:r>
      <w:r w:rsidRPr="03E7F1E4">
        <w:rPr>
          <w:b/>
          <w:bCs/>
        </w:rPr>
        <w:t>och</w:t>
      </w:r>
      <w:r>
        <w:t xml:space="preserve"> eGFR &lt;50 ml/min ges 1 000 E Ocplex.</w:t>
      </w:r>
    </w:p>
    <w:p w14:paraId="6D4F45B1" w14:textId="77777777" w:rsidR="00A704D1" w:rsidRPr="00A704D1" w:rsidRDefault="00A704D1" w:rsidP="001F779F">
      <w:pPr>
        <w:keepNext/>
        <w:keepLines/>
      </w:pPr>
      <w:r w:rsidRPr="00A704D1">
        <w:lastRenderedPageBreak/>
        <w:t xml:space="preserve">Ungefärliga halveringstider (vid normal njurfunktion). Skjut om möjligt upp operationen minst en halveringstid: </w:t>
      </w:r>
    </w:p>
    <w:tbl>
      <w:tblPr>
        <w:tblW w:w="7655" w:type="dxa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NOAK"/>
        <w:tblDescription w:val="Tabellen ger rekommendation om utsättning av NOAK-preparat utifrån njurfunktion och blödningsrisk."/>
      </w:tblPr>
      <w:tblGrid>
        <w:gridCol w:w="1862"/>
        <w:gridCol w:w="1918"/>
        <w:gridCol w:w="1931"/>
        <w:gridCol w:w="1944"/>
      </w:tblGrid>
      <w:tr w:rsidR="00A704D1" w:rsidRPr="00A704D1" w14:paraId="0ABCF4BE" w14:textId="77777777" w:rsidTr="00E54E1B">
        <w:tc>
          <w:tcPr>
            <w:tcW w:w="1985" w:type="dxa"/>
            <w:shd w:val="clear" w:color="auto" w:fill="auto"/>
            <w:tcMar>
              <w:top w:w="72" w:type="dxa"/>
              <w:left w:w="74" w:type="dxa"/>
              <w:bottom w:w="72" w:type="dxa"/>
              <w:right w:w="74" w:type="dxa"/>
            </w:tcMar>
            <w:hideMark/>
          </w:tcPr>
          <w:p w14:paraId="15317A36" w14:textId="77777777" w:rsidR="00A704D1" w:rsidRPr="00A704D1" w:rsidRDefault="00A704D1" w:rsidP="00A704D1">
            <w:pPr>
              <w:spacing w:before="60" w:after="60" w:line="240" w:lineRule="auto"/>
              <w:ind w:left="0" w:right="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A704D1">
              <w:rPr>
                <w:rFonts w:ascii="Arial" w:eastAsia="Calibri" w:hAnsi="Arial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74" w:type="dxa"/>
              <w:bottom w:w="72" w:type="dxa"/>
              <w:right w:w="74" w:type="dxa"/>
            </w:tcMar>
            <w:hideMark/>
          </w:tcPr>
          <w:p w14:paraId="262A141A" w14:textId="77777777" w:rsidR="00A704D1" w:rsidRPr="00A704D1" w:rsidRDefault="00A704D1" w:rsidP="00A704D1">
            <w:pPr>
              <w:spacing w:before="60" w:after="60" w:line="240" w:lineRule="auto"/>
              <w:ind w:left="0" w:right="0"/>
              <w:jc w:val="center"/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</w:pPr>
            <w:r w:rsidRPr="00A704D1"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  <w:t>Apixaban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74" w:type="dxa"/>
              <w:bottom w:w="72" w:type="dxa"/>
              <w:right w:w="74" w:type="dxa"/>
            </w:tcMar>
            <w:hideMark/>
          </w:tcPr>
          <w:p w14:paraId="375202E9" w14:textId="77777777" w:rsidR="00A704D1" w:rsidRPr="00A704D1" w:rsidRDefault="00A704D1" w:rsidP="00A704D1">
            <w:pPr>
              <w:spacing w:before="60" w:after="60" w:line="240" w:lineRule="auto"/>
              <w:ind w:left="0" w:right="0"/>
              <w:jc w:val="center"/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</w:pPr>
            <w:r w:rsidRPr="00A704D1"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  <w:t>Dabigatran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74" w:type="dxa"/>
              <w:bottom w:w="72" w:type="dxa"/>
              <w:right w:w="74" w:type="dxa"/>
            </w:tcMar>
            <w:hideMark/>
          </w:tcPr>
          <w:p w14:paraId="604679D6" w14:textId="77777777" w:rsidR="00A704D1" w:rsidRPr="00A704D1" w:rsidRDefault="00A704D1" w:rsidP="00A704D1">
            <w:pPr>
              <w:spacing w:before="60" w:after="60" w:line="240" w:lineRule="auto"/>
              <w:ind w:left="0" w:right="0"/>
              <w:jc w:val="center"/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</w:pPr>
            <w:r w:rsidRPr="00A704D1"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  <w:t xml:space="preserve">Rivaroxaban </w:t>
            </w:r>
          </w:p>
        </w:tc>
      </w:tr>
      <w:tr w:rsidR="00A704D1" w:rsidRPr="00A704D1" w14:paraId="10DF98C8" w14:textId="77777777" w:rsidTr="00E54E1B">
        <w:tc>
          <w:tcPr>
            <w:tcW w:w="1985" w:type="dxa"/>
            <w:shd w:val="clear" w:color="auto" w:fill="auto"/>
            <w:tcMar>
              <w:top w:w="72" w:type="dxa"/>
              <w:left w:w="74" w:type="dxa"/>
              <w:bottom w:w="72" w:type="dxa"/>
              <w:right w:w="74" w:type="dxa"/>
            </w:tcMar>
            <w:hideMark/>
          </w:tcPr>
          <w:p w14:paraId="0E05C304" w14:textId="77777777" w:rsidR="00A704D1" w:rsidRPr="00A704D1" w:rsidRDefault="00A704D1" w:rsidP="00A704D1">
            <w:pPr>
              <w:spacing w:before="60" w:after="60" w:line="240" w:lineRule="auto"/>
              <w:ind w:left="0" w:right="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A704D1">
              <w:rPr>
                <w:rFonts w:ascii="Arial" w:eastAsia="Calibri" w:hAnsi="Arial"/>
                <w:sz w:val="22"/>
                <w:szCs w:val="22"/>
                <w:lang w:eastAsia="en-US"/>
              </w:rPr>
              <w:t>T ½ (h)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74" w:type="dxa"/>
              <w:bottom w:w="72" w:type="dxa"/>
              <w:right w:w="74" w:type="dxa"/>
            </w:tcMar>
            <w:hideMark/>
          </w:tcPr>
          <w:p w14:paraId="0E172774" w14:textId="77777777" w:rsidR="00A704D1" w:rsidRPr="00A704D1" w:rsidRDefault="00A704D1" w:rsidP="00A704D1">
            <w:pPr>
              <w:spacing w:before="60" w:after="60" w:line="240" w:lineRule="auto"/>
              <w:ind w:left="0" w:right="0"/>
              <w:jc w:val="center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A704D1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8-14 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74" w:type="dxa"/>
              <w:bottom w:w="72" w:type="dxa"/>
              <w:right w:w="74" w:type="dxa"/>
            </w:tcMar>
            <w:hideMark/>
          </w:tcPr>
          <w:p w14:paraId="29514D0E" w14:textId="77777777" w:rsidR="00A704D1" w:rsidRPr="00A704D1" w:rsidRDefault="00A704D1" w:rsidP="00A704D1">
            <w:pPr>
              <w:spacing w:before="60" w:after="60" w:line="240" w:lineRule="auto"/>
              <w:ind w:left="0" w:right="0"/>
              <w:jc w:val="center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A704D1">
              <w:rPr>
                <w:rFonts w:ascii="Arial" w:eastAsia="Calibri" w:hAnsi="Arial"/>
                <w:sz w:val="22"/>
                <w:szCs w:val="22"/>
                <w:lang w:eastAsia="en-US"/>
              </w:rPr>
              <w:t>14-17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74" w:type="dxa"/>
              <w:bottom w:w="72" w:type="dxa"/>
              <w:right w:w="74" w:type="dxa"/>
            </w:tcMar>
            <w:hideMark/>
          </w:tcPr>
          <w:p w14:paraId="2F05E99B" w14:textId="77777777" w:rsidR="00A704D1" w:rsidRPr="00A704D1" w:rsidRDefault="00A704D1" w:rsidP="00A704D1">
            <w:pPr>
              <w:spacing w:before="60" w:after="60" w:line="240" w:lineRule="auto"/>
              <w:ind w:left="0" w:right="0"/>
              <w:jc w:val="center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A704D1">
              <w:rPr>
                <w:rFonts w:ascii="Arial" w:eastAsia="Calibri" w:hAnsi="Arial"/>
                <w:sz w:val="22"/>
                <w:szCs w:val="22"/>
                <w:lang w:eastAsia="en-US"/>
              </w:rPr>
              <w:t>7-11</w:t>
            </w:r>
          </w:p>
        </w:tc>
      </w:tr>
    </w:tbl>
    <w:p w14:paraId="6CF4F058" w14:textId="77777777" w:rsidR="00A704D1" w:rsidRPr="00A704D1" w:rsidRDefault="00A704D1" w:rsidP="00E54E1B">
      <w:pPr>
        <w:pStyle w:val="Underrubrik"/>
      </w:pPr>
      <w:r w:rsidRPr="00A704D1">
        <w:t>Lågmolekylärt heparin (LMH)</w:t>
      </w:r>
    </w:p>
    <w:p w14:paraId="0BB548F2" w14:textId="77777777" w:rsidR="00A704D1" w:rsidRPr="00A704D1" w:rsidRDefault="00A704D1" w:rsidP="00E54E1B">
      <w:r w:rsidRPr="00A704D1">
        <w:t xml:space="preserve">Eventuellt protaminsulfat med dosering enligt </w:t>
      </w:r>
      <w:hyperlink r:id="rId18" w:history="1">
        <w:r w:rsidRPr="00E54E1B">
          <w:rPr>
            <w:rStyle w:val="Hyperlnk"/>
          </w:rPr>
          <w:t>FASS</w:t>
        </w:r>
      </w:hyperlink>
      <w:r w:rsidRPr="00A704D1">
        <w:t>.</w:t>
      </w:r>
    </w:p>
    <w:p w14:paraId="44BC31D2" w14:textId="77777777" w:rsidR="00A704D1" w:rsidRPr="00A704D1" w:rsidRDefault="00A704D1" w:rsidP="00E54E1B">
      <w:r w:rsidRPr="00A704D1">
        <w:t>Profylax med LMH mot venös tromboembolism enligt opererande kliniks rutiner.</w:t>
      </w:r>
    </w:p>
    <w:p w14:paraId="02D03131" w14:textId="77777777" w:rsidR="00A704D1" w:rsidRPr="00A704D1" w:rsidRDefault="00A704D1" w:rsidP="00E54E1B">
      <w:r w:rsidRPr="00A704D1">
        <w:t>Återinsättning av NOAK andra till tredje dygnet postoperativt om ingen kontraindikation finns. Ordineras av ansvarig avdelningsläkare.</w:t>
      </w:r>
    </w:p>
    <w:p w14:paraId="07FBC77F" w14:textId="77777777" w:rsidR="00A704D1" w:rsidRPr="00A704D1" w:rsidRDefault="00A704D1" w:rsidP="00370B5A">
      <w:pPr>
        <w:pStyle w:val="Underrubrik"/>
      </w:pPr>
      <w:bookmarkStart w:id="219" w:name="_Toc432599643"/>
      <w:bookmarkStart w:id="220" w:name="_Toc438113107"/>
      <w:bookmarkStart w:id="221" w:name="_Toc256000012"/>
      <w:bookmarkStart w:id="222" w:name="_Toc256000028"/>
      <w:bookmarkStart w:id="223" w:name="_Toc256000044"/>
      <w:bookmarkStart w:id="224" w:name="_Toc256000060"/>
      <w:bookmarkStart w:id="225" w:name="_Toc256000076"/>
      <w:bookmarkStart w:id="226" w:name="_Toc256000092"/>
      <w:bookmarkStart w:id="227" w:name="_Toc450816054"/>
      <w:bookmarkStart w:id="228" w:name="_Toc451432068"/>
      <w:bookmarkStart w:id="229" w:name="_Toc451434540"/>
      <w:bookmarkStart w:id="230" w:name="_Toc256000108"/>
      <w:bookmarkStart w:id="231" w:name="_Toc256000124"/>
      <w:bookmarkStart w:id="232" w:name="_Toc256000140"/>
      <w:bookmarkStart w:id="233" w:name="_Toc256000156"/>
      <w:bookmarkStart w:id="234" w:name="_Toc96594268"/>
      <w:bookmarkStart w:id="235" w:name="_Toc256000172"/>
      <w:r w:rsidRPr="00A704D1">
        <w:t>Trombocythämmare</w:t>
      </w:r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</w:p>
    <w:p w14:paraId="61210A6F" w14:textId="21FB0413" w:rsidR="00A704D1" w:rsidRPr="00A704D1" w:rsidRDefault="00A704D1" w:rsidP="00370B5A">
      <w:r w:rsidRPr="00A704D1">
        <w:t>De finns inga antidoter mot trombocythämmare. ASA eller clopidogrel som monoterapi kräver inga särskilda åtgärder. Dubbel trombocythämning (ASA + clopidogrel eller ASA + ticagrelor (Brilique</w:t>
      </w:r>
      <w:r w:rsidRPr="00A704D1">
        <w:rPr>
          <w:vertAlign w:val="superscript"/>
        </w:rPr>
        <w:t>®</w:t>
      </w:r>
      <w:r w:rsidRPr="00A704D1">
        <w:t xml:space="preserve">)) insätts oftast i samband med akut koronart syndrom som lett till PCI-behandling med stentinsättning. I de flesta fall behandlingstid 6-12 månader. Vid dubbel trombocythämning måste indikationen för kirurgi noga övervägas innan behandlingen sätts ut </w:t>
      </w:r>
      <w:r w:rsidRPr="00A704D1">
        <w:br/>
        <w:t>eller justeras eftersom detta kan riskera en stentocklusion, vilket kan leda till hjärtinfarkt.</w:t>
      </w:r>
    </w:p>
    <w:p w14:paraId="4B9A371B" w14:textId="77777777" w:rsidR="00A704D1" w:rsidRPr="00A704D1" w:rsidRDefault="00A704D1" w:rsidP="00370B5A">
      <w:r w:rsidRPr="00A704D1">
        <w:t>Vid akut operation hos patienter som står på dubbel trombocythämning eller vid frågor om trombocythämmare, bör kardiolog/PCI-operatör kontaktas för att skapa en gemensam strategi om hur trombocythämningen ska hanteras.</w:t>
      </w:r>
    </w:p>
    <w:p w14:paraId="7640DBD9" w14:textId="7CEE15B8" w:rsidR="00A704D1" w:rsidRPr="00A704D1" w:rsidRDefault="006818EA" w:rsidP="006818EA">
      <w:pPr>
        <w:pStyle w:val="Punktlista"/>
      </w:pPr>
      <w:r w:rsidRPr="00A704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1B9B6" wp14:editId="7A68840E">
                <wp:simplePos x="0" y="0"/>
                <wp:positionH relativeFrom="column">
                  <wp:posOffset>3923195</wp:posOffset>
                </wp:positionH>
                <wp:positionV relativeFrom="paragraph">
                  <wp:posOffset>420150</wp:posOffset>
                </wp:positionV>
                <wp:extent cx="201930" cy="600075"/>
                <wp:effectExtent l="9525" t="5715" r="7620" b="13335"/>
                <wp:wrapNone/>
                <wp:docPr id="2" name="Righ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600075"/>
                        </a:xfrm>
                        <a:prstGeom prst="rightBrace">
                          <a:avLst>
                            <a:gd name="adj1" fmla="val 2476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42960111">
              <v:shapetype id="_x0000_t88" coordsize="21600,21600" filled="f" o:spt="88" adj="1800,10800" path="m,qx10800@0l10800@2qy21600@11,10800@3l10800@1qy,21600e" w14:anchorId="43D663D0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textboxrect="0,@4,7637,@5" arrowok="t" o:connecttype="custom" o:connectlocs="0,0;21600,@11;0,21600"/>
                <v:handles>
                  <v:h position="center,#0" yrange="0,@8"/>
                  <v:h position="bottomRight,#1" yrange="@9,@10"/>
                </v:handles>
              </v:shapetype>
              <v:shape id="Right Brace 2" style="position:absolute;margin-left:308.9pt;margin-top:33.1pt;width:15.9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"/>
            </w:pict>
          </mc:Fallback>
        </mc:AlternateContent>
      </w:r>
      <w:r w:rsidR="00A704D1" w:rsidRPr="00A704D1">
        <w:t>Ge tranexamsyra (Cyklokapron) 10 mg/kg iv (5 mg/kg om kreatinin &gt;500 umol/l). Ordineras av operatören.</w:t>
      </w:r>
    </w:p>
    <w:p w14:paraId="313F1A41" w14:textId="1583D0CD" w:rsidR="00A704D1" w:rsidRPr="00A704D1" w:rsidRDefault="00A704D1" w:rsidP="006818EA">
      <w:pPr>
        <w:pStyle w:val="Punktlista"/>
      </w:pPr>
      <w:r w:rsidRPr="00A704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E369D" wp14:editId="2FF4B84D">
                <wp:simplePos x="0" y="0"/>
                <wp:positionH relativeFrom="column">
                  <wp:posOffset>4188570</wp:posOffset>
                </wp:positionH>
                <wp:positionV relativeFrom="paragraph">
                  <wp:posOffset>41413</wp:posOffset>
                </wp:positionV>
                <wp:extent cx="1714500" cy="47117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2AEB6" w14:textId="77777777" w:rsidR="00A704D1" w:rsidRDefault="00A704D1" w:rsidP="00A704D1">
                            <w:pPr>
                              <w:ind w:left="0"/>
                            </w:pPr>
                            <w:r w:rsidRPr="004442D9">
                              <w:t>Ordineras av ansvarig narkosläkare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1FDC811">
              <v:shapetype id="_x0000_t202" coordsize="21600,21600" o:spt="202" path="m,l,21600r21600,l21600,xe" w14:anchorId="2DEE369D">
                <v:stroke joinstyle="miter"/>
                <v:path gradientshapeok="t" o:connecttype="rect"/>
              </v:shapetype>
              <v:shape id="Text Box 1" style="position:absolute;left:0;text-align:left;margin-left:329.8pt;margin-top:3.25pt;width:135pt;height:3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">
                <v:textbox>
                  <w:txbxContent>
                    <w:p w:rsidR="00A704D1" w:rsidP="00A704D1" w:rsidRDefault="00A704D1" w14:paraId="5A1F153E" w14:textId="77777777">
                      <w:pPr>
                        <w:ind w:left="0"/>
                      </w:pPr>
                      <w:r w:rsidRPr="004442D9">
                        <w:t>Ordineras av ansvarig narkosläkare</w:t>
                      </w:r>
                    </w:p>
                  </w:txbxContent>
                </v:textbox>
              </v:shape>
            </w:pict>
          </mc:Fallback>
        </mc:AlternateContent>
      </w:r>
      <w:r w:rsidRPr="00A704D1">
        <w:t>Överväg desmopressin (Octostim) 0,3 ug/kg iv.</w:t>
      </w:r>
    </w:p>
    <w:p w14:paraId="5CDF045B" w14:textId="77777777" w:rsidR="00A704D1" w:rsidRPr="00A704D1" w:rsidRDefault="00A704D1" w:rsidP="006818EA">
      <w:pPr>
        <w:pStyle w:val="Punktlista"/>
      </w:pPr>
      <w:r>
        <w:t>Vid diffus kliniskt signifikant blödning ges</w:t>
      </w:r>
      <w:r>
        <w:br/>
        <w:t>trombocyttransfusion.</w:t>
      </w:r>
    </w:p>
    <w:p w14:paraId="71C57C62" w14:textId="77777777" w:rsidR="00A704D1" w:rsidRPr="00A704D1" w:rsidRDefault="00A704D1" w:rsidP="001F779F">
      <w:pPr>
        <w:pStyle w:val="Rubrik2"/>
      </w:pPr>
      <w:bookmarkStart w:id="236" w:name="_Toc182366122"/>
      <w:bookmarkStart w:id="237" w:name="_Toc432599644"/>
      <w:bookmarkStart w:id="238" w:name="_Toc438113108"/>
      <w:bookmarkStart w:id="239" w:name="_Toc256000013"/>
      <w:bookmarkStart w:id="240" w:name="_Toc256000029"/>
      <w:bookmarkStart w:id="241" w:name="_Toc256000045"/>
      <w:bookmarkStart w:id="242" w:name="_Toc256000061"/>
      <w:bookmarkStart w:id="243" w:name="_Toc256000077"/>
      <w:bookmarkStart w:id="244" w:name="_Toc256000093"/>
      <w:bookmarkStart w:id="245" w:name="_Toc450816055"/>
      <w:bookmarkStart w:id="246" w:name="_Toc451432069"/>
      <w:bookmarkStart w:id="247" w:name="_Toc451434541"/>
      <w:bookmarkStart w:id="248" w:name="_Toc256000109"/>
      <w:bookmarkStart w:id="249" w:name="_Toc256000125"/>
      <w:bookmarkStart w:id="250" w:name="_Toc256000141"/>
      <w:bookmarkStart w:id="251" w:name="_Toc256000157"/>
      <w:bookmarkStart w:id="252" w:name="_Toc96594269"/>
      <w:bookmarkStart w:id="253" w:name="_Toc256000173"/>
      <w:bookmarkStart w:id="254" w:name="_Toc126826825"/>
      <w:r w:rsidRPr="00A704D1">
        <w:lastRenderedPageBreak/>
        <w:t>Dokumentinformation</w:t>
      </w:r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</w:p>
    <w:p w14:paraId="4041BD27" w14:textId="77777777" w:rsidR="00A704D1" w:rsidRPr="006818EA" w:rsidRDefault="00A704D1" w:rsidP="001F779F">
      <w:pPr>
        <w:keepNext/>
        <w:keepLines/>
        <w:spacing w:after="0"/>
        <w:rPr>
          <w:b/>
          <w:bCs/>
        </w:rPr>
      </w:pPr>
      <w:r w:rsidRPr="006818EA">
        <w:rPr>
          <w:b/>
          <w:bCs/>
        </w:rPr>
        <w:t>För innehållet svarar</w:t>
      </w:r>
    </w:p>
    <w:p w14:paraId="35025D41" w14:textId="77777777" w:rsidR="00A704D1" w:rsidRPr="00A704D1" w:rsidRDefault="00A704D1" w:rsidP="001F779F">
      <w:pPr>
        <w:keepNext/>
        <w:keepLines/>
        <w:rPr>
          <w:szCs w:val="20"/>
        </w:rPr>
      </w:pPr>
      <w:r w:rsidRPr="00A704D1">
        <w:rPr>
          <w:szCs w:val="20"/>
        </w:rPr>
        <w:t>Tomas Jonson, överläkare medicinkliniken, SÄS</w:t>
      </w:r>
      <w:r w:rsidRPr="00A704D1">
        <w:rPr>
          <w:szCs w:val="20"/>
        </w:rPr>
        <w:br/>
        <w:t>Mirek Pawlowski, överläkare/processledare, höftfrakturprocessen, SÄS</w:t>
      </w:r>
    </w:p>
    <w:p w14:paraId="36C06985" w14:textId="23A9F3DC" w:rsidR="00A704D1" w:rsidRPr="00A704D1" w:rsidRDefault="00A704D1" w:rsidP="001F779F">
      <w:pPr>
        <w:keepNext/>
        <w:keepLines/>
        <w:rPr>
          <w:szCs w:val="20"/>
        </w:rPr>
      </w:pPr>
      <w:r w:rsidRPr="00A704D1">
        <w:rPr>
          <w:szCs w:val="20"/>
        </w:rPr>
        <w:t>Giltighetstiden förlängd februari 202</w:t>
      </w:r>
      <w:r w:rsidR="00C6775C">
        <w:rPr>
          <w:szCs w:val="20"/>
        </w:rPr>
        <w:t>3</w:t>
      </w:r>
      <w:r w:rsidRPr="00A704D1">
        <w:rPr>
          <w:szCs w:val="20"/>
        </w:rPr>
        <w:t xml:space="preserve"> efter att innehållet granskats av operationsstyrrådet SÄS</w:t>
      </w:r>
    </w:p>
    <w:p w14:paraId="0E9CE42B" w14:textId="77777777" w:rsidR="00A704D1" w:rsidRPr="006818EA" w:rsidRDefault="00A704D1" w:rsidP="001F779F">
      <w:pPr>
        <w:keepNext/>
        <w:keepLines/>
        <w:spacing w:after="0"/>
        <w:rPr>
          <w:b/>
          <w:bCs/>
        </w:rPr>
      </w:pPr>
      <w:bookmarkStart w:id="255" w:name="_Toc149035757"/>
      <w:bookmarkStart w:id="256" w:name="_Toc149978547"/>
      <w:r w:rsidRPr="006818EA">
        <w:rPr>
          <w:b/>
          <w:bCs/>
        </w:rPr>
        <w:t>Remissinstanser</w:t>
      </w:r>
      <w:bookmarkEnd w:id="255"/>
      <w:bookmarkEnd w:id="256"/>
      <w:r w:rsidRPr="006818EA">
        <w:rPr>
          <w:b/>
          <w:bCs/>
        </w:rPr>
        <w:t xml:space="preserve"> (utgåva 1)</w:t>
      </w:r>
    </w:p>
    <w:p w14:paraId="33E9F8B9" w14:textId="77777777" w:rsidR="00A704D1" w:rsidRPr="00A704D1" w:rsidRDefault="00A704D1" w:rsidP="001F779F">
      <w:pPr>
        <w:keepNext/>
        <w:keepLines/>
        <w:rPr>
          <w:szCs w:val="20"/>
        </w:rPr>
      </w:pPr>
      <w:r w:rsidRPr="00A704D1">
        <w:rPr>
          <w:szCs w:val="20"/>
        </w:rPr>
        <w:t>Verksamhetschefer, SÄS</w:t>
      </w:r>
    </w:p>
    <w:p w14:paraId="31F7A667" w14:textId="77777777" w:rsidR="00A704D1" w:rsidRPr="006818EA" w:rsidRDefault="00A704D1" w:rsidP="001F779F">
      <w:pPr>
        <w:keepNext/>
        <w:keepLines/>
        <w:spacing w:after="0"/>
        <w:rPr>
          <w:b/>
          <w:bCs/>
        </w:rPr>
      </w:pPr>
      <w:r w:rsidRPr="006818EA">
        <w:rPr>
          <w:b/>
          <w:bCs/>
        </w:rPr>
        <w:t>Fastställt av</w:t>
      </w:r>
    </w:p>
    <w:p w14:paraId="04B7850E" w14:textId="77777777" w:rsidR="00A704D1" w:rsidRPr="00A704D1" w:rsidRDefault="00A704D1" w:rsidP="001F779F">
      <w:pPr>
        <w:keepNext/>
        <w:keepLines/>
        <w:rPr>
          <w:szCs w:val="20"/>
        </w:rPr>
      </w:pPr>
      <w:r w:rsidRPr="00A704D1">
        <w:rPr>
          <w:szCs w:val="20"/>
        </w:rPr>
        <w:t>Jerker Nilson, chefläkare, SÄS</w:t>
      </w:r>
    </w:p>
    <w:p w14:paraId="0F781014" w14:textId="77777777" w:rsidR="00A704D1" w:rsidRPr="006818EA" w:rsidRDefault="00A704D1" w:rsidP="001F779F">
      <w:pPr>
        <w:keepNext/>
        <w:keepLines/>
        <w:spacing w:after="0"/>
        <w:rPr>
          <w:b/>
          <w:bCs/>
        </w:rPr>
      </w:pPr>
      <w:r w:rsidRPr="006818EA">
        <w:rPr>
          <w:b/>
          <w:bCs/>
        </w:rPr>
        <w:t>Nyckelord</w:t>
      </w:r>
    </w:p>
    <w:p w14:paraId="0C0D8644" w14:textId="77777777" w:rsidR="00A704D1" w:rsidRPr="00A704D1" w:rsidRDefault="00A704D1" w:rsidP="001F779F">
      <w:pPr>
        <w:keepNext/>
        <w:keepLines/>
        <w:rPr>
          <w:szCs w:val="20"/>
        </w:rPr>
      </w:pPr>
      <w:r w:rsidRPr="00A704D1">
        <w:rPr>
          <w:szCs w:val="20"/>
        </w:rPr>
        <w:t>Hematologiska medel, antikoagulantia, blodförtunningsmedel, antitrombiner, trombinhämmare, operationer, kirurgi, läkemedel, läkemedelsbehandling</w:t>
      </w:r>
    </w:p>
    <w:p w14:paraId="46A5EAEA" w14:textId="77777777" w:rsidR="00A704D1" w:rsidRPr="00A704D1" w:rsidRDefault="00A704D1" w:rsidP="006818EA">
      <w:pPr>
        <w:pStyle w:val="Rubrik2"/>
      </w:pPr>
      <w:bookmarkStart w:id="257" w:name="_Toc432599645"/>
      <w:bookmarkStart w:id="258" w:name="_Toc438113109"/>
      <w:bookmarkStart w:id="259" w:name="_Toc256000014"/>
      <w:bookmarkStart w:id="260" w:name="_Toc256000030"/>
      <w:bookmarkStart w:id="261" w:name="_Toc256000046"/>
      <w:bookmarkStart w:id="262" w:name="_Toc256000062"/>
      <w:bookmarkStart w:id="263" w:name="_Toc256000078"/>
      <w:bookmarkStart w:id="264" w:name="_Toc256000094"/>
      <w:bookmarkStart w:id="265" w:name="_Toc450816056"/>
      <w:bookmarkStart w:id="266" w:name="_Toc451432070"/>
      <w:bookmarkStart w:id="267" w:name="_Toc451434542"/>
      <w:bookmarkStart w:id="268" w:name="_Toc256000110"/>
      <w:bookmarkStart w:id="269" w:name="_Toc256000126"/>
      <w:bookmarkStart w:id="270" w:name="_Toc256000142"/>
      <w:bookmarkStart w:id="271" w:name="_Toc256000158"/>
      <w:bookmarkStart w:id="272" w:name="_Toc96594270"/>
      <w:bookmarkStart w:id="273" w:name="_Toc256000174"/>
      <w:bookmarkStart w:id="274" w:name="_Toc126826826"/>
      <w:bookmarkStart w:id="275" w:name="_Toc169686209"/>
      <w:bookmarkStart w:id="276" w:name="_Toc169686713"/>
      <w:bookmarkStart w:id="277" w:name="_Toc182366123"/>
      <w:r w:rsidRPr="00A704D1">
        <w:t>Referensförteckning</w:t>
      </w:r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</w:p>
    <w:p w14:paraId="253E0829" w14:textId="7A307AE7" w:rsidR="00A704D1" w:rsidRPr="00A704D1" w:rsidRDefault="00A704D1" w:rsidP="00487E2D">
      <w:pPr>
        <w:pStyle w:val="Puntklistanumrerad"/>
      </w:pPr>
      <w:r w:rsidRPr="00A704D1">
        <w:t xml:space="preserve">Kliniska råd - Nya perorala antikoagulantia; Clinical recommendations for bleeding and surgery during treatment with oral antiplatelet agents, Svenska Sällskapet för Trombos och Hemostas </w:t>
      </w:r>
      <w:r w:rsidRPr="009A4F9A">
        <w:rPr>
          <w:rStyle w:val="Hyperlnk"/>
        </w:rPr>
        <w:t>(</w:t>
      </w:r>
      <w:hyperlink r:id="rId19" w:history="1">
        <w:r w:rsidRPr="009A4F9A">
          <w:rPr>
            <w:rStyle w:val="Hyperlnk"/>
          </w:rPr>
          <w:t>www.ssth.se</w:t>
        </w:r>
      </w:hyperlink>
      <w:r w:rsidRPr="00A704D1">
        <w:t>)</w:t>
      </w:r>
      <w:r w:rsidRPr="00A704D1">
        <w:br/>
      </w:r>
      <w:hyperlink r:id="rId20" w:history="1">
        <w:r w:rsidRPr="009A4F9A">
          <w:rPr>
            <w:rStyle w:val="Hyperlnk"/>
          </w:rPr>
          <w:t>https://www.janusinfo.se/ovrigt/sokresultat.4.7e3d365215ec824586442ddb.html?query=Orala+antitrombotiska+l%C3%A4kemedel+vid+bl%C3%B6dning+och+inf%C3%B6r+kirurgi&amp;submitButton</w:t>
        </w:r>
      </w:hyperlink>
    </w:p>
    <w:p w14:paraId="57CBCF81" w14:textId="77777777" w:rsidR="00A704D1" w:rsidRPr="00A704D1" w:rsidRDefault="00A704D1" w:rsidP="006818EA">
      <w:pPr>
        <w:pStyle w:val="Rubrik2"/>
      </w:pPr>
      <w:bookmarkStart w:id="278" w:name="_Toc432599646"/>
      <w:bookmarkStart w:id="279" w:name="_Toc438113110"/>
      <w:bookmarkStart w:id="280" w:name="_Toc256000015"/>
      <w:bookmarkStart w:id="281" w:name="_Toc256000031"/>
      <w:bookmarkStart w:id="282" w:name="_Toc256000047"/>
      <w:bookmarkStart w:id="283" w:name="_Toc256000063"/>
      <w:bookmarkStart w:id="284" w:name="_Toc256000079"/>
      <w:bookmarkStart w:id="285" w:name="_Toc256000095"/>
      <w:bookmarkStart w:id="286" w:name="_Toc450816057"/>
      <w:bookmarkStart w:id="287" w:name="_Toc451432071"/>
      <w:bookmarkStart w:id="288" w:name="_Toc451434543"/>
      <w:bookmarkStart w:id="289" w:name="_Toc256000111"/>
      <w:bookmarkStart w:id="290" w:name="_Toc256000127"/>
      <w:bookmarkStart w:id="291" w:name="_Toc256000143"/>
      <w:bookmarkStart w:id="292" w:name="_Toc256000159"/>
      <w:bookmarkStart w:id="293" w:name="_Toc96594271"/>
      <w:bookmarkStart w:id="294" w:name="_Toc256000175"/>
      <w:bookmarkStart w:id="295" w:name="_Toc126826827"/>
      <w:r w:rsidRPr="00A704D1">
        <w:t>Länkförteckning</w:t>
      </w:r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</w:p>
    <w:p w14:paraId="40E4740F" w14:textId="77777777" w:rsidR="00A704D1" w:rsidRPr="00A704D1" w:rsidRDefault="00A704D1" w:rsidP="006818EA">
      <w:pPr>
        <w:pStyle w:val="Punktlista"/>
        <w:rPr>
          <w:szCs w:val="20"/>
        </w:rPr>
      </w:pPr>
      <w:r>
        <w:t>FASS</w:t>
      </w:r>
      <w:r>
        <w:br/>
      </w:r>
      <w:hyperlink r:id="rId21">
        <w:r w:rsidRPr="03E7F1E4">
          <w:rPr>
            <w:rStyle w:val="Hyperlnk"/>
          </w:rPr>
          <w:t>www.fass.se</w:t>
        </w:r>
      </w:hyperlink>
    </w:p>
    <w:p w14:paraId="76B9F95B" w14:textId="0E670A18" w:rsidR="00536A5A" w:rsidRPr="009A4F9A" w:rsidRDefault="00A704D1" w:rsidP="009A4F9A">
      <w:pPr>
        <w:pStyle w:val="Punktlista"/>
        <w:rPr>
          <w:szCs w:val="20"/>
        </w:rPr>
      </w:pPr>
      <w:r>
        <w:t>Pradaxa - effektreversering med idarucizumab (Praxbind). Sjukhusövergripande riktlinje, SÄS</w:t>
      </w:r>
      <w:r>
        <w:br/>
      </w:r>
      <w:hyperlink r:id="rId22">
        <w:r w:rsidR="009A4F9A" w:rsidRPr="03E7F1E4">
          <w:rPr>
            <w:rStyle w:val="Hyperlnk"/>
          </w:rPr>
          <w:t>https://hittadokument.vgregion.se/sas</w:t>
        </w:r>
      </w:hyperlink>
      <w:bookmarkEnd w:id="0"/>
    </w:p>
    <w:sectPr w:rsidR="00536A5A" w:rsidRPr="009A4F9A" w:rsidSect="00A704D1">
      <w:type w:val="continuous"/>
      <w:pgSz w:w="11900" w:h="16840"/>
      <w:pgMar w:top="1418" w:right="1979" w:bottom="1276" w:left="992" w:header="283" w:footer="74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9698" w14:textId="77777777" w:rsidR="00363B23" w:rsidRDefault="00363B23">
      <w:r>
        <w:separator/>
      </w:r>
    </w:p>
  </w:endnote>
  <w:endnote w:type="continuationSeparator" w:id="0">
    <w:p w14:paraId="38030764" w14:textId="77777777" w:rsidR="00363B23" w:rsidRDefault="00363B23">
      <w:r>
        <w:continuationSeparator/>
      </w:r>
    </w:p>
  </w:endnote>
  <w:endnote w:type="continuationNotice" w:id="1">
    <w:p w14:paraId="0576E0AF" w14:textId="77777777" w:rsidR="00363B23" w:rsidRDefault="00363B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B820" w14:textId="77777777" w:rsidR="00660269" w:rsidRDefault="00660269" w:rsidP="00C43BDD">
    <w:pPr>
      <w:pStyle w:val="Sidfot"/>
      <w:framePr w:wrap="around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FE2B821" w14:textId="77777777" w:rsidR="00660269" w:rsidRDefault="00660269" w:rsidP="00C43BDD">
    <w:pPr>
      <w:pStyle w:val="Sidfo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003142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7BD2091" w14:textId="4558F808" w:rsidR="00C50EE5" w:rsidRPr="00EC0A68" w:rsidRDefault="00A65FD4" w:rsidP="00EC0A68">
        <w:pPr>
          <w:pStyle w:val="Sidfot"/>
          <w:rPr>
            <w:sz w:val="16"/>
            <w:szCs w:val="16"/>
          </w:rPr>
        </w:pPr>
        <w:r w:rsidRPr="00EC0A68">
          <w:rPr>
            <w:sz w:val="16"/>
            <w:szCs w:val="16"/>
          </w:rPr>
          <w:t xml:space="preserve"> </w:t>
        </w:r>
        <w:r w:rsidR="00EC0A68" w:rsidRPr="00EC0A68">
          <w:rPr>
            <w:sz w:val="16"/>
            <w:szCs w:val="16"/>
          </w:rPr>
          <w:fldChar w:fldCharType="begin"/>
        </w:r>
        <w:r w:rsidR="00EC0A68" w:rsidRPr="00EC0A68">
          <w:rPr>
            <w:sz w:val="16"/>
            <w:szCs w:val="16"/>
          </w:rPr>
          <w:instrText>PAGE   \* MERGEFORMAT</w:instrText>
        </w:r>
        <w:r w:rsidR="00EC0A68" w:rsidRPr="00EC0A68">
          <w:rPr>
            <w:sz w:val="16"/>
            <w:szCs w:val="16"/>
          </w:rPr>
          <w:fldChar w:fldCharType="separate"/>
        </w:r>
        <w:r w:rsidR="00EC0A68" w:rsidRPr="00EC0A68">
          <w:rPr>
            <w:sz w:val="16"/>
            <w:szCs w:val="16"/>
          </w:rPr>
          <w:t>2</w:t>
        </w:r>
        <w:r w:rsidR="00EC0A68" w:rsidRPr="00EC0A68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B822" w14:textId="063AE373" w:rsidR="00660269" w:rsidRDefault="009228AB" w:rsidP="00FB2F0F">
    <w:pPr>
      <w:pStyle w:val="Sidfot"/>
      <w:ind w:left="6237" w:hanging="141"/>
      <w:jc w:val="lef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FE2B825" wp14:editId="1C346EBA">
          <wp:simplePos x="0" y="0"/>
          <wp:positionH relativeFrom="column">
            <wp:posOffset>4388307</wp:posOffset>
          </wp:positionH>
          <wp:positionV relativeFrom="paragraph">
            <wp:posOffset>-27355</wp:posOffset>
          </wp:positionV>
          <wp:extent cx="1897920" cy="384860"/>
          <wp:effectExtent l="0" t="0" r="7620" b="0"/>
          <wp:wrapNone/>
          <wp:docPr id="9" name="Bildobjekt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G_Ne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671" cy="396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526E6" w14:textId="77777777" w:rsidR="00363B23" w:rsidRDefault="00363B23"/>
  </w:footnote>
  <w:footnote w:type="continuationSeparator" w:id="0">
    <w:p w14:paraId="5C57738A" w14:textId="77777777" w:rsidR="00363B23" w:rsidRDefault="00363B23">
      <w:r>
        <w:continuationSeparator/>
      </w:r>
    </w:p>
  </w:footnote>
  <w:footnote w:type="continuationNotice" w:id="1">
    <w:p w14:paraId="4F5088BD" w14:textId="77777777" w:rsidR="00363B23" w:rsidRDefault="00363B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8EE5" w14:textId="39C06E14" w:rsidR="00294791" w:rsidRPr="00DA65C4" w:rsidRDefault="00DA65C4" w:rsidP="00DA65C4">
    <w:pPr>
      <w:pStyle w:val="Sidhuvud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7" behindDoc="0" locked="0" layoutInCell="1" allowOverlap="1" wp14:anchorId="264BC60A" wp14:editId="43F9402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667250" cy="323850"/>
              <wp:effectExtent l="0" t="0" r="0" b="0"/>
              <wp:wrapNone/>
              <wp:docPr id="10" name="Textru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464969" w14:textId="1B285E8B" w:rsidR="00DA65C4" w:rsidRDefault="00DA65C4" w:rsidP="00DA65C4">
                          <w:pPr>
                            <w:ind w:left="0"/>
                          </w:pPr>
                          <w:r w:rsidRPr="00762EE0">
                            <w:rPr>
                              <w:sz w:val="20"/>
                              <w:szCs w:val="20"/>
                            </w:rPr>
                            <w:t>OBS! Utskriven version kan vara ogiltig. Verifiera innehållet</w:t>
                          </w:r>
                          <w:r w:rsidR="00367D19"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 w14:anchorId="71A293B9">
            <v:shapetype id="_x0000_t202" coordsize="21600,21600" o:spt="202" path="m,l,21600r21600,l21600,xe" w14:anchorId="264BC60A">
              <v:stroke joinstyle="miter"/>
              <v:path gradientshapeok="t" o:connecttype="rect"/>
            </v:shapetype>
            <v:shape id="Textruta 10" style="position:absolute;left:0;text-align:left;margin-left:0;margin-top:-.05pt;width:367.5pt;height:25.5pt;z-index:25167257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">
              <v:textbox>
                <w:txbxContent>
                  <w:p w:rsidR="00DA65C4" w:rsidP="00DA65C4" w:rsidRDefault="00DA65C4" w14:paraId="6D41DF98" w14:textId="1B285E8B">
                    <w:pPr>
                      <w:ind w:left="0"/>
                    </w:pPr>
                    <w:r w:rsidRPr="00762EE0">
                      <w:rPr>
                        <w:sz w:val="20"/>
                        <w:szCs w:val="20"/>
                      </w:rPr>
                      <w:t>OBS! Utskriven version kan vara ogiltig. Verifiera innehållet</w:t>
                    </w:r>
                    <w:r w:rsidR="00367D19">
                      <w:rPr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DD4D" w14:textId="4A49575C" w:rsidR="008A4EB9" w:rsidRDefault="00413A60" w:rsidP="00413A60">
    <w:pPr>
      <w:pStyle w:val="Sidhuvud"/>
      <w:ind w:left="0" w:right="567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9" behindDoc="0" locked="0" layoutInCell="1" allowOverlap="1" wp14:anchorId="5B7982AB" wp14:editId="73171272">
              <wp:simplePos x="0" y="0"/>
              <wp:positionH relativeFrom="column">
                <wp:posOffset>-172720</wp:posOffset>
              </wp:positionH>
              <wp:positionV relativeFrom="paragraph">
                <wp:posOffset>-65405</wp:posOffset>
              </wp:positionV>
              <wp:extent cx="4667250" cy="323850"/>
              <wp:effectExtent l="0" t="0" r="0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D45401" w14:textId="0A2CCBAA" w:rsidR="00413A60" w:rsidRDefault="00413A60">
                          <w:pPr>
                            <w:ind w:left="0"/>
                          </w:pPr>
                          <w:r w:rsidRPr="00762EE0">
                            <w:rPr>
                              <w:sz w:val="20"/>
                              <w:szCs w:val="20"/>
                            </w:rPr>
                            <w:t>OBS! Utskriven version kan vara ogiltig. Verifiera innehållet</w:t>
                          </w:r>
                          <w:r w:rsidR="00367D19"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<w:pict w14:anchorId="4E6578D2">
            <v:shapetype id="_x0000_t202" coordsize="21600,21600" o:spt="202" path="m,l,21600r21600,l21600,xe" w14:anchorId="5B7982AB">
              <v:stroke joinstyle="miter"/>
              <v:path gradientshapeok="t" o:connecttype="rect"/>
            </v:shapetype>
            <v:shape id="Textruta 6" style="position:absolute;margin-left:-13.6pt;margin-top:-5.15pt;width:367.5pt;height:25.5pt;z-index:25167052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">
              <v:textbox>
                <w:txbxContent>
                  <w:p w:rsidR="00413A60" w:rsidRDefault="00413A60" w14:paraId="685B7E76" w14:textId="0A2CCBAA">
                    <w:pPr>
                      <w:ind w:left="0"/>
                    </w:pPr>
                    <w:r w:rsidRPr="00762EE0">
                      <w:rPr>
                        <w:sz w:val="20"/>
                        <w:szCs w:val="20"/>
                      </w:rPr>
                      <w:t>OBS! Utskriven version kan vara ogiltig. Verifiera innehållet</w:t>
                    </w:r>
                    <w:r w:rsidR="00367D19">
                      <w:rPr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CA39EF" w:rsidRPr="00762EE0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2F5396D5" wp14:editId="7AA9356B">
          <wp:simplePos x="0" y="0"/>
          <wp:positionH relativeFrom="page">
            <wp:posOffset>17744</wp:posOffset>
          </wp:positionH>
          <wp:positionV relativeFrom="paragraph">
            <wp:posOffset>198873</wp:posOffset>
          </wp:positionV>
          <wp:extent cx="7559040" cy="216408"/>
          <wp:effectExtent l="0" t="0" r="0" b="0"/>
          <wp:wrapNone/>
          <wp:docPr id="4" name="Bild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8A6" w:rsidRPr="00762EE0">
      <w:rPr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BCC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1DC45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450964C"/>
    <w:lvl w:ilvl="0">
      <w:start w:val="1"/>
      <w:numFmt w:val="decimal"/>
      <w:pStyle w:val="Puntklistanumrerad"/>
      <w:lvlText w:val="%1."/>
      <w:lvlJc w:val="left"/>
      <w:pPr>
        <w:ind w:left="1352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3C063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DF67F4"/>
    <w:multiLevelType w:val="hybridMultilevel"/>
    <w:tmpl w:val="75525A52"/>
    <w:lvl w:ilvl="0" w:tplc="A0D819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abstractNum w:abstractNumId="5" w15:restartNumberingAfterBreak="0">
    <w:nsid w:val="07F0337A"/>
    <w:multiLevelType w:val="hybridMultilevel"/>
    <w:tmpl w:val="1E54CEB4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35A157B"/>
    <w:multiLevelType w:val="hybridMultilevel"/>
    <w:tmpl w:val="656670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480309A"/>
    <w:multiLevelType w:val="hybridMultilevel"/>
    <w:tmpl w:val="7B82C9A8"/>
    <w:lvl w:ilvl="0" w:tplc="041D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 w15:restartNumberingAfterBreak="0">
    <w:nsid w:val="1D074A65"/>
    <w:multiLevelType w:val="hybridMultilevel"/>
    <w:tmpl w:val="E104E4E6"/>
    <w:lvl w:ilvl="0" w:tplc="F49A5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D520AB4"/>
    <w:multiLevelType w:val="hybridMultilevel"/>
    <w:tmpl w:val="B9E412AC"/>
    <w:lvl w:ilvl="0" w:tplc="041D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301B32AB"/>
    <w:multiLevelType w:val="hybridMultilevel"/>
    <w:tmpl w:val="6BAC2AC6"/>
    <w:lvl w:ilvl="0" w:tplc="667AEBB0">
      <w:start w:val="1"/>
      <w:numFmt w:val="bullet"/>
      <w:pStyle w:val="Punktlistaunderliggande"/>
      <w:lvlText w:val="–"/>
      <w:lvlJc w:val="left"/>
      <w:pPr>
        <w:ind w:left="1709" w:hanging="360"/>
      </w:pPr>
      <w:rPr>
        <w:rFonts w:ascii="Agency FB" w:hAnsi="Agency FB" w:hint="default"/>
        <w:outline w:val="0"/>
        <w:shadow w:val="0"/>
        <w:emboss w:val="0"/>
        <w:imprint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A42FB9"/>
    <w:multiLevelType w:val="hybridMultilevel"/>
    <w:tmpl w:val="09EA906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74E09"/>
    <w:multiLevelType w:val="hybridMultilevel"/>
    <w:tmpl w:val="DDF0BC38"/>
    <w:lvl w:ilvl="0" w:tplc="34668BA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0C928FF"/>
    <w:multiLevelType w:val="hybridMultilevel"/>
    <w:tmpl w:val="0AE0B72A"/>
    <w:lvl w:ilvl="0" w:tplc="041D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4" w15:restartNumberingAfterBreak="0">
    <w:nsid w:val="42196C05"/>
    <w:multiLevelType w:val="hybridMultilevel"/>
    <w:tmpl w:val="741857FC"/>
    <w:lvl w:ilvl="0" w:tplc="71B6B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A5A86"/>
    <w:multiLevelType w:val="hybridMultilevel"/>
    <w:tmpl w:val="AC02788A"/>
    <w:lvl w:ilvl="0" w:tplc="BD2AA6B8">
      <w:start w:val="1"/>
      <w:numFmt w:val="bullet"/>
      <w:pStyle w:val="Punktlista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6" w15:restartNumberingAfterBreak="0">
    <w:nsid w:val="51AB58F1"/>
    <w:multiLevelType w:val="hybridMultilevel"/>
    <w:tmpl w:val="97200AA0"/>
    <w:lvl w:ilvl="0" w:tplc="041D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7" w15:restartNumberingAfterBreak="0">
    <w:nsid w:val="54340635"/>
    <w:multiLevelType w:val="hybridMultilevel"/>
    <w:tmpl w:val="1B6660C0"/>
    <w:lvl w:ilvl="0" w:tplc="05061E3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5E01E6"/>
    <w:multiLevelType w:val="hybridMultilevel"/>
    <w:tmpl w:val="E154E4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D4C7B3F"/>
    <w:multiLevelType w:val="multilevel"/>
    <w:tmpl w:val="E13EA388"/>
    <w:lvl w:ilvl="0">
      <w:start w:val="1"/>
      <w:numFmt w:val="decimal"/>
      <w:pStyle w:val="Faktaruta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706B1852"/>
    <w:multiLevelType w:val="hybridMultilevel"/>
    <w:tmpl w:val="4FB2CA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C077AA9"/>
    <w:multiLevelType w:val="hybridMultilevel"/>
    <w:tmpl w:val="DDC0C0DE"/>
    <w:lvl w:ilvl="0" w:tplc="041D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2" w15:restartNumberingAfterBreak="0">
    <w:nsid w:val="7EA41BCB"/>
    <w:multiLevelType w:val="hybridMultilevel"/>
    <w:tmpl w:val="CAEC6E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607542073">
    <w:abstractNumId w:val="10"/>
  </w:num>
  <w:num w:numId="2" w16cid:durableId="1616211326">
    <w:abstractNumId w:val="2"/>
  </w:num>
  <w:num w:numId="3" w16cid:durableId="1827428918">
    <w:abstractNumId w:val="19"/>
  </w:num>
  <w:num w:numId="4" w16cid:durableId="10929678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72867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06464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00013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2301060">
    <w:abstractNumId w:val="15"/>
  </w:num>
  <w:num w:numId="9" w16cid:durableId="10388241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ocumentProtection w:formatting="1" w:enforcement="0"/>
  <w:styleLockTheme/>
  <w:styleLockQFSet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strokecolor="#4a773c">
      <v:stroke color="#4a773c" weight="1pt"/>
      <v:shadow opacity="24903f" origin=",.5" offset="0,.55556mm"/>
      <o:colormru v:ext="edit" colors="#4a773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DE"/>
    <w:rsid w:val="000051D5"/>
    <w:rsid w:val="00006D2A"/>
    <w:rsid w:val="00010D47"/>
    <w:rsid w:val="00016CF0"/>
    <w:rsid w:val="0002435C"/>
    <w:rsid w:val="00030DDD"/>
    <w:rsid w:val="000313BB"/>
    <w:rsid w:val="00033ED5"/>
    <w:rsid w:val="00050500"/>
    <w:rsid w:val="0005691C"/>
    <w:rsid w:val="00056ECB"/>
    <w:rsid w:val="00056ED5"/>
    <w:rsid w:val="000655CC"/>
    <w:rsid w:val="000700AE"/>
    <w:rsid w:val="00084024"/>
    <w:rsid w:val="0009062C"/>
    <w:rsid w:val="00095368"/>
    <w:rsid w:val="000954C4"/>
    <w:rsid w:val="000A4C35"/>
    <w:rsid w:val="000A611A"/>
    <w:rsid w:val="000B12D9"/>
    <w:rsid w:val="000B4536"/>
    <w:rsid w:val="000B7715"/>
    <w:rsid w:val="000E0A2F"/>
    <w:rsid w:val="000E463B"/>
    <w:rsid w:val="000E5A7E"/>
    <w:rsid w:val="000F43A3"/>
    <w:rsid w:val="000F7681"/>
    <w:rsid w:val="00103031"/>
    <w:rsid w:val="001044FE"/>
    <w:rsid w:val="001139D4"/>
    <w:rsid w:val="00131B08"/>
    <w:rsid w:val="00132A59"/>
    <w:rsid w:val="00133337"/>
    <w:rsid w:val="00133A0F"/>
    <w:rsid w:val="0013580F"/>
    <w:rsid w:val="00137B6D"/>
    <w:rsid w:val="0014070B"/>
    <w:rsid w:val="001422C1"/>
    <w:rsid w:val="001522AE"/>
    <w:rsid w:val="00157D5B"/>
    <w:rsid w:val="00161FE6"/>
    <w:rsid w:val="001647EA"/>
    <w:rsid w:val="00164C3D"/>
    <w:rsid w:val="00166D3A"/>
    <w:rsid w:val="00181FDC"/>
    <w:rsid w:val="001860B9"/>
    <w:rsid w:val="00186F2B"/>
    <w:rsid w:val="001874D6"/>
    <w:rsid w:val="0019632A"/>
    <w:rsid w:val="001A4E7C"/>
    <w:rsid w:val="001B762C"/>
    <w:rsid w:val="001C4D0A"/>
    <w:rsid w:val="001C5FEF"/>
    <w:rsid w:val="001F779F"/>
    <w:rsid w:val="00204BF9"/>
    <w:rsid w:val="00211487"/>
    <w:rsid w:val="00211D91"/>
    <w:rsid w:val="00217DEC"/>
    <w:rsid w:val="00235B57"/>
    <w:rsid w:val="00250F24"/>
    <w:rsid w:val="002523C5"/>
    <w:rsid w:val="0025380B"/>
    <w:rsid w:val="0025703A"/>
    <w:rsid w:val="00262F3D"/>
    <w:rsid w:val="00263281"/>
    <w:rsid w:val="002651D6"/>
    <w:rsid w:val="0026551F"/>
    <w:rsid w:val="00280A85"/>
    <w:rsid w:val="00284119"/>
    <w:rsid w:val="00290B5C"/>
    <w:rsid w:val="00294791"/>
    <w:rsid w:val="002B0B30"/>
    <w:rsid w:val="002B0C78"/>
    <w:rsid w:val="002C0C02"/>
    <w:rsid w:val="002C1277"/>
    <w:rsid w:val="002C60AD"/>
    <w:rsid w:val="002D0E0E"/>
    <w:rsid w:val="002D6023"/>
    <w:rsid w:val="002E263F"/>
    <w:rsid w:val="002E6F81"/>
    <w:rsid w:val="002F08BA"/>
    <w:rsid w:val="002F2CFF"/>
    <w:rsid w:val="002F568B"/>
    <w:rsid w:val="002F7818"/>
    <w:rsid w:val="003066D0"/>
    <w:rsid w:val="00311401"/>
    <w:rsid w:val="003203D7"/>
    <w:rsid w:val="00320F86"/>
    <w:rsid w:val="00324171"/>
    <w:rsid w:val="00326C24"/>
    <w:rsid w:val="00337F99"/>
    <w:rsid w:val="0034307B"/>
    <w:rsid w:val="00345EB1"/>
    <w:rsid w:val="00350CC4"/>
    <w:rsid w:val="00360E0D"/>
    <w:rsid w:val="0036357D"/>
    <w:rsid w:val="00363B23"/>
    <w:rsid w:val="0036594C"/>
    <w:rsid w:val="00367D19"/>
    <w:rsid w:val="00370B5A"/>
    <w:rsid w:val="00371BED"/>
    <w:rsid w:val="00384019"/>
    <w:rsid w:val="003854F1"/>
    <w:rsid w:val="0039118E"/>
    <w:rsid w:val="00397F54"/>
    <w:rsid w:val="003A0D43"/>
    <w:rsid w:val="003B2A4B"/>
    <w:rsid w:val="003D099E"/>
    <w:rsid w:val="003D21A2"/>
    <w:rsid w:val="003D29D2"/>
    <w:rsid w:val="003E0705"/>
    <w:rsid w:val="003E2FF7"/>
    <w:rsid w:val="003E4A61"/>
    <w:rsid w:val="003F1013"/>
    <w:rsid w:val="003F1ACF"/>
    <w:rsid w:val="00404948"/>
    <w:rsid w:val="00406BEA"/>
    <w:rsid w:val="00413A60"/>
    <w:rsid w:val="004230F7"/>
    <w:rsid w:val="0043167E"/>
    <w:rsid w:val="0043409A"/>
    <w:rsid w:val="00443C1E"/>
    <w:rsid w:val="00446255"/>
    <w:rsid w:val="00451935"/>
    <w:rsid w:val="00460ED0"/>
    <w:rsid w:val="00464C9A"/>
    <w:rsid w:val="00465651"/>
    <w:rsid w:val="00470CE7"/>
    <w:rsid w:val="00470F4F"/>
    <w:rsid w:val="00472482"/>
    <w:rsid w:val="00480DC7"/>
    <w:rsid w:val="004876F6"/>
    <w:rsid w:val="0049236A"/>
    <w:rsid w:val="00492718"/>
    <w:rsid w:val="004A355D"/>
    <w:rsid w:val="004A4970"/>
    <w:rsid w:val="004A4AA0"/>
    <w:rsid w:val="004B2183"/>
    <w:rsid w:val="004B2A01"/>
    <w:rsid w:val="004C2559"/>
    <w:rsid w:val="004D7BA3"/>
    <w:rsid w:val="004E3B90"/>
    <w:rsid w:val="004F4518"/>
    <w:rsid w:val="004F4C62"/>
    <w:rsid w:val="00501433"/>
    <w:rsid w:val="00511CC4"/>
    <w:rsid w:val="00531E60"/>
    <w:rsid w:val="00536A5A"/>
    <w:rsid w:val="00541D07"/>
    <w:rsid w:val="00544BAB"/>
    <w:rsid w:val="00545F31"/>
    <w:rsid w:val="005578FA"/>
    <w:rsid w:val="00565129"/>
    <w:rsid w:val="00565CD0"/>
    <w:rsid w:val="00567820"/>
    <w:rsid w:val="005770AD"/>
    <w:rsid w:val="00581414"/>
    <w:rsid w:val="00582490"/>
    <w:rsid w:val="005826FA"/>
    <w:rsid w:val="00597E28"/>
    <w:rsid w:val="005A2E3B"/>
    <w:rsid w:val="005A54ED"/>
    <w:rsid w:val="005A5D5B"/>
    <w:rsid w:val="005A6081"/>
    <w:rsid w:val="005A627D"/>
    <w:rsid w:val="005B378E"/>
    <w:rsid w:val="005C0045"/>
    <w:rsid w:val="005C084E"/>
    <w:rsid w:val="005C4606"/>
    <w:rsid w:val="005D0B0C"/>
    <w:rsid w:val="005E02B3"/>
    <w:rsid w:val="005E1E24"/>
    <w:rsid w:val="0060596B"/>
    <w:rsid w:val="00606D0A"/>
    <w:rsid w:val="00606D97"/>
    <w:rsid w:val="00614E64"/>
    <w:rsid w:val="00617710"/>
    <w:rsid w:val="00617EE6"/>
    <w:rsid w:val="0062184C"/>
    <w:rsid w:val="00623724"/>
    <w:rsid w:val="00627BEA"/>
    <w:rsid w:val="006319DB"/>
    <w:rsid w:val="0065595B"/>
    <w:rsid w:val="00660269"/>
    <w:rsid w:val="00665F89"/>
    <w:rsid w:val="00673C92"/>
    <w:rsid w:val="006753EC"/>
    <w:rsid w:val="006818EA"/>
    <w:rsid w:val="006A2789"/>
    <w:rsid w:val="006A4978"/>
    <w:rsid w:val="006A7261"/>
    <w:rsid w:val="006B0D29"/>
    <w:rsid w:val="006B1819"/>
    <w:rsid w:val="006B5DE7"/>
    <w:rsid w:val="006C5048"/>
    <w:rsid w:val="006C6A4B"/>
    <w:rsid w:val="006C779F"/>
    <w:rsid w:val="006D01F5"/>
    <w:rsid w:val="006D0CFB"/>
    <w:rsid w:val="006D30C0"/>
    <w:rsid w:val="006D7535"/>
    <w:rsid w:val="006E450B"/>
    <w:rsid w:val="006F0D7E"/>
    <w:rsid w:val="00710B77"/>
    <w:rsid w:val="0072075B"/>
    <w:rsid w:val="007221C2"/>
    <w:rsid w:val="00725816"/>
    <w:rsid w:val="00730955"/>
    <w:rsid w:val="00733A9C"/>
    <w:rsid w:val="00736574"/>
    <w:rsid w:val="007367E0"/>
    <w:rsid w:val="00737215"/>
    <w:rsid w:val="00754905"/>
    <w:rsid w:val="00760038"/>
    <w:rsid w:val="00762EE0"/>
    <w:rsid w:val="00765C41"/>
    <w:rsid w:val="00771100"/>
    <w:rsid w:val="007759DD"/>
    <w:rsid w:val="0078609F"/>
    <w:rsid w:val="007917BA"/>
    <w:rsid w:val="007A5C6F"/>
    <w:rsid w:val="007B70EF"/>
    <w:rsid w:val="007D4241"/>
    <w:rsid w:val="007D4317"/>
    <w:rsid w:val="007D4EA3"/>
    <w:rsid w:val="007F1CFF"/>
    <w:rsid w:val="007F5DD5"/>
    <w:rsid w:val="00821A1B"/>
    <w:rsid w:val="008262E9"/>
    <w:rsid w:val="00827E69"/>
    <w:rsid w:val="00835C4D"/>
    <w:rsid w:val="00843F48"/>
    <w:rsid w:val="00851423"/>
    <w:rsid w:val="00857848"/>
    <w:rsid w:val="008654B6"/>
    <w:rsid w:val="0087139C"/>
    <w:rsid w:val="00880E83"/>
    <w:rsid w:val="00884E7D"/>
    <w:rsid w:val="00892F28"/>
    <w:rsid w:val="00893A22"/>
    <w:rsid w:val="008A0C5F"/>
    <w:rsid w:val="008A3DEA"/>
    <w:rsid w:val="008A4EB9"/>
    <w:rsid w:val="008A74C0"/>
    <w:rsid w:val="008B1694"/>
    <w:rsid w:val="008C4B27"/>
    <w:rsid w:val="008C7F2A"/>
    <w:rsid w:val="008E36F8"/>
    <w:rsid w:val="008E46B2"/>
    <w:rsid w:val="008E682C"/>
    <w:rsid w:val="008E78A1"/>
    <w:rsid w:val="008F589F"/>
    <w:rsid w:val="00906238"/>
    <w:rsid w:val="00907EF9"/>
    <w:rsid w:val="0091295C"/>
    <w:rsid w:val="00914D58"/>
    <w:rsid w:val="00921F47"/>
    <w:rsid w:val="009228AB"/>
    <w:rsid w:val="0093085B"/>
    <w:rsid w:val="00931C57"/>
    <w:rsid w:val="009347A5"/>
    <w:rsid w:val="00942257"/>
    <w:rsid w:val="009471BF"/>
    <w:rsid w:val="00950E4E"/>
    <w:rsid w:val="009529BD"/>
    <w:rsid w:val="009533B4"/>
    <w:rsid w:val="00964A1E"/>
    <w:rsid w:val="00971D93"/>
    <w:rsid w:val="009A4F9A"/>
    <w:rsid w:val="009B1F6B"/>
    <w:rsid w:val="009C0D12"/>
    <w:rsid w:val="009C192E"/>
    <w:rsid w:val="009D6819"/>
    <w:rsid w:val="009D6D1C"/>
    <w:rsid w:val="009E0CF9"/>
    <w:rsid w:val="009E531B"/>
    <w:rsid w:val="009E6C56"/>
    <w:rsid w:val="009E7DCF"/>
    <w:rsid w:val="009F4A56"/>
    <w:rsid w:val="009F4E65"/>
    <w:rsid w:val="00A006A5"/>
    <w:rsid w:val="00A05942"/>
    <w:rsid w:val="00A07BEC"/>
    <w:rsid w:val="00A264BE"/>
    <w:rsid w:val="00A272CA"/>
    <w:rsid w:val="00A33051"/>
    <w:rsid w:val="00A407AD"/>
    <w:rsid w:val="00A40923"/>
    <w:rsid w:val="00A41C05"/>
    <w:rsid w:val="00A42426"/>
    <w:rsid w:val="00A514B7"/>
    <w:rsid w:val="00A54A0B"/>
    <w:rsid w:val="00A65FD4"/>
    <w:rsid w:val="00A704D1"/>
    <w:rsid w:val="00A7194F"/>
    <w:rsid w:val="00A7260C"/>
    <w:rsid w:val="00A81198"/>
    <w:rsid w:val="00A81E48"/>
    <w:rsid w:val="00A82035"/>
    <w:rsid w:val="00A90D77"/>
    <w:rsid w:val="00A92E07"/>
    <w:rsid w:val="00AA0B3A"/>
    <w:rsid w:val="00AA6EB4"/>
    <w:rsid w:val="00AA767D"/>
    <w:rsid w:val="00AB0CC9"/>
    <w:rsid w:val="00AC3FF6"/>
    <w:rsid w:val="00AD73EC"/>
    <w:rsid w:val="00AE5BC7"/>
    <w:rsid w:val="00AF5AAF"/>
    <w:rsid w:val="00AF5BD1"/>
    <w:rsid w:val="00B046D8"/>
    <w:rsid w:val="00B13F4C"/>
    <w:rsid w:val="00B16219"/>
    <w:rsid w:val="00B16C59"/>
    <w:rsid w:val="00B33FDD"/>
    <w:rsid w:val="00B359CC"/>
    <w:rsid w:val="00B36107"/>
    <w:rsid w:val="00B41789"/>
    <w:rsid w:val="00B46C03"/>
    <w:rsid w:val="00B60C6C"/>
    <w:rsid w:val="00B619A9"/>
    <w:rsid w:val="00B65A9D"/>
    <w:rsid w:val="00B66D60"/>
    <w:rsid w:val="00B75EDE"/>
    <w:rsid w:val="00B77D88"/>
    <w:rsid w:val="00B77FAF"/>
    <w:rsid w:val="00B84336"/>
    <w:rsid w:val="00B851B9"/>
    <w:rsid w:val="00B86453"/>
    <w:rsid w:val="00B90054"/>
    <w:rsid w:val="00B92C14"/>
    <w:rsid w:val="00BA0066"/>
    <w:rsid w:val="00BB69DB"/>
    <w:rsid w:val="00BC322E"/>
    <w:rsid w:val="00BC44CD"/>
    <w:rsid w:val="00BC48A6"/>
    <w:rsid w:val="00BE7978"/>
    <w:rsid w:val="00C07DDB"/>
    <w:rsid w:val="00C4115D"/>
    <w:rsid w:val="00C43BDD"/>
    <w:rsid w:val="00C47778"/>
    <w:rsid w:val="00C5011E"/>
    <w:rsid w:val="00C50EE5"/>
    <w:rsid w:val="00C5240A"/>
    <w:rsid w:val="00C5398F"/>
    <w:rsid w:val="00C556F5"/>
    <w:rsid w:val="00C6775C"/>
    <w:rsid w:val="00C70E19"/>
    <w:rsid w:val="00C72574"/>
    <w:rsid w:val="00C7430C"/>
    <w:rsid w:val="00C85DA1"/>
    <w:rsid w:val="00C9071C"/>
    <w:rsid w:val="00C908FF"/>
    <w:rsid w:val="00C97BD3"/>
    <w:rsid w:val="00CA39EF"/>
    <w:rsid w:val="00CA521F"/>
    <w:rsid w:val="00CB0493"/>
    <w:rsid w:val="00CB17FF"/>
    <w:rsid w:val="00CB1ED7"/>
    <w:rsid w:val="00CC167C"/>
    <w:rsid w:val="00CC52D9"/>
    <w:rsid w:val="00CD6647"/>
    <w:rsid w:val="00CE4B73"/>
    <w:rsid w:val="00CF70BB"/>
    <w:rsid w:val="00D074DB"/>
    <w:rsid w:val="00D139CF"/>
    <w:rsid w:val="00D37E7F"/>
    <w:rsid w:val="00D47AD7"/>
    <w:rsid w:val="00D51529"/>
    <w:rsid w:val="00D85218"/>
    <w:rsid w:val="00D915B1"/>
    <w:rsid w:val="00DA299D"/>
    <w:rsid w:val="00DA65C4"/>
    <w:rsid w:val="00DD2BE0"/>
    <w:rsid w:val="00DE4447"/>
    <w:rsid w:val="00DE5DA2"/>
    <w:rsid w:val="00DF0033"/>
    <w:rsid w:val="00E026BF"/>
    <w:rsid w:val="00E07B1B"/>
    <w:rsid w:val="00E11853"/>
    <w:rsid w:val="00E13D7E"/>
    <w:rsid w:val="00E52A86"/>
    <w:rsid w:val="00E54B47"/>
    <w:rsid w:val="00E54E1B"/>
    <w:rsid w:val="00E553BF"/>
    <w:rsid w:val="00E55D93"/>
    <w:rsid w:val="00E61294"/>
    <w:rsid w:val="00E7237C"/>
    <w:rsid w:val="00E77C46"/>
    <w:rsid w:val="00E86CE8"/>
    <w:rsid w:val="00E90E82"/>
    <w:rsid w:val="00EA00CB"/>
    <w:rsid w:val="00EA1BAA"/>
    <w:rsid w:val="00EA3FCD"/>
    <w:rsid w:val="00EA42A0"/>
    <w:rsid w:val="00EB6714"/>
    <w:rsid w:val="00EC0A68"/>
    <w:rsid w:val="00EC5006"/>
    <w:rsid w:val="00ED49C3"/>
    <w:rsid w:val="00ED6CE8"/>
    <w:rsid w:val="00ED7AA6"/>
    <w:rsid w:val="00EE2A56"/>
    <w:rsid w:val="00EE3818"/>
    <w:rsid w:val="00F22264"/>
    <w:rsid w:val="00F2564D"/>
    <w:rsid w:val="00F35B05"/>
    <w:rsid w:val="00F413D9"/>
    <w:rsid w:val="00F5135F"/>
    <w:rsid w:val="00F51F78"/>
    <w:rsid w:val="00F82114"/>
    <w:rsid w:val="00F86F47"/>
    <w:rsid w:val="00F90B64"/>
    <w:rsid w:val="00FB2F0F"/>
    <w:rsid w:val="00FB5086"/>
    <w:rsid w:val="00FB5411"/>
    <w:rsid w:val="00FB6392"/>
    <w:rsid w:val="00FD3C70"/>
    <w:rsid w:val="00FD6820"/>
    <w:rsid w:val="00FE12D8"/>
    <w:rsid w:val="00FF7C02"/>
    <w:rsid w:val="024801E3"/>
    <w:rsid w:val="03E7F1E4"/>
    <w:rsid w:val="191452B1"/>
    <w:rsid w:val="2EA36556"/>
    <w:rsid w:val="37AD5191"/>
    <w:rsid w:val="5441DE2A"/>
    <w:rsid w:val="647B2B65"/>
    <w:rsid w:val="6B2CF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 strokecolor="#4a773c">
      <v:stroke color="#4a773c" weight="1pt"/>
      <v:shadow opacity="24903f" origin=",.5" offset="0,.55556mm"/>
      <o:colormru v:ext="edit" colors="#4a773c"/>
    </o:shapedefaults>
    <o:shapelayout v:ext="edit">
      <o:idmap v:ext="edit" data="1"/>
    </o:shapelayout>
  </w:shapeDefaults>
  <w:doNotEmbedSmartTags/>
  <w:decimalSymbol w:val=","/>
  <w:listSeparator w:val=";"/>
  <w14:docId w14:val="1FE2B7EB"/>
  <w14:defaultImageDpi w14:val="330"/>
  <w15:docId w15:val="{05325872-151F-41A7-9AD9-8EFA6E16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3" w:unhideWhenUsed="1" w:qFormat="1"/>
    <w:lsdException w:name="heading 4" w:locked="1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locked="1" w:semiHidden="1" w:uiPriority="29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/>
    <w:lsdException w:name="Intense Reference" w:locked="1" w:semiHidden="1" w:uiPriority="32"/>
    <w:lsdException w:name="Book Title" w:locked="1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C5F"/>
    <w:pPr>
      <w:spacing w:after="120" w:line="288" w:lineRule="auto"/>
      <w:ind w:left="992" w:right="868"/>
    </w:pPr>
    <w:rPr>
      <w:sz w:val="24"/>
      <w:szCs w:val="24"/>
    </w:rPr>
  </w:style>
  <w:style w:type="paragraph" w:styleId="Rubrik1">
    <w:name w:val="heading 1"/>
    <w:aliases w:val="Rubrik VGR"/>
    <w:next w:val="Normal"/>
    <w:link w:val="Rubrik1Char"/>
    <w:qFormat/>
    <w:rsid w:val="00E13D7E"/>
    <w:pPr>
      <w:keepNext/>
      <w:spacing w:after="240"/>
      <w:ind w:left="992"/>
      <w:contextualSpacing/>
      <w:outlineLvl w:val="0"/>
    </w:pPr>
    <w:rPr>
      <w:rFonts w:ascii="Calibri" w:eastAsia="MS Gothic" w:hAnsi="Calibri"/>
      <w:bCs/>
      <w:kern w:val="32"/>
      <w:sz w:val="48"/>
      <w:szCs w:val="32"/>
    </w:rPr>
  </w:style>
  <w:style w:type="paragraph" w:styleId="Rubrik2">
    <w:name w:val="heading 2"/>
    <w:aliases w:val="Rubrik 2 VGR"/>
    <w:basedOn w:val="Normal"/>
    <w:next w:val="Normal"/>
    <w:link w:val="Rubrik2Char"/>
    <w:uiPriority w:val="3"/>
    <w:unhideWhenUsed/>
    <w:qFormat/>
    <w:rsid w:val="00627BEA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40"/>
      <w:szCs w:val="26"/>
    </w:rPr>
  </w:style>
  <w:style w:type="paragraph" w:styleId="Rubrik3">
    <w:name w:val="heading 3"/>
    <w:aliases w:val="Rubrik 3 VGR"/>
    <w:basedOn w:val="Normal"/>
    <w:next w:val="Normal"/>
    <w:link w:val="Rubrik3Char"/>
    <w:uiPriority w:val="3"/>
    <w:unhideWhenUsed/>
    <w:qFormat/>
    <w:rsid w:val="00627BEA"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 w:cstheme="majorBidi"/>
      <w:bCs/>
      <w:color w:val="000000" w:themeColor="text1"/>
      <w:sz w:val="36"/>
    </w:rPr>
  </w:style>
  <w:style w:type="paragraph" w:styleId="Rubrik4">
    <w:name w:val="heading 4"/>
    <w:aliases w:val="mellanrubrik"/>
    <w:basedOn w:val="Normal"/>
    <w:next w:val="Normal"/>
    <w:link w:val="Rubrik4Char"/>
    <w:uiPriority w:val="3"/>
    <w:semiHidden/>
    <w:qFormat/>
    <w:locked/>
    <w:rsid w:val="00627BEA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6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F56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04B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704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04B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704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04B" w:themeColor="accent1" w:themeShade="7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704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Oformateradtabell1">
    <w:name w:val="Plain Table 1"/>
    <w:basedOn w:val="Normaltabell"/>
    <w:uiPriority w:val="99"/>
    <w:rsid w:val="002E263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ildtext">
    <w:name w:val="Bildtext"/>
    <w:basedOn w:val="Normal"/>
    <w:semiHidden/>
    <w:rsid w:val="00CF70BB"/>
    <w:pPr>
      <w:widowControl w:val="0"/>
      <w:autoSpaceDE w:val="0"/>
      <w:autoSpaceDN w:val="0"/>
      <w:adjustRightInd w:val="0"/>
      <w:spacing w:line="160" w:lineRule="atLeast"/>
      <w:textAlignment w:val="center"/>
    </w:pPr>
    <w:rPr>
      <w:rFonts w:ascii="Arial" w:hAnsi="Arial"/>
      <w:i/>
      <w:color w:val="000000"/>
      <w:sz w:val="12"/>
      <w:szCs w:val="12"/>
    </w:rPr>
  </w:style>
  <w:style w:type="paragraph" w:customStyle="1" w:styleId="Sidrubrikliten">
    <w:name w:val="Sidrubrik liten"/>
    <w:basedOn w:val="Normal"/>
    <w:semiHidden/>
    <w:rsid w:val="00880FEE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b/>
      <w:color w:val="FFFFFF"/>
      <w:spacing w:val="2"/>
      <w:sz w:val="20"/>
      <w:szCs w:val="20"/>
    </w:rPr>
  </w:style>
  <w:style w:type="paragraph" w:customStyle="1" w:styleId="Sidrubrikstor">
    <w:name w:val="Sidrubrik stor"/>
    <w:basedOn w:val="Normal"/>
    <w:semiHidden/>
    <w:rsid w:val="00880FEE"/>
    <w:pPr>
      <w:widowControl w:val="0"/>
      <w:autoSpaceDE w:val="0"/>
      <w:autoSpaceDN w:val="0"/>
      <w:adjustRightInd w:val="0"/>
      <w:spacing w:line="840" w:lineRule="atLeast"/>
      <w:textAlignment w:val="center"/>
    </w:pPr>
    <w:rPr>
      <w:rFonts w:ascii="Arial" w:hAnsi="Arial"/>
      <w:color w:val="FFFFFF"/>
      <w:spacing w:val="-17"/>
      <w:sz w:val="84"/>
      <w:szCs w:val="84"/>
    </w:rPr>
  </w:style>
  <w:style w:type="paragraph" w:styleId="Sidfot">
    <w:name w:val="footer"/>
    <w:basedOn w:val="Normal"/>
    <w:link w:val="SidfotChar"/>
    <w:uiPriority w:val="99"/>
    <w:rsid w:val="00880FEE"/>
    <w:pPr>
      <w:widowControl w:val="0"/>
      <w:autoSpaceDE w:val="0"/>
      <w:autoSpaceDN w:val="0"/>
      <w:adjustRightInd w:val="0"/>
      <w:jc w:val="right"/>
      <w:textAlignment w:val="center"/>
    </w:pPr>
    <w:rPr>
      <w:rFonts w:ascii="Arial" w:hAnsi="Arial"/>
      <w:color w:val="000000"/>
      <w:sz w:val="12"/>
      <w:szCs w:val="12"/>
    </w:rPr>
  </w:style>
  <w:style w:type="character" w:customStyle="1" w:styleId="Avdelaresidfot">
    <w:name w:val="Avdelare sidfot"/>
    <w:semiHidden/>
    <w:rsid w:val="00880FEE"/>
    <w:rPr>
      <w:rFonts w:ascii="Arial" w:hAnsi="Arial"/>
      <w:position w:val="1"/>
    </w:rPr>
  </w:style>
  <w:style w:type="paragraph" w:styleId="Sidhuvud">
    <w:name w:val="header"/>
    <w:basedOn w:val="Normal"/>
    <w:link w:val="SidhuvudChar"/>
    <w:uiPriority w:val="99"/>
    <w:rsid w:val="00AA0F08"/>
    <w:pPr>
      <w:tabs>
        <w:tab w:val="center" w:pos="4703"/>
        <w:tab w:val="right" w:pos="9406"/>
      </w:tabs>
    </w:pPr>
  </w:style>
  <w:style w:type="character" w:styleId="Sidnummer">
    <w:name w:val="page number"/>
    <w:basedOn w:val="Standardstycketeckensnitt"/>
    <w:semiHidden/>
    <w:rsid w:val="00AA0F08"/>
  </w:style>
  <w:style w:type="paragraph" w:customStyle="1" w:styleId="Metadata">
    <w:name w:val="Metadata"/>
    <w:basedOn w:val="Normal"/>
    <w:qFormat/>
    <w:rsid w:val="002651D6"/>
    <w:pPr>
      <w:spacing w:after="240"/>
      <w:contextualSpacing/>
    </w:pPr>
    <w:rPr>
      <w:rFonts w:ascii="Calibri" w:hAnsi="Calibri"/>
      <w:sz w:val="20"/>
    </w:rPr>
  </w:style>
  <w:style w:type="character" w:customStyle="1" w:styleId="Rubrik1Char">
    <w:name w:val="Rubrik 1 Char"/>
    <w:aliases w:val="Rubrik VGR Char"/>
    <w:link w:val="Rubrik1"/>
    <w:rsid w:val="00E13D7E"/>
    <w:rPr>
      <w:rFonts w:ascii="Calibri" w:eastAsia="MS Gothic" w:hAnsi="Calibri"/>
      <w:bCs/>
      <w:kern w:val="32"/>
      <w:sz w:val="48"/>
      <w:szCs w:val="32"/>
    </w:rPr>
  </w:style>
  <w:style w:type="paragraph" w:customStyle="1" w:styleId="Allmntstyckeformat">
    <w:name w:val="[Allmänt styckeformat]"/>
    <w:basedOn w:val="Normal"/>
    <w:uiPriority w:val="99"/>
    <w:semiHidden/>
    <w:rsid w:val="001C5FEF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SidfotChar">
    <w:name w:val="Sidfot Char"/>
    <w:link w:val="Sidfot"/>
    <w:uiPriority w:val="99"/>
    <w:rsid w:val="00EE2A56"/>
    <w:rPr>
      <w:rFonts w:ascii="Arial" w:hAnsi="Arial"/>
      <w:color w:val="000000"/>
      <w:sz w:val="12"/>
      <w:szCs w:val="12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AC3FF6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paragraph" w:customStyle="1" w:styleId="FaktarutaLista">
    <w:name w:val="Faktaruta Lista"/>
    <w:uiPriority w:val="5"/>
    <w:semiHidden/>
    <w:qFormat/>
    <w:locked/>
    <w:rsid w:val="00617710"/>
    <w:pPr>
      <w:numPr>
        <w:numId w:val="3"/>
      </w:numPr>
      <w:spacing w:after="40"/>
      <w:ind w:left="357" w:hanging="357"/>
    </w:pPr>
    <w:rPr>
      <w:rFonts w:ascii="Calibri" w:hAnsi="Calibri" w:cs="Calibri"/>
      <w:color w:val="000000"/>
      <w:sz w:val="24"/>
      <w:szCs w:val="24"/>
    </w:rPr>
  </w:style>
  <w:style w:type="character" w:customStyle="1" w:styleId="RubrikChar">
    <w:name w:val="Rubrik Char"/>
    <w:link w:val="Rubrik"/>
    <w:uiPriority w:val="10"/>
    <w:semiHidden/>
    <w:rsid w:val="00F86F47"/>
    <w:rPr>
      <w:rFonts w:ascii="Calibri" w:eastAsia="MS Gothic" w:hAnsi="Calibri"/>
      <w:b/>
      <w:bCs/>
      <w:kern w:val="28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049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0493"/>
    <w:rPr>
      <w:rFonts w:ascii="Lucida Grande" w:hAnsi="Lucida Grande" w:cs="Lucida Grande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9071C"/>
    <w:rPr>
      <w:color w:val="808080"/>
    </w:rPr>
  </w:style>
  <w:style w:type="paragraph" w:customStyle="1" w:styleId="Faktarutarubrik">
    <w:name w:val="Faktaruta rubrik"/>
    <w:basedOn w:val="Rubrik2"/>
    <w:next w:val="FaktarutaLista"/>
    <w:uiPriority w:val="3"/>
    <w:semiHidden/>
    <w:qFormat/>
    <w:locked/>
    <w:rsid w:val="0009062C"/>
    <w:pPr>
      <w:spacing w:before="0"/>
      <w:outlineLvl w:val="2"/>
    </w:pPr>
    <w:rPr>
      <w:bCs w:val="0"/>
    </w:rPr>
  </w:style>
  <w:style w:type="character" w:customStyle="1" w:styleId="Rubrik2Char">
    <w:name w:val="Rubrik 2 Char"/>
    <w:aliases w:val="Rubrik 2 VGR Char"/>
    <w:basedOn w:val="Standardstycketeckensnitt"/>
    <w:link w:val="Rubrik2"/>
    <w:uiPriority w:val="3"/>
    <w:rsid w:val="00627BEA"/>
    <w:rPr>
      <w:rFonts w:asciiTheme="majorHAnsi" w:eastAsiaTheme="majorEastAsia" w:hAnsiTheme="majorHAnsi" w:cstheme="majorBidi"/>
      <w:bCs/>
      <w:color w:val="000000" w:themeColor="text1"/>
      <w:sz w:val="40"/>
      <w:szCs w:val="26"/>
    </w:rPr>
  </w:style>
  <w:style w:type="character" w:customStyle="1" w:styleId="Rubrik3Char">
    <w:name w:val="Rubrik 3 Char"/>
    <w:aliases w:val="Rubrik 3 VGR Char"/>
    <w:basedOn w:val="Standardstycketeckensnitt"/>
    <w:link w:val="Rubrik3"/>
    <w:uiPriority w:val="3"/>
    <w:rsid w:val="00627BEA"/>
    <w:rPr>
      <w:rFonts w:asciiTheme="majorHAnsi" w:eastAsiaTheme="majorEastAsia" w:hAnsiTheme="majorHAnsi" w:cstheme="majorBidi"/>
      <w:bCs/>
      <w:color w:val="000000" w:themeColor="text1"/>
      <w:sz w:val="36"/>
      <w:szCs w:val="24"/>
    </w:rPr>
  </w:style>
  <w:style w:type="character" w:customStyle="1" w:styleId="Rubrik4Char">
    <w:name w:val="Rubrik 4 Char"/>
    <w:aliases w:val="mellanrubrik Char"/>
    <w:basedOn w:val="Standardstycketeckensnitt"/>
    <w:link w:val="Rubrik4"/>
    <w:uiPriority w:val="3"/>
    <w:semiHidden/>
    <w:rsid w:val="00A272CA"/>
    <w:rPr>
      <w:rFonts w:asciiTheme="majorHAnsi" w:eastAsiaTheme="majorEastAsia" w:hAnsiTheme="majorHAnsi" w:cstheme="majorBidi"/>
      <w:b/>
      <w:bCs/>
      <w:iCs/>
      <w:color w:val="000000" w:themeColor="text1"/>
      <w:sz w:val="26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F568B"/>
    <w:rPr>
      <w:rFonts w:asciiTheme="majorHAnsi" w:eastAsiaTheme="majorEastAsia" w:hAnsiTheme="majorHAnsi" w:cstheme="majorBidi"/>
      <w:color w:val="00304B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rsid w:val="00CB1ED7"/>
    <w:pPr>
      <w:tabs>
        <w:tab w:val="num" w:pos="720"/>
      </w:tabs>
      <w:ind w:left="1712" w:hanging="357"/>
      <w:contextualSpacing/>
    </w:pPr>
  </w:style>
  <w:style w:type="paragraph" w:customStyle="1" w:styleId="Normalefterlista">
    <w:name w:val="Normal efter lista"/>
    <w:basedOn w:val="Normal"/>
    <w:next w:val="Normal"/>
    <w:uiPriority w:val="3"/>
    <w:qFormat/>
    <w:rsid w:val="0062184C"/>
    <w:pPr>
      <w:spacing w:before="200"/>
    </w:pPr>
    <w:rPr>
      <w:rFonts w:eastAsia="MS Gothic"/>
    </w:rPr>
  </w:style>
  <w:style w:type="paragraph" w:styleId="Innehll1">
    <w:name w:val="toc 1"/>
    <w:basedOn w:val="Normal"/>
    <w:next w:val="Normal"/>
    <w:autoRedefine/>
    <w:uiPriority w:val="39"/>
    <w:unhideWhenUsed/>
    <w:rsid w:val="00884E7D"/>
    <w:pPr>
      <w:tabs>
        <w:tab w:val="right" w:leader="dot" w:pos="8779"/>
      </w:tabs>
      <w:spacing w:after="0"/>
    </w:pPr>
  </w:style>
  <w:style w:type="paragraph" w:customStyle="1" w:styleId="Omslagsrubrik">
    <w:name w:val="Omslagsrubrik"/>
    <w:basedOn w:val="Normal"/>
    <w:link w:val="OmslagsrubrikChar"/>
    <w:uiPriority w:val="3"/>
    <w:qFormat/>
    <w:rsid w:val="005A627D"/>
    <w:pPr>
      <w:spacing w:after="6000" w:line="240" w:lineRule="auto"/>
    </w:pPr>
    <w:rPr>
      <w:rFonts w:asciiTheme="majorHAnsi" w:hAnsiTheme="majorHAnsi"/>
      <w:sz w:val="72"/>
    </w:rPr>
  </w:style>
  <w:style w:type="character" w:customStyle="1" w:styleId="OmslagsrubrikChar">
    <w:name w:val="Omslagsrubrik Char"/>
    <w:basedOn w:val="Standardstycketeckensnitt"/>
    <w:link w:val="Omslagsrubrik"/>
    <w:uiPriority w:val="3"/>
    <w:rsid w:val="005A627D"/>
    <w:rPr>
      <w:rFonts w:asciiTheme="majorHAnsi" w:hAnsiTheme="majorHAnsi"/>
      <w:sz w:val="72"/>
      <w:szCs w:val="24"/>
    </w:rPr>
  </w:style>
  <w:style w:type="paragraph" w:customStyle="1" w:styleId="Omslagsunderrubrik">
    <w:name w:val="Omslagsunderrubrik"/>
    <w:basedOn w:val="Normal"/>
    <w:link w:val="OmslagsunderrubrikChar"/>
    <w:uiPriority w:val="3"/>
    <w:qFormat/>
    <w:rsid w:val="009533B4"/>
    <w:pPr>
      <w:contextualSpacing/>
    </w:pPr>
    <w:rPr>
      <w:rFonts w:asciiTheme="majorHAnsi" w:hAnsiTheme="majorHAnsi"/>
      <w:sz w:val="32"/>
      <w:szCs w:val="44"/>
    </w:rPr>
  </w:style>
  <w:style w:type="character" w:customStyle="1" w:styleId="OmslagsunderrubrikChar">
    <w:name w:val="Omslagsunderrubrik Char"/>
    <w:basedOn w:val="Standardstycketeckensnitt"/>
    <w:link w:val="Omslagsunderrubrik"/>
    <w:uiPriority w:val="3"/>
    <w:rsid w:val="009533B4"/>
    <w:rPr>
      <w:rFonts w:asciiTheme="majorHAnsi" w:hAnsiTheme="majorHAnsi"/>
      <w:sz w:val="32"/>
      <w:szCs w:val="44"/>
    </w:rPr>
  </w:style>
  <w:style w:type="paragraph" w:styleId="Innehll2">
    <w:name w:val="toc 2"/>
    <w:basedOn w:val="Normal"/>
    <w:next w:val="Normal"/>
    <w:autoRedefine/>
    <w:uiPriority w:val="39"/>
    <w:unhideWhenUsed/>
    <w:rsid w:val="00884E7D"/>
    <w:pPr>
      <w:tabs>
        <w:tab w:val="right" w:leader="dot" w:pos="8777"/>
      </w:tabs>
      <w:spacing w:after="0"/>
      <w:ind w:left="1349"/>
    </w:pPr>
  </w:style>
  <w:style w:type="paragraph" w:styleId="Innehll3">
    <w:name w:val="toc 3"/>
    <w:basedOn w:val="Normal"/>
    <w:next w:val="Normal"/>
    <w:autoRedefine/>
    <w:uiPriority w:val="39"/>
    <w:unhideWhenUsed/>
    <w:rsid w:val="00884E7D"/>
    <w:pPr>
      <w:tabs>
        <w:tab w:val="right" w:leader="dot" w:pos="8777"/>
      </w:tabs>
      <w:spacing w:after="0"/>
      <w:ind w:left="1707"/>
    </w:pPr>
  </w:style>
  <w:style w:type="paragraph" w:styleId="Innehll4">
    <w:name w:val="toc 4"/>
    <w:basedOn w:val="Normal"/>
    <w:next w:val="Normal"/>
    <w:autoRedefine/>
    <w:uiPriority w:val="39"/>
    <w:unhideWhenUsed/>
    <w:rsid w:val="00E61294"/>
    <w:pPr>
      <w:ind w:left="720"/>
    </w:pPr>
  </w:style>
  <w:style w:type="paragraph" w:styleId="Innehll5">
    <w:name w:val="toc 5"/>
    <w:basedOn w:val="Normal"/>
    <w:next w:val="Normal"/>
    <w:autoRedefine/>
    <w:uiPriority w:val="39"/>
    <w:unhideWhenUsed/>
    <w:rsid w:val="00E61294"/>
    <w:pPr>
      <w:ind w:left="960"/>
    </w:pPr>
  </w:style>
  <w:style w:type="paragraph" w:styleId="Innehll6">
    <w:name w:val="toc 6"/>
    <w:basedOn w:val="Normal"/>
    <w:next w:val="Normal"/>
    <w:autoRedefine/>
    <w:uiPriority w:val="39"/>
    <w:unhideWhenUsed/>
    <w:rsid w:val="00E61294"/>
    <w:pPr>
      <w:ind w:left="1200"/>
    </w:pPr>
  </w:style>
  <w:style w:type="paragraph" w:styleId="Innehll7">
    <w:name w:val="toc 7"/>
    <w:basedOn w:val="Normal"/>
    <w:next w:val="Normal"/>
    <w:autoRedefine/>
    <w:uiPriority w:val="39"/>
    <w:unhideWhenUsed/>
    <w:rsid w:val="00E61294"/>
    <w:pPr>
      <w:ind w:left="1440"/>
    </w:pPr>
  </w:style>
  <w:style w:type="paragraph" w:styleId="Innehll8">
    <w:name w:val="toc 8"/>
    <w:basedOn w:val="Normal"/>
    <w:next w:val="Normal"/>
    <w:autoRedefine/>
    <w:uiPriority w:val="39"/>
    <w:unhideWhenUsed/>
    <w:rsid w:val="00E61294"/>
    <w:pPr>
      <w:ind w:left="1680"/>
    </w:pPr>
  </w:style>
  <w:style w:type="paragraph" w:styleId="Innehll9">
    <w:name w:val="toc 9"/>
    <w:basedOn w:val="Normal"/>
    <w:next w:val="Normal"/>
    <w:autoRedefine/>
    <w:uiPriority w:val="39"/>
    <w:unhideWhenUsed/>
    <w:rsid w:val="00E61294"/>
    <w:pPr>
      <w:ind w:left="1920"/>
    </w:pPr>
  </w:style>
  <w:style w:type="paragraph" w:customStyle="1" w:styleId="MellanrubrikVGR">
    <w:name w:val="Mellanrubrik VGR"/>
    <w:basedOn w:val="Normal"/>
    <w:next w:val="Normal"/>
    <w:uiPriority w:val="2"/>
    <w:qFormat/>
    <w:rsid w:val="00F82114"/>
    <w:pPr>
      <w:keepNext/>
      <w:keepLines/>
      <w:widowControl w:val="0"/>
      <w:autoSpaceDE w:val="0"/>
      <w:autoSpaceDN w:val="0"/>
      <w:adjustRightInd w:val="0"/>
      <w:spacing w:before="240" w:after="0"/>
      <w:textAlignment w:val="center"/>
    </w:pPr>
    <w:rPr>
      <w:rFonts w:ascii="Calibri" w:hAnsi="Calibri"/>
      <w:b/>
      <w:color w:val="000000"/>
      <w:sz w:val="26"/>
      <w:szCs w:val="18"/>
    </w:rPr>
  </w:style>
  <w:style w:type="character" w:styleId="Fotnotsreferens">
    <w:name w:val="footnote reference"/>
    <w:basedOn w:val="Standardstycketeckensnitt"/>
    <w:uiPriority w:val="99"/>
    <w:unhideWhenUsed/>
    <w:rsid w:val="00FB5086"/>
    <w:rPr>
      <w:vertAlign w:val="superscript"/>
    </w:rPr>
  </w:style>
  <w:style w:type="paragraph" w:customStyle="1" w:styleId="Formatmall1">
    <w:name w:val="Formatmall1"/>
    <w:basedOn w:val="Normal"/>
    <w:link w:val="Formatmall1Char"/>
    <w:uiPriority w:val="3"/>
    <w:semiHidden/>
    <w:qFormat/>
    <w:locked/>
    <w:rsid w:val="00FB5086"/>
    <w:pPr>
      <w:spacing w:after="0"/>
    </w:pPr>
    <w:rPr>
      <w:sz w:val="20"/>
    </w:rPr>
  </w:style>
  <w:style w:type="character" w:customStyle="1" w:styleId="Formatmall1Char">
    <w:name w:val="Formatmall1 Char"/>
    <w:basedOn w:val="Standardstycketeckensnitt"/>
    <w:link w:val="Formatmall1"/>
    <w:uiPriority w:val="3"/>
    <w:semiHidden/>
    <w:rsid w:val="00A272CA"/>
    <w:rPr>
      <w:szCs w:val="24"/>
    </w:rPr>
  </w:style>
  <w:style w:type="paragraph" w:customStyle="1" w:styleId="FotnotVGR">
    <w:name w:val="Fotnot VGR"/>
    <w:basedOn w:val="Normal"/>
    <w:uiPriority w:val="3"/>
    <w:unhideWhenUsed/>
    <w:qFormat/>
    <w:rsid w:val="00FB5086"/>
    <w:pPr>
      <w:spacing w:after="0"/>
    </w:pPr>
    <w:rPr>
      <w:sz w:val="20"/>
    </w:rPr>
  </w:style>
  <w:style w:type="table" w:styleId="Oformateradtabell2">
    <w:name w:val="Plain Table 2"/>
    <w:basedOn w:val="Normaltabell"/>
    <w:uiPriority w:val="99"/>
    <w:rsid w:val="002E263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A514B7"/>
    <w:rPr>
      <w:color w:val="006298" w:themeColor="hyperlink"/>
      <w:u w:val="single"/>
    </w:rPr>
  </w:style>
  <w:style w:type="table" w:styleId="Tabellrutnt">
    <w:name w:val="Table Grid"/>
    <w:basedOn w:val="Normaltabell"/>
    <w:uiPriority w:val="59"/>
    <w:rsid w:val="00F41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1">
    <w:name w:val="Light List Accent 1"/>
    <w:aliases w:val="VGR tabell blue"/>
    <w:basedOn w:val="Normaltabell"/>
    <w:uiPriority w:val="61"/>
    <w:rsid w:val="00827E69"/>
    <w:rPr>
      <w:sz w:val="24"/>
    </w:rPr>
    <w:tblPr>
      <w:tblStyleRowBandSize w:val="1"/>
      <w:tblStyleColBandSize w:val="1"/>
      <w:tblBorders>
        <w:top w:val="single" w:sz="4" w:space="0" w:color="006298" w:themeColor="accent1"/>
        <w:left w:val="single" w:sz="4" w:space="0" w:color="006298" w:themeColor="accent1"/>
        <w:bottom w:val="single" w:sz="4" w:space="0" w:color="006298" w:themeColor="accent1"/>
        <w:right w:val="single" w:sz="4" w:space="0" w:color="00629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29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</w:tcBorders>
      </w:tcPr>
    </w:tblStylePr>
    <w:tblStylePr w:type="band1Horz">
      <w:tblPr/>
      <w:tcPr>
        <w:tcBorders>
          <w:top w:val="single" w:sz="8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</w:tcBorders>
      </w:tcPr>
    </w:tblStylePr>
  </w:style>
  <w:style w:type="table" w:styleId="Ljustrutnt-dekorfrg6">
    <w:name w:val="Light Grid Accent 6"/>
    <w:basedOn w:val="Normaltabell"/>
    <w:uiPriority w:val="62"/>
    <w:rsid w:val="00397F54"/>
    <w:tblPr>
      <w:tblStyleRowBandSize w:val="1"/>
      <w:tblStyleColBandSize w:val="1"/>
      <w:tblBorders>
        <w:top w:val="single" w:sz="8" w:space="0" w:color="71B2C9" w:themeColor="accent6"/>
        <w:left w:val="single" w:sz="8" w:space="0" w:color="71B2C9" w:themeColor="accent6"/>
        <w:bottom w:val="single" w:sz="8" w:space="0" w:color="71B2C9" w:themeColor="accent6"/>
        <w:right w:val="single" w:sz="8" w:space="0" w:color="71B2C9" w:themeColor="accent6"/>
        <w:insideH w:val="single" w:sz="8" w:space="0" w:color="71B2C9" w:themeColor="accent6"/>
        <w:insideV w:val="single" w:sz="8" w:space="0" w:color="71B2C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B2C9" w:themeColor="accent6"/>
          <w:left w:val="single" w:sz="8" w:space="0" w:color="71B2C9" w:themeColor="accent6"/>
          <w:bottom w:val="single" w:sz="18" w:space="0" w:color="71B2C9" w:themeColor="accent6"/>
          <w:right w:val="single" w:sz="8" w:space="0" w:color="71B2C9" w:themeColor="accent6"/>
          <w:insideH w:val="nil"/>
          <w:insideV w:val="single" w:sz="8" w:space="0" w:color="71B2C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  <w:insideH w:val="nil"/>
          <w:insideV w:val="single" w:sz="8" w:space="0" w:color="71B2C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</w:tcBorders>
      </w:tcPr>
    </w:tblStylePr>
    <w:tblStylePr w:type="band1Vert">
      <w:tblPr/>
      <w:tcPr>
        <w:tcBorders>
          <w:top w:val="single" w:sz="8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</w:tcBorders>
        <w:shd w:val="clear" w:color="auto" w:fill="DBEBF1" w:themeFill="accent6" w:themeFillTint="3F"/>
      </w:tcPr>
    </w:tblStylePr>
    <w:tblStylePr w:type="band1Horz">
      <w:tblPr/>
      <w:tcPr>
        <w:tcBorders>
          <w:top w:val="single" w:sz="8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  <w:insideV w:val="single" w:sz="8" w:space="0" w:color="71B2C9" w:themeColor="accent6"/>
        </w:tcBorders>
        <w:shd w:val="clear" w:color="auto" w:fill="DBEBF1" w:themeFill="accent6" w:themeFillTint="3F"/>
      </w:tcPr>
    </w:tblStylePr>
    <w:tblStylePr w:type="band2Horz">
      <w:tblPr/>
      <w:tcPr>
        <w:tcBorders>
          <w:top w:val="single" w:sz="8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  <w:insideV w:val="single" w:sz="8" w:space="0" w:color="71B2C9" w:themeColor="accent6"/>
        </w:tcBorders>
      </w:tcPr>
    </w:tblStylePr>
  </w:style>
  <w:style w:type="table" w:styleId="Ljustrutnt-dekorfrg1">
    <w:name w:val="Light Grid Accent 1"/>
    <w:basedOn w:val="Normaltabell"/>
    <w:uiPriority w:val="62"/>
    <w:rsid w:val="00397F54"/>
    <w:tblPr>
      <w:tblStyleRowBandSize w:val="1"/>
      <w:tblStyleColBandSize w:val="1"/>
      <w:tblBorders>
        <w:top w:val="single" w:sz="8" w:space="0" w:color="006298" w:themeColor="accent1"/>
        <w:left w:val="single" w:sz="8" w:space="0" w:color="006298" w:themeColor="accent1"/>
        <w:bottom w:val="single" w:sz="8" w:space="0" w:color="006298" w:themeColor="accent1"/>
        <w:right w:val="single" w:sz="8" w:space="0" w:color="006298" w:themeColor="accent1"/>
        <w:insideH w:val="single" w:sz="8" w:space="0" w:color="006298" w:themeColor="accent1"/>
        <w:insideV w:val="single" w:sz="8" w:space="0" w:color="00629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298" w:themeColor="accent1"/>
          <w:left w:val="single" w:sz="8" w:space="0" w:color="006298" w:themeColor="accent1"/>
          <w:bottom w:val="single" w:sz="18" w:space="0" w:color="006298" w:themeColor="accent1"/>
          <w:right w:val="single" w:sz="8" w:space="0" w:color="006298" w:themeColor="accent1"/>
          <w:insideH w:val="nil"/>
          <w:insideV w:val="single" w:sz="8" w:space="0" w:color="00629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  <w:insideH w:val="nil"/>
          <w:insideV w:val="single" w:sz="8" w:space="0" w:color="00629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</w:tcBorders>
      </w:tcPr>
    </w:tblStylePr>
    <w:tblStylePr w:type="band1Vert">
      <w:tblPr/>
      <w:tcPr>
        <w:tcBorders>
          <w:top w:val="single" w:sz="8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</w:tcBorders>
        <w:shd w:val="clear" w:color="auto" w:fill="A6DFFF" w:themeFill="accent1" w:themeFillTint="3F"/>
      </w:tcPr>
    </w:tblStylePr>
    <w:tblStylePr w:type="band1Horz">
      <w:tblPr/>
      <w:tcPr>
        <w:tcBorders>
          <w:top w:val="single" w:sz="8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  <w:insideV w:val="single" w:sz="8" w:space="0" w:color="006298" w:themeColor="accent1"/>
        </w:tcBorders>
        <w:shd w:val="clear" w:color="auto" w:fill="A6DFFF" w:themeFill="accent1" w:themeFillTint="3F"/>
      </w:tcPr>
    </w:tblStylePr>
    <w:tblStylePr w:type="band2Horz">
      <w:tblPr/>
      <w:tcPr>
        <w:tcBorders>
          <w:top w:val="single" w:sz="8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  <w:insideV w:val="single" w:sz="8" w:space="0" w:color="006298" w:themeColor="accent1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397F54"/>
    <w:tblPr>
      <w:tblStyleRowBandSize w:val="1"/>
      <w:tblStyleColBandSize w:val="1"/>
      <w:tblBorders>
        <w:top w:val="single" w:sz="8" w:space="0" w:color="009BF1" w:themeColor="accent1" w:themeTint="BF"/>
        <w:left w:val="single" w:sz="8" w:space="0" w:color="009BF1" w:themeColor="accent1" w:themeTint="BF"/>
        <w:bottom w:val="single" w:sz="8" w:space="0" w:color="009BF1" w:themeColor="accent1" w:themeTint="BF"/>
        <w:right w:val="single" w:sz="8" w:space="0" w:color="009BF1" w:themeColor="accent1" w:themeTint="BF"/>
        <w:insideH w:val="single" w:sz="8" w:space="0" w:color="009BF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BF1" w:themeColor="accent1" w:themeTint="BF"/>
          <w:left w:val="single" w:sz="8" w:space="0" w:color="009BF1" w:themeColor="accent1" w:themeTint="BF"/>
          <w:bottom w:val="single" w:sz="8" w:space="0" w:color="009BF1" w:themeColor="accent1" w:themeTint="BF"/>
          <w:right w:val="single" w:sz="8" w:space="0" w:color="009BF1" w:themeColor="accent1" w:themeTint="BF"/>
          <w:insideH w:val="nil"/>
          <w:insideV w:val="nil"/>
        </w:tcBorders>
        <w:shd w:val="clear" w:color="auto" w:fill="00629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F1" w:themeColor="accent1" w:themeTint="BF"/>
          <w:left w:val="single" w:sz="8" w:space="0" w:color="009BF1" w:themeColor="accent1" w:themeTint="BF"/>
          <w:bottom w:val="single" w:sz="8" w:space="0" w:color="009BF1" w:themeColor="accent1" w:themeTint="BF"/>
          <w:right w:val="single" w:sz="8" w:space="0" w:color="009BF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397F54"/>
    <w:tblPr>
      <w:tblStyleRowBandSize w:val="1"/>
      <w:tblStyleColBandSize w:val="1"/>
      <w:tblBorders>
        <w:top w:val="single" w:sz="8" w:space="0" w:color="94C5D6" w:themeColor="accent6" w:themeTint="BF"/>
        <w:left w:val="single" w:sz="8" w:space="0" w:color="94C5D6" w:themeColor="accent6" w:themeTint="BF"/>
        <w:bottom w:val="single" w:sz="8" w:space="0" w:color="94C5D6" w:themeColor="accent6" w:themeTint="BF"/>
        <w:right w:val="single" w:sz="8" w:space="0" w:color="94C5D6" w:themeColor="accent6" w:themeTint="BF"/>
        <w:insideH w:val="single" w:sz="8" w:space="0" w:color="94C5D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C5D6" w:themeColor="accent6" w:themeTint="BF"/>
          <w:left w:val="single" w:sz="8" w:space="0" w:color="94C5D6" w:themeColor="accent6" w:themeTint="BF"/>
          <w:bottom w:val="single" w:sz="8" w:space="0" w:color="94C5D6" w:themeColor="accent6" w:themeTint="BF"/>
          <w:right w:val="single" w:sz="8" w:space="0" w:color="94C5D6" w:themeColor="accent6" w:themeTint="BF"/>
          <w:insideH w:val="nil"/>
          <w:insideV w:val="nil"/>
        </w:tcBorders>
        <w:shd w:val="clear" w:color="auto" w:fill="71B2C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5D6" w:themeColor="accent6" w:themeTint="BF"/>
          <w:left w:val="single" w:sz="8" w:space="0" w:color="94C5D6" w:themeColor="accent6" w:themeTint="BF"/>
          <w:bottom w:val="single" w:sz="8" w:space="0" w:color="94C5D6" w:themeColor="accent6" w:themeTint="BF"/>
          <w:right w:val="single" w:sz="8" w:space="0" w:color="94C5D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F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F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juslista-dekorfrg6">
    <w:name w:val="Light List Accent 6"/>
    <w:basedOn w:val="Normaltabell"/>
    <w:uiPriority w:val="61"/>
    <w:rsid w:val="00397F54"/>
    <w:tblPr>
      <w:tblStyleRowBandSize w:val="1"/>
      <w:tblStyleColBandSize w:val="1"/>
      <w:tblBorders>
        <w:top w:val="single" w:sz="8" w:space="0" w:color="71B2C9" w:themeColor="accent6"/>
        <w:left w:val="single" w:sz="8" w:space="0" w:color="71B2C9" w:themeColor="accent6"/>
        <w:bottom w:val="single" w:sz="8" w:space="0" w:color="71B2C9" w:themeColor="accent6"/>
        <w:right w:val="single" w:sz="8" w:space="0" w:color="71B2C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B2C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</w:tcBorders>
      </w:tcPr>
    </w:tblStylePr>
    <w:tblStylePr w:type="band1Horz">
      <w:tblPr/>
      <w:tcPr>
        <w:tcBorders>
          <w:top w:val="single" w:sz="8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</w:tcBorders>
      </w:tcPr>
    </w:tblStylePr>
  </w:style>
  <w:style w:type="table" w:styleId="Ljusskuggning-dekorfrg1">
    <w:name w:val="Light Shading Accent 1"/>
    <w:basedOn w:val="Normaltabell"/>
    <w:uiPriority w:val="60"/>
    <w:rsid w:val="00C4115D"/>
    <w:rPr>
      <w:color w:val="004971" w:themeColor="accent1" w:themeShade="BF"/>
    </w:rPr>
    <w:tblPr>
      <w:tblStyleRowBandSize w:val="1"/>
      <w:tblStyleColBandSize w:val="1"/>
      <w:tblBorders>
        <w:top w:val="single" w:sz="8" w:space="0" w:color="006298" w:themeColor="accent1"/>
        <w:bottom w:val="single" w:sz="8" w:space="0" w:color="00629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298" w:themeColor="accent1"/>
          <w:left w:val="nil"/>
          <w:bottom w:val="single" w:sz="8" w:space="0" w:color="00629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298" w:themeColor="accent1"/>
          <w:left w:val="nil"/>
          <w:bottom w:val="single" w:sz="8" w:space="0" w:color="00629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</w:style>
  <w:style w:type="table" w:customStyle="1" w:styleId="VGRtabell">
    <w:name w:val="VGR tabell"/>
    <w:basedOn w:val="Normaltabell"/>
    <w:uiPriority w:val="99"/>
    <w:rsid w:val="00016CF0"/>
    <w:pPr>
      <w:contextualSpacing/>
    </w:pPr>
    <w:rPr>
      <w:rFonts w:asciiTheme="majorHAnsi" w:hAnsiTheme="majorHAnsi"/>
      <w:sz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cPr>
      <w:tcMar>
        <w:top w:w="113" w:type="dxa"/>
        <w:bottom w:w="113" w:type="dxa"/>
      </w:tcMar>
      <w:vAlign w:val="center"/>
    </w:tcPr>
    <w:tblStylePr w:type="firstRow">
      <w:rPr>
        <w:rFonts w:asciiTheme="majorHAnsi" w:hAnsiTheme="majorHAnsi"/>
        <w:b/>
        <w:bCs/>
        <w:sz w:val="24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99"/>
    <w:rsid w:val="008E682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abellrubrik">
    <w:name w:val="Tabellrubrik"/>
    <w:basedOn w:val="Normal"/>
    <w:uiPriority w:val="3"/>
    <w:semiHidden/>
    <w:qFormat/>
    <w:rsid w:val="00B33FDD"/>
    <w:pPr>
      <w:spacing w:line="240" w:lineRule="auto"/>
    </w:pPr>
    <w:rPr>
      <w:rFonts w:asciiTheme="majorHAnsi" w:hAnsiTheme="majorHAnsi"/>
      <w:bCs/>
      <w:color w:val="000000" w:themeColor="text1"/>
    </w:rPr>
  </w:style>
  <w:style w:type="paragraph" w:styleId="Punktlista">
    <w:name w:val="List Bullet"/>
    <w:basedOn w:val="Normal"/>
    <w:unhideWhenUsed/>
    <w:qFormat/>
    <w:rsid w:val="004E3B90"/>
    <w:pPr>
      <w:numPr>
        <w:numId w:val="8"/>
      </w:numPr>
      <w:tabs>
        <w:tab w:val="left" w:pos="1349"/>
      </w:tabs>
      <w:ind w:left="1349" w:hanging="357"/>
      <w:contextualSpacing/>
    </w:pPr>
  </w:style>
  <w:style w:type="table" w:styleId="Oformateradtabell3">
    <w:name w:val="Plain Table 3"/>
    <w:basedOn w:val="Normaltabell"/>
    <w:uiPriority w:val="99"/>
    <w:rsid w:val="002E263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99"/>
    <w:rsid w:val="002E263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skrivning">
    <w:name w:val="caption"/>
    <w:basedOn w:val="Normal"/>
    <w:next w:val="Normal"/>
    <w:uiPriority w:val="35"/>
    <w:unhideWhenUsed/>
    <w:qFormat/>
    <w:rsid w:val="00404948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133A0F"/>
    <w:rPr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704D1"/>
    <w:rPr>
      <w:rFonts w:asciiTheme="majorHAnsi" w:eastAsiaTheme="majorEastAsia" w:hAnsiTheme="majorHAnsi" w:cstheme="majorBidi"/>
      <w:color w:val="00304B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704D1"/>
    <w:rPr>
      <w:rFonts w:asciiTheme="majorHAnsi" w:eastAsiaTheme="majorEastAsia" w:hAnsiTheme="majorHAnsi" w:cstheme="majorBidi"/>
      <w:i/>
      <w:iCs/>
      <w:color w:val="00304B" w:themeColor="accent1" w:themeShade="7F"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704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unktlista2">
    <w:name w:val="List Bullet 2"/>
    <w:basedOn w:val="Normal"/>
    <w:uiPriority w:val="99"/>
    <w:semiHidden/>
    <w:unhideWhenUsed/>
    <w:rsid w:val="00A704D1"/>
    <w:pPr>
      <w:tabs>
        <w:tab w:val="num" w:pos="720"/>
      </w:tabs>
      <w:ind w:left="720" w:hanging="720"/>
      <w:contextualSpacing/>
    </w:pPr>
  </w:style>
  <w:style w:type="paragraph" w:customStyle="1" w:styleId="a">
    <w:next w:val="Numreradlista"/>
    <w:rsid w:val="00A704D1"/>
    <w:pPr>
      <w:tabs>
        <w:tab w:val="num" w:pos="3036"/>
      </w:tabs>
      <w:spacing w:after="80"/>
      <w:ind w:left="3033" w:hanging="357"/>
    </w:pPr>
    <w:rPr>
      <w:sz w:val="24"/>
    </w:rPr>
  </w:style>
  <w:style w:type="paragraph" w:styleId="Numreradlista">
    <w:name w:val="List Number"/>
    <w:basedOn w:val="Normal"/>
    <w:uiPriority w:val="99"/>
    <w:semiHidden/>
    <w:unhideWhenUsed/>
    <w:rsid w:val="00A704D1"/>
    <w:pPr>
      <w:tabs>
        <w:tab w:val="num" w:pos="720"/>
      </w:tabs>
      <w:ind w:left="720" w:hanging="720"/>
      <w:contextualSpacing/>
    </w:pPr>
  </w:style>
  <w:style w:type="paragraph" w:customStyle="1" w:styleId="Punktlistaunderliggande">
    <w:name w:val="Punktlista underliggande"/>
    <w:qFormat/>
    <w:rsid w:val="004E3B90"/>
    <w:pPr>
      <w:numPr>
        <w:numId w:val="1"/>
      </w:numPr>
      <w:tabs>
        <w:tab w:val="left" w:pos="1707"/>
      </w:tabs>
      <w:overflowPunct w:val="0"/>
      <w:autoSpaceDE w:val="0"/>
      <w:autoSpaceDN w:val="0"/>
      <w:adjustRightInd w:val="0"/>
      <w:spacing w:after="120" w:line="288" w:lineRule="auto"/>
      <w:ind w:right="868"/>
      <w:contextualSpacing/>
      <w:textAlignment w:val="baseline"/>
    </w:pPr>
    <w:rPr>
      <w:sz w:val="24"/>
    </w:rPr>
  </w:style>
  <w:style w:type="paragraph" w:styleId="Underrubrik">
    <w:name w:val="Subtitle"/>
    <w:basedOn w:val="Normal"/>
    <w:next w:val="Normal"/>
    <w:link w:val="UnderrubrikChar"/>
    <w:qFormat/>
    <w:rsid w:val="00464C9A"/>
    <w:pPr>
      <w:numPr>
        <w:ilvl w:val="1"/>
      </w:numPr>
      <w:spacing w:before="120" w:after="20"/>
      <w:ind w:left="992"/>
    </w:pPr>
    <w:rPr>
      <w:rFonts w:ascii="Calibri" w:eastAsiaTheme="minorEastAsia" w:hAnsi="Calibri" w:cstheme="minorBidi"/>
      <w:b/>
      <w:color w:val="0D0D0D" w:themeColor="text1" w:themeTint="F2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464C9A"/>
    <w:rPr>
      <w:rFonts w:ascii="Calibri" w:eastAsiaTheme="minorEastAsia" w:hAnsi="Calibri" w:cstheme="minorBidi"/>
      <w:b/>
      <w:color w:val="0D0D0D" w:themeColor="text1" w:themeTint="F2"/>
      <w:sz w:val="22"/>
      <w:szCs w:val="22"/>
    </w:rPr>
  </w:style>
  <w:style w:type="paragraph" w:customStyle="1" w:styleId="Normalmedindrag">
    <w:name w:val="Normal med indrag"/>
    <w:qFormat/>
    <w:rsid w:val="00AF5BD1"/>
    <w:pPr>
      <w:spacing w:after="120" w:line="288" w:lineRule="auto"/>
      <w:ind w:left="1349" w:right="868"/>
    </w:pPr>
    <w:rPr>
      <w:sz w:val="24"/>
      <w:szCs w:val="24"/>
    </w:rPr>
  </w:style>
  <w:style w:type="paragraph" w:customStyle="1" w:styleId="Puntklistanumrerad">
    <w:name w:val="Puntklista numrerad"/>
    <w:qFormat/>
    <w:rsid w:val="006818EA"/>
    <w:pPr>
      <w:numPr>
        <w:numId w:val="2"/>
      </w:numPr>
      <w:tabs>
        <w:tab w:val="left" w:pos="1349"/>
      </w:tabs>
      <w:overflowPunct w:val="0"/>
      <w:autoSpaceDE w:val="0"/>
      <w:autoSpaceDN w:val="0"/>
      <w:adjustRightInd w:val="0"/>
      <w:spacing w:after="120" w:line="288" w:lineRule="auto"/>
      <w:ind w:right="868"/>
      <w:contextualSpacing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hyperlink" Target="http://www.fass.se" TargetMode="External" Id="rId18" /><Relationship Type="http://schemas.openxmlformats.org/officeDocument/2006/relationships/hyperlink" Target="http://www.fass.se" TargetMode="External" Id="rId21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hyperlink" Target="https://mellanarkiv-offentlig.vgregion.se/alfresco/s/archive/stream/public/v1/source/available/SOFIA/SAS9642-738863596-382/SURROGATE/Pradaxa%20-%20effektreversering%20med%20idarucizumab%20(Praxbind)%20(VGR).pdf" TargetMode="External" Id="rId17" /><Relationship Type="http://schemas.openxmlformats.org/officeDocument/2006/relationships/footer" Target="footer3.xml" Id="rId16" /><Relationship Type="http://schemas.openxmlformats.org/officeDocument/2006/relationships/hyperlink" Target="https://www.janusinfo.se/ovrigt/sokresultat.4.7e3d365215ec824586442ddb.html?query=Orala+antitrombotiska+l%C3%A4kemedel+vid+bl%C3%B6dning+och+inf%C3%B6r+kirurgi&amp;submitButton" TargetMode="External" Id="rId20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theme" Target="theme/theme1.xml" Id="rId24" /><Relationship Type="http://schemas.openxmlformats.org/officeDocument/2006/relationships/header" Target="header2.xml" Id="rId15" /><Relationship Type="http://schemas.openxmlformats.org/officeDocument/2006/relationships/fontTable" Target="fontTable.xml" Id="rId23" /><Relationship Type="http://schemas.openxmlformats.org/officeDocument/2006/relationships/footnotes" Target="footnotes.xml" Id="rId10" /><Relationship Type="http://schemas.openxmlformats.org/officeDocument/2006/relationships/hyperlink" Target="http://www.ssth.se/" TargetMode="External" Id="rId19" /><Relationship Type="http://schemas.openxmlformats.org/officeDocument/2006/relationships/webSettings" Target="webSettings.xml" Id="rId9" /><Relationship Type="http://schemas.openxmlformats.org/officeDocument/2006/relationships/footer" Target="footer2.xml" Id="rId14" /><Relationship Type="http://schemas.openxmlformats.org/officeDocument/2006/relationships/hyperlink" Target="https://mellanarkiv-offentlig.vgregion.se/alfresco/s/archive/stream/public/v1/source/available/SOFIA/SAS9642-738863596-382/SURROGATE/Pradaxa%20-%20effektreversering%20med%20idarucizumab%20(Praxbind)%20(VGR).pdf" TargetMode="External" Id="rId22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an2\Downloads\Dok_med_omslag_sd_red.dotx" TargetMode="External"/></Relationships>
</file>

<file path=word/theme/theme1.xml><?xml version="1.0" encoding="utf-8"?>
<a:theme xmlns:a="http://schemas.openxmlformats.org/drawingml/2006/main" name="Office-tema">
  <a:themeElements>
    <a:clrScheme name="VG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6298"/>
      </a:accent1>
      <a:accent2>
        <a:srgbClr val="367B1E"/>
      </a:accent2>
      <a:accent3>
        <a:srgbClr val="F2A900"/>
      </a:accent3>
      <a:accent4>
        <a:srgbClr val="9EA2A2"/>
      </a:accent4>
      <a:accent5>
        <a:srgbClr val="9D2235"/>
      </a:accent5>
      <a:accent6>
        <a:srgbClr val="71B2C9"/>
      </a:accent6>
      <a:hlink>
        <a:srgbClr val="006298"/>
      </a:hlink>
      <a:folHlink>
        <a:srgbClr val="9EA2A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Dok_med_omslag_sd_red</Template>
  <TotalTime>6</TotalTime>
  <Pages>5</Pages>
  <Words>686</Words>
  <Characters>6838</Characters>
  <Application>Microsoft Office Word</Application>
  <DocSecurity>0</DocSecurity>
  <Lines>56</Lines>
  <Paragraphs>15</Paragraphs>
  <ScaleCrop>false</ScaleCrop>
  <Manager/>
  <Company/>
  <LinksUpToDate>false</LinksUpToDate>
  <CharactersWithSpaces>7509</CharactersWithSpaces>
  <SharedDoc>false</SharedDoc>
  <HyperlinkBase/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Antikoagulantia och/eller trombocythämmare vid akut-halvakut kirurgi inom 24 timmar</dc:title>
  <dc:subject/>
  <dc:creator>patrik.jens.johansson@vgregion.se</dc:creator>
  <keywords/>
  <lastModifiedBy>Karin Åhlin</lastModifiedBy>
  <revision>29</revision>
  <lastPrinted>2016-03-31T10:56:00.0000000Z</lastPrinted>
  <dcterms:created xsi:type="dcterms:W3CDTF">2022-03-28T05:06:00.0000000Z</dcterms:created>
  <dcterms:modified xsi:type="dcterms:W3CDTF">2023-05-15T14:30:00.0000000Z</dcterms:modified>
</coreProperties>
</file>