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D09254" w14:textId="77777777" w:rsidR="00D3724A" w:rsidRPr="00D3724A" w:rsidRDefault="00D3724A" w:rsidP="00AB3DFB">
      <w:pPr>
        <w:pStyle w:val="Rubrik1"/>
      </w:pPr>
      <w:bookmarkStart w:id="0" w:name="_Toc321146591"/>
      <w:r w:rsidRPr="00D3724A">
        <w:t>Antikoagulantia och trombocythämmare, tillfällig utsättning inför elektiv operation</w:t>
      </w:r>
    </w:p>
    <w:p w14:paraId="4C8A60A7" w14:textId="77777777" w:rsidR="00D3724A" w:rsidRPr="00D3724A" w:rsidRDefault="00D3724A" w:rsidP="00AB3DFB">
      <w:pPr>
        <w:pStyle w:val="Rubrik2"/>
      </w:pPr>
      <w:bookmarkStart w:id="1" w:name="_Toc433703282"/>
      <w:bookmarkStart w:id="2" w:name="_Toc438112314"/>
      <w:bookmarkStart w:id="3" w:name="_Toc256000000"/>
      <w:bookmarkStart w:id="4" w:name="_Toc256000014"/>
      <w:bookmarkStart w:id="5" w:name="_Toc256000028"/>
      <w:bookmarkStart w:id="6" w:name="_Toc256000042"/>
      <w:bookmarkStart w:id="7" w:name="_Toc256000056"/>
      <w:bookmarkStart w:id="8" w:name="_Toc256000070"/>
      <w:bookmarkStart w:id="9" w:name="_Toc256000084"/>
      <w:bookmarkStart w:id="10" w:name="_Toc256000098"/>
      <w:bookmarkStart w:id="11" w:name="_Toc256000112"/>
      <w:bookmarkStart w:id="12" w:name="_Toc96594816"/>
      <w:bookmarkStart w:id="13" w:name="_Toc256000126"/>
      <w:bookmarkStart w:id="14" w:name="_Toc194326810"/>
      <w:r w:rsidRPr="00D3724A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14:paraId="73AAD316" w14:textId="77777777" w:rsidR="00D3724A" w:rsidRPr="00220DF8" w:rsidRDefault="00D3724A" w:rsidP="00E56E52">
      <w:pPr>
        <w:rPr>
          <w:rFonts w:eastAsia="Arial"/>
        </w:rPr>
      </w:pPr>
      <w:r w:rsidRPr="35A3DCE9">
        <w:rPr>
          <w:rFonts w:eastAsia="Arial"/>
        </w:rPr>
        <w:t>Riktlinjen beskriver handläggning vid tillfällig utsättning av antikoagulantia och trombocythämmare inför elektiv operation.</w:t>
      </w:r>
    </w:p>
    <w:p w14:paraId="43F8EA9B" w14:textId="7E8D2173" w:rsidR="00AB3DFB" w:rsidRPr="0081531B" w:rsidRDefault="00AB3DFB" w:rsidP="0081531B">
      <w:pPr>
        <w:pStyle w:val="Rubrik2"/>
      </w:pPr>
      <w:bookmarkStart w:id="15" w:name="_Toc194326811"/>
      <w:r w:rsidRPr="0081531B">
        <w:t>Förändringar sedan föregående version</w:t>
      </w:r>
      <w:bookmarkEnd w:id="15"/>
    </w:p>
    <w:p w14:paraId="7A9B0004" w14:textId="442EDDAA" w:rsidR="00D3724A" w:rsidRPr="00AB3DFB" w:rsidRDefault="31398708" w:rsidP="0081531B">
      <w:pPr>
        <w:rPr>
          <w:rFonts w:eastAsia="Arial"/>
        </w:rPr>
      </w:pPr>
      <w:r w:rsidRPr="35A3DCE9">
        <w:rPr>
          <w:rFonts w:eastAsia="Arial"/>
        </w:rPr>
        <w:t>Förändrad i sin helhet i syfte att följa aktuella nationella riktlinjer. Länkar till nationella riktlinjer</w:t>
      </w:r>
      <w:r w:rsidR="7A53D7E4" w:rsidRPr="35A3DCE9">
        <w:rPr>
          <w:rFonts w:eastAsia="Arial"/>
        </w:rPr>
        <w:t xml:space="preserve"> har infogats.</w:t>
      </w:r>
    </w:p>
    <w:p w14:paraId="0415DDA9" w14:textId="6C6CB4B3" w:rsidR="00180DC0" w:rsidRPr="00180DC0" w:rsidRDefault="00D3724A" w:rsidP="35A3DCE9">
      <w:pPr>
        <w:spacing w:before="360" w:after="40"/>
        <w:rPr>
          <w:rFonts w:ascii="Verdana" w:hAnsi="Verdana" w:cstheme="majorBidi"/>
          <w:sz w:val="28"/>
          <w:szCs w:val="28"/>
        </w:rPr>
      </w:pPr>
      <w:r w:rsidRPr="0081531B">
        <w:rPr>
          <w:rFonts w:ascii="Verdana" w:hAnsi="Verdana" w:cstheme="majorBidi"/>
          <w:sz w:val="28"/>
          <w:szCs w:val="28"/>
        </w:rPr>
        <w:t>Innehållsförteckning</w:t>
      </w:r>
    </w:p>
    <w:bookmarkStart w:id="16" w:name="_Toc433703283"/>
    <w:bookmarkStart w:id="17" w:name="_Toc438112315"/>
    <w:bookmarkStart w:id="18" w:name="_Toc256000001"/>
    <w:bookmarkStart w:id="19" w:name="_Toc256000015"/>
    <w:bookmarkStart w:id="20" w:name="_Toc256000029"/>
    <w:bookmarkStart w:id="21" w:name="_Toc256000043"/>
    <w:bookmarkStart w:id="22" w:name="_Toc256000057"/>
    <w:bookmarkStart w:id="23" w:name="_Toc256000071"/>
    <w:bookmarkStart w:id="24" w:name="_Toc256000085"/>
    <w:bookmarkStart w:id="25" w:name="_Toc256000099"/>
    <w:bookmarkStart w:id="26" w:name="_Toc256000113"/>
    <w:bookmarkStart w:id="27" w:name="_Toc96594817"/>
    <w:bookmarkStart w:id="28" w:name="_Toc256000127"/>
    <w:p w14:paraId="4A17E632" w14:textId="4A0F5C90" w:rsidR="002A4E0B" w:rsidRDefault="00220DF8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bCs/>
          <w:noProof/>
          <w:color w:val="0000FF"/>
          <w:sz w:val="22"/>
          <w:szCs w:val="32"/>
        </w:rPr>
        <w:fldChar w:fldCharType="separate"/>
      </w:r>
      <w:hyperlink w:anchor="_Toc194326810" w:history="1">
        <w:r w:rsidR="002A4E0B" w:rsidRPr="00FF4B4B">
          <w:rPr>
            <w:rStyle w:val="Hyperlnk"/>
            <w:rFonts w:eastAsia="MS Gothic"/>
            <w:noProof/>
          </w:rPr>
          <w:t>Sammanfattning</w:t>
        </w:r>
        <w:r w:rsidR="002A4E0B">
          <w:rPr>
            <w:noProof/>
            <w:webHidden/>
          </w:rPr>
          <w:tab/>
        </w:r>
        <w:r w:rsidR="002A4E0B">
          <w:rPr>
            <w:noProof/>
            <w:webHidden/>
          </w:rPr>
          <w:fldChar w:fldCharType="begin"/>
        </w:r>
        <w:r w:rsidR="002A4E0B">
          <w:rPr>
            <w:noProof/>
            <w:webHidden/>
          </w:rPr>
          <w:instrText xml:space="preserve"> PAGEREF _Toc194326810 \h </w:instrText>
        </w:r>
        <w:r w:rsidR="002A4E0B">
          <w:rPr>
            <w:noProof/>
            <w:webHidden/>
          </w:rPr>
        </w:r>
        <w:r w:rsidR="002A4E0B">
          <w:rPr>
            <w:noProof/>
            <w:webHidden/>
          </w:rPr>
          <w:fldChar w:fldCharType="separate"/>
        </w:r>
        <w:r w:rsidR="002A4E0B">
          <w:rPr>
            <w:noProof/>
            <w:webHidden/>
          </w:rPr>
          <w:t>1</w:t>
        </w:r>
        <w:r w:rsidR="002A4E0B">
          <w:rPr>
            <w:noProof/>
            <w:webHidden/>
          </w:rPr>
          <w:fldChar w:fldCharType="end"/>
        </w:r>
      </w:hyperlink>
    </w:p>
    <w:p w14:paraId="11E6E6FB" w14:textId="1C098CB4" w:rsidR="002A4E0B" w:rsidRDefault="002A4E0B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11" w:history="1">
        <w:r w:rsidRPr="00FF4B4B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237E45A" w14:textId="0A0E6928" w:rsidR="002A4E0B" w:rsidRDefault="002A4E0B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12" w:history="1">
        <w:r w:rsidRPr="00FF4B4B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540413E" w14:textId="578D723C" w:rsidR="002A4E0B" w:rsidRDefault="002A4E0B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13" w:history="1">
        <w:r w:rsidRPr="00FF4B4B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D139441" w14:textId="4EBBE5CD" w:rsidR="002A4E0B" w:rsidRDefault="002A4E0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14" w:history="1">
        <w:r w:rsidRPr="00FF4B4B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32B6C4F" w14:textId="61E3103A" w:rsidR="002A4E0B" w:rsidRDefault="002A4E0B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15" w:history="1">
        <w:r w:rsidRPr="00FF4B4B">
          <w:rPr>
            <w:rStyle w:val="Hyperlnk"/>
            <w:rFonts w:eastAsia="MS Gothic"/>
            <w:noProof/>
          </w:rPr>
          <w:t>Antikoagulantia och operatörens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3E705B7" w14:textId="0A99C56E" w:rsidR="002A4E0B" w:rsidRDefault="002A4E0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16" w:history="1">
        <w:r w:rsidRPr="00FF4B4B">
          <w:rPr>
            <w:rStyle w:val="Hyperlnk"/>
            <w:rFonts w:eastAsia="MS Gothic"/>
            <w:noProof/>
          </w:rPr>
          <w:t>Preparat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0D3105B" w14:textId="763D54CF" w:rsidR="002A4E0B" w:rsidRDefault="002A4E0B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17" w:history="1">
        <w:r w:rsidRPr="00FF4B4B">
          <w:rPr>
            <w:rStyle w:val="Hyperlnk"/>
            <w:rFonts w:eastAsia="MS Gothic"/>
            <w:noProof/>
          </w:rPr>
          <w:t>Antikoagulantia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C27227E" w14:textId="666B5CB1" w:rsidR="002A4E0B" w:rsidRDefault="002A4E0B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18" w:history="1">
        <w:r w:rsidRPr="00FF4B4B">
          <w:rPr>
            <w:rStyle w:val="Hyperlnk"/>
            <w:rFonts w:eastAsia="MS Gothic"/>
            <w:noProof/>
          </w:rPr>
          <w:t>Trombocythämmare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462EE6D" w14:textId="5A694ADC" w:rsidR="002A4E0B" w:rsidRDefault="002A4E0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19" w:history="1">
        <w:r w:rsidRPr="00FF4B4B">
          <w:rPr>
            <w:rStyle w:val="Hyperlnk"/>
            <w:rFonts w:eastAsia="MS Gothic"/>
            <w:noProof/>
          </w:rPr>
          <w:t>Värdera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2619D57" w14:textId="04AAF38B" w:rsidR="002A4E0B" w:rsidRDefault="002A4E0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20" w:history="1">
        <w:r w:rsidRPr="00FF4B4B">
          <w:rPr>
            <w:rStyle w:val="Hyperlnk"/>
            <w:rFonts w:eastAsia="MS Gothic"/>
            <w:noProof/>
          </w:rPr>
          <w:t>Waran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5DE1954" w14:textId="2A98E810" w:rsidR="002A4E0B" w:rsidRDefault="002A4E0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21" w:history="1">
        <w:r w:rsidRPr="00FF4B4B">
          <w:rPr>
            <w:rStyle w:val="Hyperlnk"/>
            <w:rFonts w:eastAsia="MS Gothic"/>
            <w:noProof/>
          </w:rPr>
          <w:t>LMH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47E75C5" w14:textId="0A4B1C61" w:rsidR="002A4E0B" w:rsidRDefault="002A4E0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22" w:history="1">
        <w:r w:rsidRPr="00FF4B4B">
          <w:rPr>
            <w:rStyle w:val="Hyperlnk"/>
            <w:rFonts w:eastAsia="MS Gothic"/>
            <w:noProof/>
          </w:rPr>
          <w:t>NOAK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278E0A2" w14:textId="2414E67A" w:rsidR="002A4E0B" w:rsidRDefault="002A4E0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23" w:history="1">
        <w:r w:rsidRPr="00FF4B4B">
          <w:rPr>
            <w:rStyle w:val="Hyperlnk"/>
            <w:rFonts w:eastAsia="MS Gothic"/>
            <w:noProof/>
          </w:rPr>
          <w:t>Trombocythämmare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24E6711" w14:textId="6E29396D" w:rsidR="002A4E0B" w:rsidRDefault="002A4E0B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24" w:history="1">
        <w:r w:rsidRPr="00FF4B4B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4D4C433" w14:textId="14885A68" w:rsidR="002A4E0B" w:rsidRDefault="002A4E0B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4326825" w:history="1">
        <w:r w:rsidRPr="00FF4B4B">
          <w:rPr>
            <w:rStyle w:val="Hyperl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_Toc194326825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5291FA3" w14:textId="0177CE3E" w:rsidR="00D3724A" w:rsidRPr="00D3724A" w:rsidRDefault="00220DF8" w:rsidP="00766DD1">
      <w:pPr>
        <w:pStyle w:val="Rubrik2"/>
        <w:spacing w:before="360"/>
      </w:pPr>
      <w:r>
        <w:rPr>
          <w:rFonts w:ascii="Arial" w:eastAsia="Times New Roman" w:hAnsi="Arial" w:cs="Times New Roman"/>
          <w:bCs w:val="0"/>
          <w:noProof/>
          <w:color w:val="0000FF"/>
          <w:sz w:val="22"/>
          <w:szCs w:val="32"/>
          <w:u w:val="single"/>
        </w:rPr>
        <w:fldChar w:fldCharType="end"/>
      </w:r>
      <w:bookmarkStart w:id="29" w:name="_Toc194326812"/>
      <w:r w:rsidR="00D3724A" w:rsidRPr="00D3724A">
        <w:t>Bakgrund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14:paraId="05AF88DC" w14:textId="01F713E4" w:rsidR="00D3724A" w:rsidRPr="00D3724A" w:rsidRDefault="00D3724A" w:rsidP="00BA7CB8">
      <w:pPr>
        <w:ind w:right="707"/>
        <w:rPr>
          <w:rFonts w:eastAsia="Arial"/>
        </w:rPr>
      </w:pPr>
      <w:r w:rsidRPr="35A3DCE9">
        <w:rPr>
          <w:rFonts w:eastAsia="Arial"/>
        </w:rPr>
        <w:t>Riktlinjen baseras på kliniska råd för behandling med nya perorala antikoagulantia sammanställda av Svenska Sällskapet för Trombos och Hemostas [</w:t>
      </w:r>
      <w:proofErr w:type="gramStart"/>
      <w:r w:rsidRPr="35A3DCE9">
        <w:rPr>
          <w:rFonts w:eastAsia="Arial"/>
        </w:rPr>
        <w:t>1</w:t>
      </w:r>
      <w:r w:rsidR="3E89EACF" w:rsidRPr="35A3DCE9">
        <w:rPr>
          <w:rFonts w:eastAsia="Arial"/>
        </w:rPr>
        <w:t>-2</w:t>
      </w:r>
      <w:proofErr w:type="gramEnd"/>
      <w:r w:rsidRPr="35A3DCE9">
        <w:rPr>
          <w:rFonts w:eastAsia="Arial"/>
        </w:rPr>
        <w:t>]</w:t>
      </w:r>
      <w:r w:rsidR="30807F36" w:rsidRPr="35A3DCE9">
        <w:rPr>
          <w:rFonts w:eastAsia="Arial"/>
        </w:rPr>
        <w:t>.</w:t>
      </w:r>
      <w:r w:rsidR="5A04904D" w:rsidRPr="35A3DCE9">
        <w:rPr>
          <w:rFonts w:eastAsia="Arial"/>
        </w:rPr>
        <w:t xml:space="preserve"> Även Janusinfo har </w:t>
      </w:r>
      <w:r w:rsidR="2CC8F616" w:rsidRPr="35A3DCE9">
        <w:rPr>
          <w:rFonts w:eastAsia="Arial"/>
        </w:rPr>
        <w:t>bra information [3</w:t>
      </w:r>
      <w:r w:rsidR="5554FFB1" w:rsidRPr="35A3DCE9">
        <w:rPr>
          <w:rFonts w:eastAsia="Arial"/>
        </w:rPr>
        <w:t>].</w:t>
      </w:r>
    </w:p>
    <w:p w14:paraId="479FA99E" w14:textId="77777777" w:rsidR="00D3724A" w:rsidRPr="00D3724A" w:rsidRDefault="00D3724A" w:rsidP="00AB3DFB">
      <w:pPr>
        <w:pStyle w:val="Rubrik2"/>
      </w:pPr>
      <w:bookmarkStart w:id="30" w:name="_Toc433703284"/>
      <w:bookmarkStart w:id="31" w:name="_Toc438112316"/>
      <w:bookmarkStart w:id="32" w:name="_Toc256000002"/>
      <w:bookmarkStart w:id="33" w:name="_Toc256000016"/>
      <w:bookmarkStart w:id="34" w:name="_Toc256000030"/>
      <w:bookmarkStart w:id="35" w:name="_Toc256000044"/>
      <w:bookmarkStart w:id="36" w:name="_Toc256000058"/>
      <w:bookmarkStart w:id="37" w:name="_Toc256000072"/>
      <w:bookmarkStart w:id="38" w:name="_Toc256000086"/>
      <w:bookmarkStart w:id="39" w:name="_Toc256000100"/>
      <w:bookmarkStart w:id="40" w:name="_Toc256000114"/>
      <w:bookmarkStart w:id="41" w:name="_Toc96594818"/>
      <w:bookmarkStart w:id="42" w:name="_Toc256000128"/>
      <w:bookmarkStart w:id="43" w:name="_Toc194326813"/>
      <w:r w:rsidRPr="00D3724A">
        <w:t>Förutsättningar</w:t>
      </w:r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14:paraId="533ADAA1" w14:textId="77777777" w:rsidR="00D3724A" w:rsidRPr="00D3724A" w:rsidRDefault="00D3724A" w:rsidP="00901192">
      <w:pPr>
        <w:pStyle w:val="Rubrik3"/>
        <w:spacing w:before="120"/>
      </w:pPr>
      <w:bookmarkStart w:id="44" w:name="_Toc430867188"/>
      <w:bookmarkStart w:id="45" w:name="_Toc433703285"/>
      <w:bookmarkStart w:id="46" w:name="_Toc438112317"/>
      <w:bookmarkStart w:id="47" w:name="_Toc256000003"/>
      <w:bookmarkStart w:id="48" w:name="_Toc256000017"/>
      <w:bookmarkStart w:id="49" w:name="_Toc256000031"/>
      <w:bookmarkStart w:id="50" w:name="_Toc256000045"/>
      <w:bookmarkStart w:id="51" w:name="_Toc256000059"/>
      <w:bookmarkStart w:id="52" w:name="_Toc256000073"/>
      <w:bookmarkStart w:id="53" w:name="_Toc256000087"/>
      <w:bookmarkStart w:id="54" w:name="_Toc256000101"/>
      <w:bookmarkStart w:id="55" w:name="_Toc256000115"/>
      <w:bookmarkStart w:id="56" w:name="_Toc96594819"/>
      <w:bookmarkStart w:id="57" w:name="_Toc256000129"/>
      <w:bookmarkStart w:id="58" w:name="_Toc194326814"/>
      <w:r w:rsidRPr="00D3724A">
        <w:t>Ansvar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 w14:paraId="13E2303A" w14:textId="77777777" w:rsidR="00D3724A" w:rsidRPr="00D3724A" w:rsidRDefault="00D3724A" w:rsidP="00901192">
      <w:pPr>
        <w:pStyle w:val="MellanrubrikVGR"/>
        <w:spacing w:before="120"/>
      </w:pPr>
      <w:bookmarkStart w:id="59" w:name="_Toc433703286"/>
      <w:bookmarkStart w:id="60" w:name="_Toc438112318"/>
      <w:bookmarkStart w:id="61" w:name="_Toc256000004"/>
      <w:bookmarkStart w:id="62" w:name="_Toc256000018"/>
      <w:bookmarkStart w:id="63" w:name="_Toc256000032"/>
      <w:bookmarkStart w:id="64" w:name="_Toc256000046"/>
      <w:bookmarkStart w:id="65" w:name="_Toc256000060"/>
      <w:bookmarkStart w:id="66" w:name="_Toc256000074"/>
      <w:bookmarkStart w:id="67" w:name="_Toc256000088"/>
      <w:bookmarkStart w:id="68" w:name="_Toc256000102"/>
      <w:bookmarkStart w:id="69" w:name="_Toc256000116"/>
      <w:bookmarkStart w:id="70" w:name="_Toc96594820"/>
      <w:bookmarkStart w:id="71" w:name="_Toc256000130"/>
      <w:bookmarkStart w:id="72" w:name="_Toc194326815"/>
      <w:r w:rsidRPr="00D3724A">
        <w:t>Antikoagulantia och operatörens ansvar</w:t>
      </w:r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</w:p>
    <w:p w14:paraId="6760DD76" w14:textId="2BAC3552" w:rsidR="00D3724A" w:rsidRPr="00D3724A" w:rsidRDefault="00D3724A" w:rsidP="0013447C">
      <w:pPr>
        <w:rPr>
          <w:rFonts w:eastAsia="Arial"/>
        </w:rPr>
      </w:pPr>
      <w:r w:rsidRPr="35A3DCE9">
        <w:rPr>
          <w:rFonts w:eastAsia="Arial"/>
        </w:rPr>
        <w:t>Det åligger operatören att förvissa sig om att aktuellt PK</w:t>
      </w:r>
      <w:r w:rsidR="741271EB" w:rsidRPr="35A3DCE9">
        <w:rPr>
          <w:rFonts w:eastAsia="Arial"/>
        </w:rPr>
        <w:t>-</w:t>
      </w:r>
      <w:r w:rsidRPr="35A3DCE9">
        <w:rPr>
          <w:rFonts w:eastAsia="Arial"/>
        </w:rPr>
        <w:t>värde</w:t>
      </w:r>
      <w:r w:rsidR="4F6BF9AA" w:rsidRPr="35A3DCE9">
        <w:rPr>
          <w:rFonts w:eastAsia="Arial"/>
        </w:rPr>
        <w:t xml:space="preserve"> är rimligt</w:t>
      </w:r>
      <w:r w:rsidRPr="35A3DCE9">
        <w:rPr>
          <w:rFonts w:eastAsia="Arial"/>
        </w:rPr>
        <w:t xml:space="preserve"> och</w:t>
      </w:r>
      <w:r w:rsidR="619DB157" w:rsidRPr="35A3DCE9">
        <w:rPr>
          <w:rFonts w:eastAsia="Arial"/>
        </w:rPr>
        <w:t xml:space="preserve"> att typer och doser av antikoagulantia</w:t>
      </w:r>
      <w:r w:rsidRPr="35A3DCE9">
        <w:rPr>
          <w:rFonts w:eastAsia="Arial"/>
        </w:rPr>
        <w:t xml:space="preserve"> före operationsstar</w:t>
      </w:r>
      <w:r w:rsidR="735EFA17" w:rsidRPr="35A3DCE9">
        <w:rPr>
          <w:rFonts w:eastAsia="Arial"/>
        </w:rPr>
        <w:t>t</w:t>
      </w:r>
      <w:r w:rsidR="7D318F67" w:rsidRPr="35A3DCE9">
        <w:rPr>
          <w:rFonts w:eastAsia="Arial"/>
        </w:rPr>
        <w:t xml:space="preserve"> inte kontraindicerar ingreppet. Balansgången gentemot ökad trombosrisk balanseras ibland med </w:t>
      </w:r>
      <w:r w:rsidR="4C8CF7A0" w:rsidRPr="35A3DCE9">
        <w:rPr>
          <w:rFonts w:eastAsia="Arial"/>
        </w:rPr>
        <w:t xml:space="preserve">hjälp av ordinerande specialitet eller koagulationsjour. </w:t>
      </w:r>
      <w:r w:rsidRPr="35A3DCE9">
        <w:rPr>
          <w:rFonts w:eastAsia="Arial"/>
        </w:rPr>
        <w:t>Om antikoagulationen bedöms för kraftig åligger det operatören att uppskjuta operationen tills åtgärder vidtagits för att säkra hemostasen.</w:t>
      </w:r>
    </w:p>
    <w:p w14:paraId="0A1CE125" w14:textId="77777777" w:rsidR="00D3724A" w:rsidRPr="00D3724A" w:rsidRDefault="00D3724A" w:rsidP="0013447C">
      <w:pPr>
        <w:rPr>
          <w:rFonts w:eastAsia="Arial"/>
        </w:rPr>
      </w:pPr>
      <w:r w:rsidRPr="35A3DCE9">
        <w:rPr>
          <w:rFonts w:eastAsia="Arial"/>
        </w:rPr>
        <w:t>Operatören ansvarar också för att antikoagulationen postoperativt är rimlig ur blödningsrisksynpunkt.</w:t>
      </w:r>
    </w:p>
    <w:p w14:paraId="5229B015" w14:textId="3A9717CF" w:rsidR="29BA8F6C" w:rsidRDefault="29BA8F6C" w:rsidP="00AF33CA">
      <w:pPr>
        <w:pStyle w:val="Rubrik3"/>
      </w:pPr>
      <w:bookmarkStart w:id="73" w:name="_Toc194326816"/>
      <w:r>
        <w:t>Preparat</w:t>
      </w:r>
      <w:bookmarkEnd w:id="73"/>
    </w:p>
    <w:p w14:paraId="082A45E9" w14:textId="77777777" w:rsidR="00D3724A" w:rsidRPr="00D3724A" w:rsidRDefault="00D3724A" w:rsidP="00901192">
      <w:pPr>
        <w:pStyle w:val="MellanrubrikVGR"/>
        <w:spacing w:before="120"/>
      </w:pPr>
      <w:bookmarkStart w:id="74" w:name="_Toc433703289"/>
      <w:bookmarkStart w:id="75" w:name="_Toc438112321"/>
      <w:bookmarkStart w:id="76" w:name="_Toc256000007"/>
      <w:bookmarkStart w:id="77" w:name="_Toc256000021"/>
      <w:bookmarkStart w:id="78" w:name="_Toc256000035"/>
      <w:bookmarkStart w:id="79" w:name="_Toc256000049"/>
      <w:bookmarkStart w:id="80" w:name="_Toc256000063"/>
      <w:bookmarkStart w:id="81" w:name="_Toc256000077"/>
      <w:bookmarkStart w:id="82" w:name="_Toc256000091"/>
      <w:bookmarkStart w:id="83" w:name="_Toc256000105"/>
      <w:bookmarkStart w:id="84" w:name="_Toc256000119"/>
      <w:bookmarkStart w:id="85" w:name="_Toc96594823"/>
      <w:bookmarkStart w:id="86" w:name="_Toc256000133"/>
      <w:bookmarkStart w:id="87" w:name="_Toc194326817"/>
      <w:r w:rsidRPr="00D3724A">
        <w:t>Antikoagulantia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</w:p>
    <w:p w14:paraId="58C8A47B" w14:textId="77777777" w:rsidR="00D3724A" w:rsidRPr="00AF33CA" w:rsidRDefault="00D3724A" w:rsidP="00AF33CA">
      <w:pPr>
        <w:pStyle w:val="Punktlista"/>
        <w:rPr>
          <w:rFonts w:eastAsia="Arial"/>
        </w:rPr>
      </w:pPr>
      <w:r w:rsidRPr="00AF33CA">
        <w:rPr>
          <w:rFonts w:eastAsia="Arial"/>
        </w:rPr>
        <w:t>Warfarin</w:t>
      </w:r>
    </w:p>
    <w:p w14:paraId="245ADC4D" w14:textId="77777777" w:rsidR="00D3724A" w:rsidRPr="00AF33CA" w:rsidRDefault="00D3724A" w:rsidP="00570D5B">
      <w:pPr>
        <w:pStyle w:val="Punktlista"/>
        <w:spacing w:after="60"/>
        <w:rPr>
          <w:rFonts w:eastAsia="Arial"/>
        </w:rPr>
      </w:pPr>
      <w:r w:rsidRPr="00AF33CA">
        <w:rPr>
          <w:rFonts w:eastAsia="Arial"/>
        </w:rPr>
        <w:t>NOAK = Nya Orala AntiKoagulantia</w:t>
      </w:r>
    </w:p>
    <w:p w14:paraId="4CC232BD" w14:textId="77777777" w:rsidR="00D3724A" w:rsidRPr="00AF33CA" w:rsidRDefault="00D3724A" w:rsidP="00AF33CA">
      <w:pPr>
        <w:pStyle w:val="Punktlistaunderliggande"/>
        <w:rPr>
          <w:rFonts w:eastAsia="Arial"/>
        </w:rPr>
      </w:pPr>
      <w:r w:rsidRPr="00AF33CA">
        <w:rPr>
          <w:rFonts w:eastAsia="Arial"/>
        </w:rPr>
        <w:t>apixaban (Eliquis</w:t>
      </w:r>
      <w:r w:rsidRPr="00570D5B">
        <w:rPr>
          <w:rFonts w:eastAsia="Arial"/>
          <w:vertAlign w:val="superscript"/>
        </w:rPr>
        <w:t>®</w:t>
      </w:r>
      <w:r w:rsidRPr="00AF33CA">
        <w:rPr>
          <w:rFonts w:eastAsia="Arial"/>
        </w:rPr>
        <w:t>)</w:t>
      </w:r>
    </w:p>
    <w:p w14:paraId="51216269" w14:textId="5782FBF9" w:rsidR="00D3724A" w:rsidRPr="00AF33CA" w:rsidRDefault="00D3724A" w:rsidP="00AF33CA">
      <w:pPr>
        <w:pStyle w:val="Punktlistaunderliggande"/>
        <w:rPr>
          <w:rFonts w:eastAsia="Arial"/>
        </w:rPr>
      </w:pPr>
      <w:r w:rsidRPr="00AF33CA">
        <w:rPr>
          <w:rFonts w:eastAsia="Arial"/>
        </w:rPr>
        <w:t>rivaroxaban (Xarelto</w:t>
      </w:r>
      <w:r w:rsidR="00570D5B" w:rsidRPr="00570D5B">
        <w:rPr>
          <w:rFonts w:eastAsia="Arial"/>
          <w:vertAlign w:val="superscript"/>
        </w:rPr>
        <w:t>®</w:t>
      </w:r>
      <w:r w:rsidRPr="00AF33CA">
        <w:rPr>
          <w:rFonts w:eastAsia="Arial"/>
        </w:rPr>
        <w:t>)</w:t>
      </w:r>
    </w:p>
    <w:p w14:paraId="08C9499D" w14:textId="1F59EBC3" w:rsidR="00D3724A" w:rsidRPr="00AF33CA" w:rsidRDefault="00D3724A" w:rsidP="00AF33CA">
      <w:pPr>
        <w:pStyle w:val="Punktlistaunderliggande"/>
        <w:rPr>
          <w:rFonts w:eastAsia="Arial"/>
        </w:rPr>
      </w:pPr>
      <w:r w:rsidRPr="00AF33CA">
        <w:rPr>
          <w:rFonts w:eastAsia="Arial"/>
        </w:rPr>
        <w:t>dabigatran (Pradaxa</w:t>
      </w:r>
      <w:r w:rsidR="00570D5B" w:rsidRPr="00570D5B">
        <w:rPr>
          <w:rFonts w:eastAsia="Arial"/>
          <w:vertAlign w:val="superscript"/>
        </w:rPr>
        <w:t>®</w:t>
      </w:r>
      <w:r w:rsidRPr="00AF33CA">
        <w:rPr>
          <w:rFonts w:eastAsia="Arial"/>
        </w:rPr>
        <w:t>)</w:t>
      </w:r>
    </w:p>
    <w:p w14:paraId="164BB54B" w14:textId="0B1D49F1" w:rsidR="2411D292" w:rsidRPr="00AF33CA" w:rsidRDefault="2411D292" w:rsidP="00AF33CA">
      <w:pPr>
        <w:pStyle w:val="Punktlistaunderliggande"/>
        <w:rPr>
          <w:rFonts w:eastAsia="Arial"/>
        </w:rPr>
      </w:pPr>
      <w:r w:rsidRPr="00AF33CA">
        <w:rPr>
          <w:rFonts w:eastAsia="Arial"/>
        </w:rPr>
        <w:t>Edoxaban (Lixiana</w:t>
      </w:r>
      <w:r w:rsidR="00570D5B" w:rsidRPr="00570D5B">
        <w:rPr>
          <w:rFonts w:eastAsia="Arial"/>
          <w:vertAlign w:val="superscript"/>
        </w:rPr>
        <w:t>®</w:t>
      </w:r>
      <w:r w:rsidRPr="00AF33CA">
        <w:rPr>
          <w:rFonts w:eastAsia="Arial"/>
        </w:rPr>
        <w:t>)</w:t>
      </w:r>
    </w:p>
    <w:p w14:paraId="2D19BBFE" w14:textId="77777777" w:rsidR="00D3724A" w:rsidRPr="00AF33CA" w:rsidRDefault="00D3724A" w:rsidP="00570D5B">
      <w:pPr>
        <w:pStyle w:val="Punktlista"/>
        <w:spacing w:after="60"/>
        <w:rPr>
          <w:rFonts w:eastAsia="Arial"/>
        </w:rPr>
      </w:pPr>
      <w:r w:rsidRPr="00AF33CA">
        <w:rPr>
          <w:rFonts w:eastAsia="Arial"/>
        </w:rPr>
        <w:t>LMH = lågmolekylära hepariner</w:t>
      </w:r>
    </w:p>
    <w:p w14:paraId="4F4DBC57" w14:textId="0A851E4A" w:rsidR="00D3724A" w:rsidRPr="00AF33CA" w:rsidRDefault="00D3724A" w:rsidP="00AF33CA">
      <w:pPr>
        <w:pStyle w:val="Punktlistaunderliggande"/>
        <w:rPr>
          <w:rFonts w:eastAsia="Arial"/>
        </w:rPr>
      </w:pPr>
      <w:r w:rsidRPr="00AF33CA">
        <w:rPr>
          <w:rFonts w:eastAsia="Arial"/>
        </w:rPr>
        <w:t>dalteparin (Fragmin</w:t>
      </w:r>
      <w:r w:rsidR="00570D5B" w:rsidRPr="00570D5B">
        <w:rPr>
          <w:rFonts w:eastAsia="Arial"/>
          <w:vertAlign w:val="superscript"/>
        </w:rPr>
        <w:t>®</w:t>
      </w:r>
      <w:r w:rsidRPr="00AF33CA">
        <w:rPr>
          <w:rFonts w:eastAsia="Arial"/>
        </w:rPr>
        <w:t>)</w:t>
      </w:r>
    </w:p>
    <w:p w14:paraId="743F30DE" w14:textId="64BC1E3B" w:rsidR="00D3724A" w:rsidRPr="00AF33CA" w:rsidRDefault="00D3724A" w:rsidP="00AF33CA">
      <w:pPr>
        <w:pStyle w:val="Punktlistaunderliggande"/>
        <w:rPr>
          <w:rFonts w:eastAsia="Arial"/>
        </w:rPr>
      </w:pPr>
      <w:r w:rsidRPr="00AF33CA">
        <w:rPr>
          <w:rFonts w:eastAsia="Arial"/>
        </w:rPr>
        <w:t>enoxaparin (Klexane</w:t>
      </w:r>
      <w:r w:rsidR="00570D5B" w:rsidRPr="00570D5B">
        <w:rPr>
          <w:rFonts w:eastAsia="Arial"/>
          <w:vertAlign w:val="superscript"/>
        </w:rPr>
        <w:t>®</w:t>
      </w:r>
      <w:r w:rsidRPr="00AF33CA">
        <w:rPr>
          <w:rFonts w:eastAsia="Arial"/>
        </w:rPr>
        <w:t>)</w:t>
      </w:r>
    </w:p>
    <w:p w14:paraId="374297A1" w14:textId="0B312F64" w:rsidR="00D3724A" w:rsidRPr="00AF33CA" w:rsidRDefault="00D3724A" w:rsidP="00AF33CA">
      <w:pPr>
        <w:pStyle w:val="Punktlistaunderliggande"/>
        <w:rPr>
          <w:rFonts w:eastAsia="Arial"/>
        </w:rPr>
      </w:pPr>
      <w:r w:rsidRPr="00AF33CA">
        <w:rPr>
          <w:rFonts w:eastAsia="Arial"/>
        </w:rPr>
        <w:t>tinzaparin (Innohep</w:t>
      </w:r>
      <w:r w:rsidR="00570D5B" w:rsidRPr="00570D5B">
        <w:rPr>
          <w:rFonts w:eastAsia="Arial"/>
          <w:vertAlign w:val="superscript"/>
        </w:rPr>
        <w:t>®</w:t>
      </w:r>
      <w:r w:rsidRPr="00AF33CA">
        <w:rPr>
          <w:rFonts w:eastAsia="Arial"/>
        </w:rPr>
        <w:t>)</w:t>
      </w:r>
    </w:p>
    <w:p w14:paraId="10BFD362" w14:textId="77777777" w:rsidR="00D3724A" w:rsidRPr="00D3724A" w:rsidRDefault="00D3724A" w:rsidP="005475CD">
      <w:pPr>
        <w:pStyle w:val="MellanrubrikVGR"/>
      </w:pPr>
      <w:bookmarkStart w:id="88" w:name="_Toc433703290"/>
      <w:bookmarkStart w:id="89" w:name="_Toc438112322"/>
      <w:bookmarkStart w:id="90" w:name="_Toc256000008"/>
      <w:bookmarkStart w:id="91" w:name="_Toc256000022"/>
      <w:bookmarkStart w:id="92" w:name="_Toc256000036"/>
      <w:bookmarkStart w:id="93" w:name="_Toc256000050"/>
      <w:bookmarkStart w:id="94" w:name="_Toc256000064"/>
      <w:bookmarkStart w:id="95" w:name="_Toc256000078"/>
      <w:bookmarkStart w:id="96" w:name="_Toc256000092"/>
      <w:bookmarkStart w:id="97" w:name="_Toc256000106"/>
      <w:bookmarkStart w:id="98" w:name="_Toc256000120"/>
      <w:bookmarkStart w:id="99" w:name="_Toc96594824"/>
      <w:bookmarkStart w:id="100" w:name="_Toc256000134"/>
      <w:bookmarkStart w:id="101" w:name="_Toc194326818"/>
      <w:r w:rsidRPr="00D3724A">
        <w:t>Trombocythämmare</w:t>
      </w:r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14:paraId="2A1D0C8D" w14:textId="3BC71C06" w:rsidR="00D3724A" w:rsidRPr="00570D5B" w:rsidRDefault="00D3724A" w:rsidP="00570D5B">
      <w:pPr>
        <w:pStyle w:val="Punktlista"/>
        <w:rPr>
          <w:rFonts w:eastAsia="Arial"/>
        </w:rPr>
      </w:pPr>
      <w:r w:rsidRPr="00570D5B">
        <w:rPr>
          <w:rFonts w:eastAsia="Arial"/>
        </w:rPr>
        <w:t>ASA (Trombyl</w:t>
      </w:r>
      <w:r w:rsidR="00570D5B" w:rsidRPr="00570D5B">
        <w:rPr>
          <w:rFonts w:eastAsia="Arial"/>
          <w:vertAlign w:val="superscript"/>
        </w:rPr>
        <w:t>®</w:t>
      </w:r>
      <w:r w:rsidRPr="00570D5B">
        <w:rPr>
          <w:rFonts w:eastAsia="Arial"/>
        </w:rPr>
        <w:t>)</w:t>
      </w:r>
    </w:p>
    <w:p w14:paraId="37774EAC" w14:textId="4BB4E781" w:rsidR="00D3724A" w:rsidRPr="00570D5B" w:rsidRDefault="00D3724A" w:rsidP="00570D5B">
      <w:pPr>
        <w:pStyle w:val="Punktlista"/>
        <w:rPr>
          <w:rFonts w:eastAsia="Arial"/>
        </w:rPr>
      </w:pPr>
      <w:r w:rsidRPr="00570D5B">
        <w:rPr>
          <w:rFonts w:eastAsia="Arial"/>
        </w:rPr>
        <w:t>Clopidogrel (Plavix</w:t>
      </w:r>
      <w:r w:rsidR="00570D5B" w:rsidRPr="00570D5B">
        <w:rPr>
          <w:rFonts w:eastAsia="Arial"/>
          <w:vertAlign w:val="superscript"/>
        </w:rPr>
        <w:t>®</w:t>
      </w:r>
      <w:r w:rsidRPr="00570D5B">
        <w:rPr>
          <w:rFonts w:eastAsia="Arial"/>
        </w:rPr>
        <w:t>)</w:t>
      </w:r>
    </w:p>
    <w:p w14:paraId="7711E0F7" w14:textId="4C53D013" w:rsidR="00D3724A" w:rsidRPr="00570D5B" w:rsidRDefault="00D3724A" w:rsidP="00570D5B">
      <w:pPr>
        <w:pStyle w:val="Punktlista"/>
        <w:rPr>
          <w:rFonts w:eastAsia="Arial"/>
        </w:rPr>
      </w:pPr>
      <w:r w:rsidRPr="00570D5B">
        <w:rPr>
          <w:rFonts w:eastAsia="Arial"/>
        </w:rPr>
        <w:t>Ticagrelor (Brilique</w:t>
      </w:r>
      <w:r w:rsidR="00570D5B" w:rsidRPr="00570D5B">
        <w:rPr>
          <w:rFonts w:eastAsia="Arial"/>
          <w:vertAlign w:val="superscript"/>
        </w:rPr>
        <w:t>®</w:t>
      </w:r>
      <w:r w:rsidRPr="00570D5B">
        <w:rPr>
          <w:rFonts w:eastAsia="Arial"/>
        </w:rPr>
        <w:t>)</w:t>
      </w:r>
    </w:p>
    <w:p w14:paraId="03F064B0" w14:textId="43707BA5" w:rsidR="00D3724A" w:rsidRPr="00570D5B" w:rsidRDefault="00D3724A" w:rsidP="00570D5B">
      <w:pPr>
        <w:pStyle w:val="Punktlista"/>
        <w:rPr>
          <w:rFonts w:eastAsia="Arial"/>
        </w:rPr>
      </w:pPr>
      <w:r w:rsidRPr="00570D5B">
        <w:rPr>
          <w:rFonts w:eastAsia="Arial"/>
        </w:rPr>
        <w:t>Prasugrel (Effient</w:t>
      </w:r>
      <w:r w:rsidR="00570D5B" w:rsidRPr="00570D5B">
        <w:rPr>
          <w:rFonts w:eastAsia="Arial"/>
          <w:vertAlign w:val="superscript"/>
        </w:rPr>
        <w:t>®</w:t>
      </w:r>
      <w:r w:rsidRPr="00570D5B">
        <w:rPr>
          <w:rFonts w:eastAsia="Arial"/>
        </w:rPr>
        <w:t>)</w:t>
      </w:r>
    </w:p>
    <w:p w14:paraId="32BFC7CA" w14:textId="1671925B" w:rsidR="00D3724A" w:rsidRPr="00570D5B" w:rsidRDefault="5644E6A6" w:rsidP="00570D5B">
      <w:pPr>
        <w:pStyle w:val="Punktlista"/>
        <w:rPr>
          <w:rFonts w:eastAsia="Arial"/>
        </w:rPr>
      </w:pPr>
      <w:r w:rsidRPr="00570D5B">
        <w:rPr>
          <w:rFonts w:eastAsia="Arial"/>
        </w:rPr>
        <w:t>Dipyr</w:t>
      </w:r>
      <w:r w:rsidR="0278F50F" w:rsidRPr="00570D5B">
        <w:rPr>
          <w:rFonts w:eastAsia="Arial"/>
        </w:rPr>
        <w:t>id</w:t>
      </w:r>
      <w:r w:rsidRPr="00570D5B">
        <w:rPr>
          <w:rFonts w:eastAsia="Arial"/>
        </w:rPr>
        <w:t xml:space="preserve">amol </w:t>
      </w:r>
      <w:r w:rsidR="00D3724A" w:rsidRPr="00570D5B">
        <w:rPr>
          <w:rFonts w:eastAsia="Arial"/>
        </w:rPr>
        <w:t>(</w:t>
      </w:r>
      <w:r w:rsidR="4E781097" w:rsidRPr="00570D5B">
        <w:rPr>
          <w:rFonts w:eastAsia="Arial"/>
        </w:rPr>
        <w:t>Persantin</w:t>
      </w:r>
      <w:r w:rsidR="00570D5B" w:rsidRPr="00570D5B">
        <w:rPr>
          <w:rFonts w:eastAsia="Arial"/>
          <w:vertAlign w:val="superscript"/>
        </w:rPr>
        <w:t>®</w:t>
      </w:r>
      <w:r w:rsidR="00D3724A" w:rsidRPr="00570D5B">
        <w:rPr>
          <w:rFonts w:eastAsia="Arial"/>
        </w:rPr>
        <w:t>)</w:t>
      </w:r>
    </w:p>
    <w:p w14:paraId="4D60DF0E" w14:textId="734C1C14" w:rsidR="471E795D" w:rsidRDefault="471E795D" w:rsidP="00570D5B">
      <w:pPr>
        <w:pStyle w:val="Rubrik3"/>
      </w:pPr>
      <w:bookmarkStart w:id="102" w:name="_Toc194326819"/>
      <w:r>
        <w:lastRenderedPageBreak/>
        <w:t>Värdera</w:t>
      </w:r>
      <w:bookmarkEnd w:id="102"/>
    </w:p>
    <w:p w14:paraId="06AB7C63" w14:textId="0019A1AF" w:rsidR="471E795D" w:rsidRPr="00EE5F73" w:rsidRDefault="471E795D" w:rsidP="00EE5F73">
      <w:pPr>
        <w:pStyle w:val="Punktlista"/>
        <w:rPr>
          <w:rFonts w:eastAsia="Arial"/>
        </w:rPr>
      </w:pPr>
      <w:r w:rsidRPr="00EE5F73">
        <w:rPr>
          <w:rFonts w:eastAsia="Arial"/>
        </w:rPr>
        <w:t>Njurfunktion (eGFR)</w:t>
      </w:r>
    </w:p>
    <w:p w14:paraId="482D3679" w14:textId="77777777" w:rsidR="471E795D" w:rsidRDefault="471E795D" w:rsidP="00EE5F73">
      <w:pPr>
        <w:pStyle w:val="Punktlista"/>
        <w:rPr>
          <w:rFonts w:eastAsia="Arial"/>
        </w:rPr>
      </w:pPr>
      <w:r w:rsidRPr="00EE5F73">
        <w:rPr>
          <w:rFonts w:eastAsia="Arial"/>
        </w:rPr>
        <w:t>AK-indikationens styrka</w:t>
      </w:r>
    </w:p>
    <w:p w14:paraId="0575E74B" w14:textId="5C71E1AB" w:rsidR="00F532D5" w:rsidRPr="00EE5F73" w:rsidRDefault="00F532D5" w:rsidP="00EE5F73">
      <w:pPr>
        <w:pStyle w:val="Punktlista"/>
        <w:rPr>
          <w:rFonts w:eastAsia="Arial"/>
        </w:rPr>
      </w:pPr>
      <w:r w:rsidRPr="00F532D5">
        <w:rPr>
          <w:rFonts w:eastAsia="Arial"/>
        </w:rPr>
        <w:t>Blödningsrisk/omfattningen av kirurgin</w:t>
      </w:r>
    </w:p>
    <w:tbl>
      <w:tblPr>
        <w:tblStyle w:val="Tabellrutnt"/>
        <w:tblW w:w="0" w:type="auto"/>
        <w:tblInd w:w="992" w:type="dxa"/>
        <w:shd w:val="clear" w:color="auto" w:fill="E5E5E5" w:themeFill="background2" w:themeFillTint="33"/>
        <w:tblLook w:val="04A0" w:firstRow="1" w:lastRow="0" w:firstColumn="1" w:lastColumn="0" w:noHBand="0" w:noVBand="1"/>
        <w:tblCaption w:val="Beräkningsformen för riskvärdering"/>
        <w:tblDescription w:val="Tabellen visar formel för uträkning av operationsrisk vid antikoagulantiabehandling. "/>
      </w:tblPr>
      <w:tblGrid>
        <w:gridCol w:w="5099"/>
      </w:tblGrid>
      <w:tr w:rsidR="001F113D" w14:paraId="59731013" w14:textId="77777777" w:rsidTr="35A3DCE9">
        <w:tc>
          <w:tcPr>
            <w:tcW w:w="5099" w:type="dxa"/>
            <w:shd w:val="clear" w:color="auto" w:fill="E5E5E5" w:themeFill="background2" w:themeFillTint="33"/>
          </w:tcPr>
          <w:p w14:paraId="0908F05B" w14:textId="77777777" w:rsidR="001F113D" w:rsidRPr="00EE5F73" w:rsidRDefault="7F73941B" w:rsidP="00EE5F73">
            <w:pPr>
              <w:spacing w:before="120"/>
              <w:ind w:left="0" w:right="0"/>
              <w:rPr>
                <w:rFonts w:ascii="Verdana" w:eastAsia="Arial" w:hAnsi="Verdana" w:cs="Arial"/>
              </w:rPr>
            </w:pPr>
            <w:r w:rsidRPr="00EE5F73">
              <w:rPr>
                <w:rFonts w:ascii="Verdana" w:eastAsia="Arial" w:hAnsi="Verdana" w:cs="Arial"/>
              </w:rPr>
              <w:t xml:space="preserve">eGFR: </w:t>
            </w:r>
            <w:r w:rsidR="31526370" w:rsidRPr="00EE5F73">
              <w:rPr>
                <w:rFonts w:ascii="Verdana" w:eastAsia="Arial" w:hAnsi="Verdana" w:cs="Arial"/>
              </w:rPr>
              <w:t>(140-ålder) x vikt x</w:t>
            </w:r>
          </w:p>
          <w:p w14:paraId="241875FC" w14:textId="34028C96" w:rsidR="00AF3153" w:rsidRDefault="31526370" w:rsidP="00EE5F73">
            <w:pPr>
              <w:ind w:left="0" w:right="0"/>
              <w:rPr>
                <w:rFonts w:ascii="Arial" w:eastAsia="Arial" w:hAnsi="Arial" w:cs="Arial"/>
              </w:rPr>
            </w:pPr>
            <w:r w:rsidRPr="00EE5F73">
              <w:rPr>
                <w:rFonts w:ascii="Verdana" w:eastAsia="Arial" w:hAnsi="Verdana" w:cs="Arial"/>
              </w:rPr>
              <w:t>k = 1,23 för män, 1,04 för kvinnor</w:t>
            </w:r>
          </w:p>
        </w:tc>
      </w:tr>
    </w:tbl>
    <w:p w14:paraId="2B460BC0" w14:textId="77777777" w:rsidR="00D3724A" w:rsidRPr="00D3724A" w:rsidRDefault="3B123D09" w:rsidP="00F532D5">
      <w:pPr>
        <w:spacing w:before="240"/>
        <w:rPr>
          <w:rFonts w:eastAsia="Arial"/>
        </w:rPr>
      </w:pPr>
      <w:r w:rsidRPr="35A3DCE9">
        <w:rPr>
          <w:rFonts w:eastAsia="Arial"/>
        </w:rPr>
        <w:t>I kallelsen till operationen ska patienten uppmanas att kontakta AK-mottagningen (eller sin vårdcentral om den sköter ordination av antikoagulantia) i god tid (minst 10 dagar) före planerad operation.</w:t>
      </w:r>
    </w:p>
    <w:p w14:paraId="4F170DD9" w14:textId="77777777" w:rsidR="00D3724A" w:rsidRPr="00D3724A" w:rsidRDefault="3B123D09" w:rsidP="00F532D5">
      <w:pPr>
        <w:rPr>
          <w:rFonts w:eastAsia="Arial"/>
        </w:rPr>
      </w:pPr>
      <w:r w:rsidRPr="35A3DCE9">
        <w:rPr>
          <w:rFonts w:eastAsia="Arial"/>
        </w:rPr>
        <w:t>Planeringsmottagningen bör förvissa sig om att AK-mottagningen eller patientens vårdcentral är informerade om den förestående operationen.</w:t>
      </w:r>
    </w:p>
    <w:p w14:paraId="41F55F27" w14:textId="147842A2" w:rsidR="00D3724A" w:rsidRPr="00D3724A" w:rsidRDefault="0074225A" w:rsidP="35A3DCE9">
      <w:pPr>
        <w:pStyle w:val="Rubrik3"/>
      </w:pPr>
      <w:bookmarkStart w:id="103" w:name="_Toc194326820"/>
      <w:r>
        <w:t>Waran</w:t>
      </w:r>
      <w:bookmarkEnd w:id="103"/>
    </w:p>
    <w:p w14:paraId="63365573" w14:textId="305ECFE5" w:rsidR="00D3724A" w:rsidRPr="00D3724A" w:rsidRDefault="0074225A" w:rsidP="006C7F08">
      <w:pPr>
        <w:rPr>
          <w:rFonts w:eastAsia="Calibri"/>
          <w:lang w:eastAsia="en-US"/>
        </w:rPr>
      </w:pPr>
      <w:r w:rsidRPr="35A3DCE9">
        <w:rPr>
          <w:rFonts w:eastAsia="Calibri"/>
          <w:lang w:eastAsia="en-US"/>
        </w:rPr>
        <w:t>Sätts vanligen ut 5 dagar före operation, tidigare hos patienter med låg underhållsdos</w:t>
      </w:r>
      <w:r w:rsidR="006C7F08">
        <w:rPr>
          <w:rFonts w:eastAsia="Calibri"/>
          <w:lang w:eastAsia="en-US"/>
        </w:rPr>
        <w:t xml:space="preserve"> </w:t>
      </w:r>
      <w:r w:rsidRPr="35A3DCE9">
        <w:rPr>
          <w:rFonts w:eastAsia="Calibri"/>
          <w:lang w:eastAsia="en-US"/>
        </w:rPr>
        <w:t>Waran.</w:t>
      </w:r>
    </w:p>
    <w:p w14:paraId="1BE21268" w14:textId="7142390B" w:rsidR="00D3724A" w:rsidRPr="00D3724A" w:rsidRDefault="0074225A" w:rsidP="006C7F08">
      <w:pPr>
        <w:rPr>
          <w:rFonts w:eastAsia="Calibri"/>
          <w:sz w:val="22"/>
          <w:szCs w:val="22"/>
          <w:lang w:eastAsia="en-US"/>
        </w:rPr>
      </w:pPr>
      <w:r w:rsidRPr="35A3DCE9">
        <w:rPr>
          <w:rFonts w:eastAsia="Calibri"/>
          <w:lang w:eastAsia="en-US"/>
        </w:rPr>
        <w:t>Kontakta AK-mottagningen i god tid, minst 10 dagar preoperativt.</w:t>
      </w:r>
    </w:p>
    <w:p w14:paraId="0BC476FA" w14:textId="0A01D395" w:rsidR="00D3724A" w:rsidRPr="00D3724A" w:rsidRDefault="0074225A" w:rsidP="35A3DCE9">
      <w:pPr>
        <w:pStyle w:val="Rubrik3"/>
      </w:pPr>
      <w:bookmarkStart w:id="104" w:name="_Toc194326821"/>
      <w:r>
        <w:t>LMH</w:t>
      </w:r>
      <w:bookmarkEnd w:id="104"/>
    </w:p>
    <w:p w14:paraId="3AAE586D" w14:textId="26320015" w:rsidR="00D3724A" w:rsidRPr="00D3724A" w:rsidRDefault="0074225A" w:rsidP="00CA5928">
      <w:pPr>
        <w:rPr>
          <w:rFonts w:eastAsia="Calibri"/>
          <w:lang w:eastAsia="en-US"/>
        </w:rPr>
      </w:pPr>
      <w:r w:rsidRPr="35A3DCE9">
        <w:rPr>
          <w:rFonts w:eastAsia="Calibri"/>
          <w:lang w:eastAsia="en-US"/>
        </w:rPr>
        <w:t xml:space="preserve">Behandlingsdos utsätts 24h före ingreppet. </w:t>
      </w:r>
      <w:r w:rsidR="788446B3" w:rsidRPr="35A3DCE9">
        <w:rPr>
          <w:rFonts w:eastAsia="Calibri"/>
          <w:lang w:eastAsia="en-US"/>
        </w:rPr>
        <w:t>Profylaxdos avstås 12h före ingreppet.</w:t>
      </w:r>
      <w:r w:rsidR="46A2F7BC" w:rsidRPr="35A3DCE9">
        <w:rPr>
          <w:rFonts w:eastAsia="Calibri"/>
          <w:lang w:eastAsia="en-US"/>
        </w:rPr>
        <w:t xml:space="preserve"> Åter-/insättning aktuellt från 6h efter kirurgi eller ryggstick. Kvarliggande</w:t>
      </w:r>
      <w:r w:rsidR="00182E20">
        <w:rPr>
          <w:rFonts w:eastAsia="Calibri"/>
          <w:lang w:eastAsia="en-US"/>
        </w:rPr>
        <w:t xml:space="preserve"> </w:t>
      </w:r>
      <w:r w:rsidR="46A2F7BC" w:rsidRPr="35A3DCE9">
        <w:rPr>
          <w:rFonts w:eastAsia="Calibri"/>
          <w:lang w:eastAsia="en-US"/>
        </w:rPr>
        <w:t>epidural</w:t>
      </w:r>
      <w:r w:rsidR="04814162" w:rsidRPr="35A3DCE9">
        <w:rPr>
          <w:rFonts w:eastAsia="Calibri"/>
          <w:lang w:eastAsia="en-US"/>
        </w:rPr>
        <w:t>-</w:t>
      </w:r>
      <w:r w:rsidR="46A2F7BC" w:rsidRPr="35A3DCE9">
        <w:rPr>
          <w:rFonts w:eastAsia="Calibri"/>
          <w:lang w:eastAsia="en-US"/>
        </w:rPr>
        <w:t>/spinalkateter</w:t>
      </w:r>
      <w:r w:rsidR="47D68ECE" w:rsidRPr="35A3DCE9">
        <w:rPr>
          <w:rFonts w:eastAsia="Calibri"/>
          <w:lang w:eastAsia="en-US"/>
        </w:rPr>
        <w:t xml:space="preserve"> kräver planering av LMH-doser.</w:t>
      </w:r>
    </w:p>
    <w:p w14:paraId="735D17AC" w14:textId="3348EE1D" w:rsidR="00D3724A" w:rsidRPr="00D3724A" w:rsidRDefault="788446B3" w:rsidP="35A3DCE9">
      <w:pPr>
        <w:pStyle w:val="Rubrik3"/>
      </w:pPr>
      <w:bookmarkStart w:id="105" w:name="_Toc194326822"/>
      <w:r>
        <w:t>NOAK</w:t>
      </w:r>
      <w:bookmarkEnd w:id="105"/>
    </w:p>
    <w:p w14:paraId="7E04FDF8" w14:textId="4B224E19" w:rsidR="00D3724A" w:rsidRPr="00D3724A" w:rsidRDefault="00D3724A" w:rsidP="00182E20">
      <w:pPr>
        <w:rPr>
          <w:rFonts w:eastAsia="Arial"/>
        </w:rPr>
      </w:pPr>
      <w:r w:rsidRPr="35A3DCE9">
        <w:rPr>
          <w:rFonts w:eastAsia="Arial"/>
        </w:rPr>
        <w:t xml:space="preserve">Sätt ut NOAK preoperativt enligt </w:t>
      </w:r>
      <w:r w:rsidR="5C148813" w:rsidRPr="35A3DCE9">
        <w:rPr>
          <w:rFonts w:eastAsia="Arial"/>
        </w:rPr>
        <w:t>tabell på SSTH:s hemsida</w:t>
      </w:r>
      <w:r w:rsidRPr="35A3DCE9">
        <w:rPr>
          <w:rFonts w:eastAsia="Arial"/>
        </w:rPr>
        <w:t>:</w:t>
      </w:r>
      <w:r w:rsidR="1CBD98BC" w:rsidRPr="35A3DCE9">
        <w:rPr>
          <w:rFonts w:eastAsia="Arial"/>
        </w:rPr>
        <w:t xml:space="preserve"> </w:t>
      </w:r>
      <w:hyperlink r:id="rId12">
        <w:r w:rsidR="1CBD98BC" w:rsidRPr="006804C5">
          <w:rPr>
            <w:rStyle w:val="Hyperlnk"/>
            <w:rFonts w:eastAsia="Arial"/>
          </w:rPr>
          <w:t>NOAK 241022</w:t>
        </w:r>
        <w:r w:rsidR="1CBD98BC" w:rsidRPr="006804C5">
          <w:rPr>
            <w:rStyle w:val="Hyperlnk"/>
            <w:rFonts w:ascii="Arial" w:eastAsia="Arial" w:hAnsi="Arial" w:cs="Arial"/>
            <w:color w:val="auto"/>
            <w:sz w:val="20"/>
            <w:szCs w:val="20"/>
            <w:u w:val="none"/>
          </w:rPr>
          <w:t>.</w:t>
        </w:r>
      </w:hyperlink>
      <w:r w:rsidR="1CBD98BC" w:rsidRPr="35A3DCE9">
        <w:rPr>
          <w:rFonts w:eastAsia="Arial"/>
        </w:rPr>
        <w:t xml:space="preserve"> </w:t>
      </w:r>
      <w:r w:rsidR="24A654C0" w:rsidRPr="35A3DCE9">
        <w:rPr>
          <w:rFonts w:eastAsia="Arial"/>
        </w:rPr>
        <w:t xml:space="preserve">eGFR och blödningsrisk avgör tillsammans med typ av </w:t>
      </w:r>
      <w:proofErr w:type="gramStart"/>
      <w:r w:rsidR="24A654C0" w:rsidRPr="35A3DCE9">
        <w:rPr>
          <w:rFonts w:eastAsia="Arial"/>
        </w:rPr>
        <w:t>preparat tidpunkt</w:t>
      </w:r>
      <w:proofErr w:type="gramEnd"/>
      <w:r w:rsidR="24A654C0" w:rsidRPr="35A3DCE9">
        <w:rPr>
          <w:rFonts w:eastAsia="Arial"/>
        </w:rPr>
        <w:t xml:space="preserve"> för utsättning. </w:t>
      </w:r>
      <w:r w:rsidRPr="35A3DCE9">
        <w:rPr>
          <w:rFonts w:eastAsia="Arial"/>
        </w:rPr>
        <w:t xml:space="preserve">Återinsättning av Waran/NOAK </w:t>
      </w:r>
      <w:r w:rsidR="65DAFD45" w:rsidRPr="35A3DCE9">
        <w:rPr>
          <w:rFonts w:eastAsia="Arial"/>
        </w:rPr>
        <w:t xml:space="preserve">berörs också i detta dokument, ska ordineras </w:t>
      </w:r>
      <w:r w:rsidRPr="35A3DCE9">
        <w:rPr>
          <w:rFonts w:eastAsia="Arial"/>
        </w:rPr>
        <w:t>av den ansvariga avdelningsläkaren (</w:t>
      </w:r>
      <w:r w:rsidR="18FC0019" w:rsidRPr="35A3DCE9">
        <w:rPr>
          <w:rFonts w:eastAsia="Arial"/>
        </w:rPr>
        <w:t>alternativt</w:t>
      </w:r>
      <w:r w:rsidRPr="35A3DCE9">
        <w:rPr>
          <w:rFonts w:eastAsia="Arial"/>
        </w:rPr>
        <w:t xml:space="preserve"> operatören efter en poliklinisk operation).</w:t>
      </w:r>
    </w:p>
    <w:p w14:paraId="20900390" w14:textId="77777777" w:rsidR="00D3724A" w:rsidRPr="00D3724A" w:rsidRDefault="00D3724A" w:rsidP="004B4E93">
      <w:pPr>
        <w:pStyle w:val="Rubrik3"/>
      </w:pPr>
      <w:bookmarkStart w:id="106" w:name="_Toc433703293"/>
      <w:bookmarkStart w:id="107" w:name="_Toc438112325"/>
      <w:bookmarkStart w:id="108" w:name="_Toc256000011"/>
      <w:bookmarkStart w:id="109" w:name="_Toc256000025"/>
      <w:bookmarkStart w:id="110" w:name="_Toc256000039"/>
      <w:bookmarkStart w:id="111" w:name="_Toc256000053"/>
      <w:bookmarkStart w:id="112" w:name="_Toc256000067"/>
      <w:bookmarkStart w:id="113" w:name="_Toc256000081"/>
      <w:bookmarkStart w:id="114" w:name="_Toc256000095"/>
      <w:bookmarkStart w:id="115" w:name="_Toc256000109"/>
      <w:bookmarkStart w:id="116" w:name="_Toc256000123"/>
      <w:bookmarkStart w:id="117" w:name="_Toc96594827"/>
      <w:bookmarkStart w:id="118" w:name="_Toc256000137"/>
      <w:bookmarkStart w:id="119" w:name="_Toc194326823"/>
      <w:r>
        <w:t>Trombocythämmare</w:t>
      </w:r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</w:p>
    <w:p w14:paraId="328AE4F5" w14:textId="29D6C432" w:rsidR="61A5280E" w:rsidRDefault="61A5280E" w:rsidP="00212C44">
      <w:pPr>
        <w:pStyle w:val="Punktlista"/>
        <w:rPr>
          <w:rFonts w:eastAsia="Arial"/>
        </w:rPr>
      </w:pPr>
      <w:r w:rsidRPr="35A3DCE9">
        <w:rPr>
          <w:rFonts w:eastAsia="Arial"/>
        </w:rPr>
        <w:t>Avbryt behandling med ADP-receptorhämmare 5–7 dagar före operation</w:t>
      </w:r>
      <w:r w:rsidR="1F6D4DBF" w:rsidRPr="35A3DCE9">
        <w:rPr>
          <w:rFonts w:eastAsia="Arial"/>
        </w:rPr>
        <w:t>, se tabell nedan.</w:t>
      </w:r>
    </w:p>
    <w:p w14:paraId="0FE61A33" w14:textId="3538461E" w:rsidR="61A5280E" w:rsidRDefault="61A5280E" w:rsidP="00212C44">
      <w:pPr>
        <w:pStyle w:val="Punktlista"/>
      </w:pPr>
      <w:r w:rsidRPr="35A3DCE9">
        <w:rPr>
          <w:rFonts w:eastAsia="Arial"/>
        </w:rPr>
        <w:t xml:space="preserve">Behåll ASA fram till dagen före kirurgi. Avstå trombocythämmare på operationsdagen. Längre uppehåll kan </w:t>
      </w:r>
      <w:r w:rsidRPr="35A3DCE9">
        <w:rPr>
          <w:rFonts w:eastAsia="Arial"/>
        </w:rPr>
        <w:lastRenderedPageBreak/>
        <w:t xml:space="preserve">behövas inför </w:t>
      </w:r>
      <w:r w:rsidR="7CD0BBD9" w:rsidRPr="35A3DCE9">
        <w:rPr>
          <w:rFonts w:eastAsia="Arial"/>
        </w:rPr>
        <w:t>särskilt</w:t>
      </w:r>
      <w:r w:rsidRPr="35A3DCE9">
        <w:rPr>
          <w:rFonts w:ascii="Times New Roman" w:hAnsi="Times New Roman"/>
        </w:rPr>
        <w:t xml:space="preserve"> </w:t>
      </w:r>
      <w:r w:rsidRPr="35A3DCE9">
        <w:rPr>
          <w:rFonts w:eastAsia="Arial"/>
        </w:rPr>
        <w:t xml:space="preserve">blödningskänslig kirurgi, </w:t>
      </w:r>
      <w:r w:rsidR="3AA5A61B" w:rsidRPr="35A3DCE9">
        <w:rPr>
          <w:rFonts w:eastAsia="Arial"/>
        </w:rPr>
        <w:t>inklusive viss</w:t>
      </w:r>
      <w:r w:rsidRPr="35A3DCE9">
        <w:rPr>
          <w:rFonts w:eastAsia="Arial"/>
        </w:rPr>
        <w:t xml:space="preserve"> urologisk kirurgi</w:t>
      </w:r>
      <w:r w:rsidR="32D82BEB" w:rsidRPr="35A3DCE9">
        <w:rPr>
          <w:rFonts w:eastAsia="Arial"/>
        </w:rPr>
        <w:t xml:space="preserve"> som TUR-P samt lever-/</w:t>
      </w:r>
      <w:r w:rsidRPr="35A3DCE9">
        <w:rPr>
          <w:rFonts w:eastAsia="Arial"/>
        </w:rPr>
        <w:t>njurbiopsi.</w:t>
      </w:r>
    </w:p>
    <w:p w14:paraId="146080AA" w14:textId="6CD5796F" w:rsidR="61A5280E" w:rsidRDefault="61A5280E" w:rsidP="00212C44">
      <w:pPr>
        <w:pStyle w:val="Punktlista"/>
        <w:rPr>
          <w:rFonts w:eastAsia="Arial"/>
        </w:rPr>
      </w:pPr>
      <w:r w:rsidRPr="35A3DCE9">
        <w:rPr>
          <w:rFonts w:eastAsia="Arial"/>
        </w:rPr>
        <w:t>Vid hög trombosrisk bör respektive specialistläkare (kardiolog, strokeansvarig, kärlkirurg med flera) kontaktas för att diskutera perioperativ handläggning.</w:t>
      </w:r>
      <w:r w:rsidR="199C309C" w:rsidRPr="35A3DCE9">
        <w:rPr>
          <w:rFonts w:eastAsia="Arial"/>
        </w:rPr>
        <w:t xml:space="preserve"> </w:t>
      </w:r>
      <w:r w:rsidR="6F2EAD28" w:rsidRPr="35A3DCE9">
        <w:rPr>
          <w:rFonts w:eastAsia="Arial"/>
        </w:rPr>
        <w:t xml:space="preserve">Det kan </w:t>
      </w:r>
      <w:proofErr w:type="gramStart"/>
      <w:r w:rsidR="195829AD" w:rsidRPr="35A3DCE9">
        <w:rPr>
          <w:rFonts w:eastAsia="Arial"/>
        </w:rPr>
        <w:t>t.ex.</w:t>
      </w:r>
      <w:proofErr w:type="gramEnd"/>
      <w:r w:rsidR="199C309C" w:rsidRPr="35A3DCE9">
        <w:rPr>
          <w:rFonts w:eastAsia="Arial"/>
        </w:rPr>
        <w:t xml:space="preserve"> röra </w:t>
      </w:r>
      <w:r w:rsidR="27E5444E" w:rsidRPr="35A3DCE9">
        <w:rPr>
          <w:rFonts w:eastAsia="Arial"/>
        </w:rPr>
        <w:t>d</w:t>
      </w:r>
      <w:r w:rsidR="199C309C" w:rsidRPr="35A3DCE9">
        <w:rPr>
          <w:rFonts w:eastAsia="Arial"/>
        </w:rPr>
        <w:t xml:space="preserve">ubbel trombocythämning efter PCI-behandling med DES </w:t>
      </w:r>
      <w:r w:rsidR="2111C480" w:rsidRPr="35A3DCE9">
        <w:rPr>
          <w:rFonts w:eastAsia="Arial"/>
        </w:rPr>
        <w:t>(Drug Eluting Stent)</w:t>
      </w:r>
      <w:r w:rsidR="5368D3A7" w:rsidRPr="35A3DCE9">
        <w:rPr>
          <w:rFonts w:eastAsia="Arial"/>
        </w:rPr>
        <w:t xml:space="preserve">. Sådan rekommenderas starkt </w:t>
      </w:r>
      <w:r w:rsidR="2111C480" w:rsidRPr="35A3DCE9">
        <w:rPr>
          <w:rFonts w:eastAsia="Arial"/>
        </w:rPr>
        <w:t>12mån</w:t>
      </w:r>
      <w:r w:rsidR="5BC78AAA" w:rsidRPr="35A3DCE9">
        <w:rPr>
          <w:rFonts w:eastAsia="Arial"/>
        </w:rPr>
        <w:t xml:space="preserve"> efter stentning och i </w:t>
      </w:r>
      <w:r w:rsidR="455553C9" w:rsidRPr="35A3DCE9">
        <w:rPr>
          <w:rFonts w:eastAsia="Arial"/>
        </w:rPr>
        <w:t xml:space="preserve">vissa </w:t>
      </w:r>
      <w:r w:rsidR="5BC78AAA" w:rsidRPr="35A3DCE9">
        <w:rPr>
          <w:rFonts w:eastAsia="Arial"/>
        </w:rPr>
        <w:t xml:space="preserve">fall kan turordningen/tajmingen av ingreppen </w:t>
      </w:r>
      <w:r w:rsidR="34CF24AD" w:rsidRPr="35A3DCE9">
        <w:rPr>
          <w:rFonts w:eastAsia="Arial"/>
        </w:rPr>
        <w:t>justeras.</w:t>
      </w:r>
    </w:p>
    <w:tbl>
      <w:tblPr>
        <w:tblW w:w="8474" w:type="dxa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Trombocythämmare"/>
        <w:tblDescription w:val="Tabellen ger rekommendation om utsättning av trombocythämmare utifrån blödningsrisk."/>
      </w:tblPr>
      <w:tblGrid>
        <w:gridCol w:w="1258"/>
        <w:gridCol w:w="1419"/>
        <w:gridCol w:w="1518"/>
        <w:gridCol w:w="1361"/>
        <w:gridCol w:w="1304"/>
        <w:gridCol w:w="1614"/>
      </w:tblGrid>
      <w:tr w:rsidR="00D3724A" w:rsidRPr="00D3724A" w14:paraId="7B05B267" w14:textId="77777777" w:rsidTr="00BA7CB8">
        <w:trPr>
          <w:trHeight w:val="300"/>
        </w:trPr>
        <w:tc>
          <w:tcPr>
            <w:tcW w:w="1258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1F7C9C7E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</w:p>
        </w:tc>
        <w:tc>
          <w:tcPr>
            <w:tcW w:w="1419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A8C5AF4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b/>
                <w:sz w:val="22"/>
                <w:szCs w:val="22"/>
                <w:lang w:val="en-US" w:eastAsia="en-US"/>
              </w:rPr>
            </w:pPr>
            <w:r w:rsidRPr="00F24445">
              <w:rPr>
                <w:rFonts w:ascii="Verdana" w:eastAsia="Calibri" w:hAnsi="Verdana"/>
                <w:b/>
                <w:sz w:val="22"/>
                <w:szCs w:val="22"/>
                <w:lang w:val="en-US" w:eastAsia="en-US"/>
              </w:rPr>
              <w:t>ASA</w:t>
            </w:r>
          </w:p>
          <w:p w14:paraId="4589F990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val="en-US" w:eastAsia="en-US"/>
              </w:rPr>
            </w:pPr>
            <w:r w:rsidRPr="00F24445">
              <w:rPr>
                <w:rFonts w:ascii="Verdana" w:eastAsia="Calibri" w:hAnsi="Verdana"/>
                <w:sz w:val="22"/>
                <w:szCs w:val="22"/>
                <w:lang w:val="en-US" w:eastAsia="en-US"/>
              </w:rPr>
              <w:t>(Trombyl</w:t>
            </w:r>
            <w:r w:rsidRPr="00F24445">
              <w:rPr>
                <w:rFonts w:ascii="Verdana" w:hAnsi="Verdana"/>
                <w:sz w:val="22"/>
                <w:szCs w:val="22"/>
                <w:vertAlign w:val="superscript"/>
              </w:rPr>
              <w:t>®</w:t>
            </w:r>
            <w:r w:rsidRPr="00F24445">
              <w:rPr>
                <w:rFonts w:ascii="Verdana" w:eastAsia="Calibri" w:hAnsi="Verdana"/>
                <w:sz w:val="22"/>
                <w:szCs w:val="22"/>
                <w:lang w:val="en-US" w:eastAsia="en-US"/>
              </w:rPr>
              <w:t>/</w:t>
            </w:r>
            <w:r w:rsidRPr="00F24445">
              <w:rPr>
                <w:rFonts w:ascii="Verdana" w:eastAsia="Calibri" w:hAnsi="Verdana"/>
                <w:sz w:val="22"/>
                <w:szCs w:val="22"/>
                <w:lang w:val="en-US" w:eastAsia="en-US"/>
              </w:rPr>
              <w:br/>
              <w:t>Asasantin</w:t>
            </w:r>
            <w:r w:rsidRPr="00F24445">
              <w:rPr>
                <w:rFonts w:ascii="Verdana" w:eastAsia="Calibri" w:hAnsi="Verdana" w:cs="Arial"/>
                <w:b/>
                <w:bCs/>
                <w:color w:val="000000"/>
                <w:sz w:val="22"/>
                <w:szCs w:val="22"/>
                <w:vertAlign w:val="superscript"/>
                <w:lang w:val="en-US" w:eastAsia="en-US"/>
              </w:rPr>
              <w:t>®</w:t>
            </w:r>
            <w:r w:rsidRPr="00F24445">
              <w:rPr>
                <w:rFonts w:ascii="Verdana" w:eastAsia="Calibri" w:hAnsi="Verdana"/>
                <w:sz w:val="22"/>
                <w:szCs w:val="22"/>
                <w:lang w:val="en-US" w:eastAsia="en-US"/>
              </w:rPr>
              <w:t>)</w:t>
            </w:r>
          </w:p>
        </w:tc>
        <w:tc>
          <w:tcPr>
            <w:tcW w:w="1518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937E89F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b/>
                <w:sz w:val="22"/>
                <w:szCs w:val="22"/>
                <w:lang w:val="en-US" w:eastAsia="en-US"/>
              </w:rPr>
            </w:pPr>
            <w:r w:rsidRPr="00F24445">
              <w:rPr>
                <w:rFonts w:ascii="Verdana" w:eastAsia="Calibri" w:hAnsi="Verdana"/>
                <w:b/>
                <w:sz w:val="22"/>
                <w:szCs w:val="22"/>
                <w:lang w:val="en-US" w:eastAsia="en-US"/>
              </w:rPr>
              <w:t>Clopidogrel</w:t>
            </w:r>
          </w:p>
          <w:p w14:paraId="50E3F766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val="en-US" w:eastAsia="en-US"/>
              </w:rPr>
            </w:pPr>
            <w:r w:rsidRPr="00F24445">
              <w:rPr>
                <w:rFonts w:ascii="Verdana" w:eastAsia="Calibri" w:hAnsi="Verdana"/>
                <w:sz w:val="22"/>
                <w:szCs w:val="22"/>
                <w:lang w:val="en-US" w:eastAsia="en-US"/>
              </w:rPr>
              <w:t>(Plavix</w:t>
            </w:r>
            <w:r w:rsidRPr="00F24445">
              <w:rPr>
                <w:rFonts w:ascii="Verdana" w:eastAsia="Calibri" w:hAnsi="Verdana"/>
                <w:b/>
                <w:color w:val="000000"/>
                <w:sz w:val="22"/>
                <w:szCs w:val="22"/>
                <w:vertAlign w:val="superscript"/>
                <w:lang w:val="en-US"/>
              </w:rPr>
              <w:t>®</w:t>
            </w:r>
            <w:r w:rsidRPr="00F24445">
              <w:rPr>
                <w:rFonts w:ascii="Verdana" w:eastAsia="Calibri" w:hAnsi="Verdana"/>
                <w:sz w:val="22"/>
                <w:szCs w:val="22"/>
                <w:lang w:val="en-US" w:eastAsia="en-US"/>
              </w:rPr>
              <w:t>)</w:t>
            </w:r>
          </w:p>
        </w:tc>
        <w:tc>
          <w:tcPr>
            <w:tcW w:w="1361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496E383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val="en-US" w:eastAsia="en-US"/>
              </w:rPr>
            </w:pPr>
            <w:r w:rsidRPr="00F24445">
              <w:rPr>
                <w:rFonts w:ascii="Verdana" w:eastAsia="Calibri" w:hAnsi="Verdana"/>
                <w:b/>
                <w:sz w:val="22"/>
                <w:szCs w:val="22"/>
                <w:lang w:val="en-US" w:eastAsia="en-US"/>
              </w:rPr>
              <w:t>Ticagrelor</w:t>
            </w:r>
            <w:r w:rsidRPr="00F24445">
              <w:rPr>
                <w:rFonts w:ascii="Verdana" w:eastAsia="Calibri" w:hAnsi="Verdana"/>
                <w:sz w:val="22"/>
                <w:szCs w:val="22"/>
                <w:lang w:val="en-US" w:eastAsia="en-US"/>
              </w:rPr>
              <w:t xml:space="preserve"> (Brilique</w:t>
            </w:r>
            <w:r w:rsidRPr="00F24445">
              <w:rPr>
                <w:rFonts w:ascii="Verdana" w:eastAsia="Calibri" w:hAnsi="Verdana"/>
                <w:b/>
                <w:color w:val="000000"/>
                <w:sz w:val="22"/>
                <w:szCs w:val="22"/>
                <w:vertAlign w:val="superscript"/>
                <w:lang w:val="en-US"/>
              </w:rPr>
              <w:t>®</w:t>
            </w:r>
            <w:r w:rsidRPr="00F24445">
              <w:rPr>
                <w:rFonts w:ascii="Verdana" w:eastAsia="Calibri" w:hAnsi="Verdana"/>
                <w:sz w:val="22"/>
                <w:szCs w:val="22"/>
                <w:lang w:val="en-US" w:eastAsia="en-US"/>
              </w:rPr>
              <w:t>)</w:t>
            </w:r>
          </w:p>
        </w:tc>
        <w:tc>
          <w:tcPr>
            <w:tcW w:w="1304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BA3022A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val="en-US" w:eastAsia="en-US"/>
              </w:rPr>
            </w:pPr>
            <w:r w:rsidRPr="00F24445">
              <w:rPr>
                <w:rFonts w:ascii="Verdana" w:eastAsia="Calibri" w:hAnsi="Verdana"/>
                <w:b/>
                <w:sz w:val="22"/>
                <w:szCs w:val="22"/>
                <w:lang w:val="en-US" w:eastAsia="en-US"/>
              </w:rPr>
              <w:t>Prasugrel</w:t>
            </w:r>
            <w:r w:rsidRPr="00F24445">
              <w:rPr>
                <w:rFonts w:ascii="Verdana" w:eastAsia="Calibri" w:hAnsi="Verdana"/>
                <w:sz w:val="22"/>
                <w:szCs w:val="22"/>
                <w:lang w:val="en-US" w:eastAsia="en-US"/>
              </w:rPr>
              <w:t xml:space="preserve"> (Effient</w:t>
            </w:r>
            <w:r w:rsidRPr="00F24445">
              <w:rPr>
                <w:rFonts w:ascii="Verdana" w:eastAsia="Calibri" w:hAnsi="Verdana"/>
                <w:b/>
                <w:color w:val="000000"/>
                <w:sz w:val="22"/>
                <w:szCs w:val="22"/>
                <w:vertAlign w:val="superscript"/>
                <w:lang w:val="en-US"/>
              </w:rPr>
              <w:t>®</w:t>
            </w:r>
            <w:r w:rsidRPr="00F24445">
              <w:rPr>
                <w:rFonts w:ascii="Verdana" w:eastAsia="Calibri" w:hAnsi="Verdana"/>
                <w:sz w:val="22"/>
                <w:szCs w:val="22"/>
                <w:lang w:val="en-US" w:eastAsia="en-US"/>
              </w:rPr>
              <w:t>)</w:t>
            </w:r>
          </w:p>
        </w:tc>
        <w:tc>
          <w:tcPr>
            <w:tcW w:w="1614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796DC79" w14:textId="31F22F4B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val="en-US"/>
              </w:rPr>
            </w:pPr>
            <w:r w:rsidRPr="00F24445">
              <w:rPr>
                <w:rFonts w:ascii="Verdana" w:eastAsia="Calibri" w:hAnsi="Verdana"/>
                <w:b/>
                <w:bCs/>
                <w:sz w:val="22"/>
                <w:szCs w:val="22"/>
                <w:lang w:val="en-US"/>
              </w:rPr>
              <w:t>Dipyr</w:t>
            </w:r>
            <w:r w:rsidR="20A3257F" w:rsidRPr="00F24445">
              <w:rPr>
                <w:rFonts w:ascii="Verdana" w:eastAsia="Calibri" w:hAnsi="Verdana"/>
                <w:b/>
                <w:bCs/>
                <w:sz w:val="22"/>
                <w:szCs w:val="22"/>
                <w:lang w:val="en-US"/>
              </w:rPr>
              <w:t>idamol</w:t>
            </w:r>
            <w:r w:rsidRPr="00F24445">
              <w:rPr>
                <w:rFonts w:ascii="Verdana" w:eastAsia="Calibri" w:hAnsi="Verdana"/>
                <w:sz w:val="22"/>
                <w:szCs w:val="22"/>
                <w:lang w:val="en-US"/>
              </w:rPr>
              <w:t xml:space="preserve"> </w:t>
            </w:r>
            <w:r w:rsidRPr="00F24445">
              <w:rPr>
                <w:rFonts w:ascii="Verdana" w:hAnsi="Verdana"/>
                <w:sz w:val="22"/>
                <w:szCs w:val="22"/>
              </w:rPr>
              <w:br/>
            </w:r>
            <w:r w:rsidRPr="00F24445">
              <w:rPr>
                <w:rFonts w:ascii="Verdana" w:eastAsia="Calibri" w:hAnsi="Verdana"/>
                <w:sz w:val="22"/>
                <w:szCs w:val="22"/>
                <w:lang w:val="en-US"/>
              </w:rPr>
              <w:t>(Persantin</w:t>
            </w:r>
            <w:r w:rsidRPr="00F24445">
              <w:rPr>
                <w:rFonts w:ascii="Verdana" w:eastAsia="Calibri" w:hAnsi="Verdana"/>
                <w:b/>
                <w:bCs/>
                <w:color w:val="000000" w:themeColor="text2"/>
                <w:sz w:val="22"/>
                <w:szCs w:val="22"/>
                <w:vertAlign w:val="superscript"/>
                <w:lang w:val="en-US"/>
              </w:rPr>
              <w:t>®</w:t>
            </w:r>
            <w:r w:rsidR="6EE21C2A" w:rsidRPr="00F24445">
              <w:rPr>
                <w:rFonts w:ascii="Verdana" w:eastAsia="Calibri" w:hAnsi="Verdana"/>
                <w:b/>
                <w:bCs/>
                <w:color w:val="000000" w:themeColor="text2"/>
                <w:sz w:val="22"/>
                <w:szCs w:val="22"/>
                <w:vertAlign w:val="superscript"/>
                <w:lang w:val="en-US"/>
              </w:rPr>
              <w:t>)</w:t>
            </w:r>
          </w:p>
        </w:tc>
      </w:tr>
      <w:tr w:rsidR="00D3724A" w:rsidRPr="00D3724A" w14:paraId="774B9DCB" w14:textId="77777777" w:rsidTr="00BA7CB8">
        <w:trPr>
          <w:trHeight w:val="300"/>
        </w:trPr>
        <w:tc>
          <w:tcPr>
            <w:tcW w:w="1258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249A07F0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  <w:r w:rsidRPr="00F24445">
              <w:rPr>
                <w:rFonts w:ascii="Verdana" w:eastAsia="Calibri" w:hAnsi="Verdana"/>
                <w:sz w:val="22"/>
                <w:szCs w:val="22"/>
                <w:lang w:val="en-US"/>
              </w:rPr>
              <w:t>U</w:t>
            </w:r>
            <w:r w:rsidRPr="00F24445">
              <w:rPr>
                <w:rFonts w:ascii="Verdana" w:eastAsia="Calibri" w:hAnsi="Verdana"/>
                <w:sz w:val="22"/>
                <w:szCs w:val="22"/>
                <w:lang w:eastAsia="en-US"/>
              </w:rPr>
              <w:t>tsättning</w:t>
            </w:r>
          </w:p>
          <w:p w14:paraId="442F5908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  <w:r w:rsidRPr="00F24445">
              <w:rPr>
                <w:rFonts w:ascii="Verdana" w:eastAsia="Calibri" w:hAnsi="Verdana"/>
                <w:sz w:val="22"/>
                <w:szCs w:val="22"/>
                <w:lang w:eastAsia="en-US"/>
              </w:rPr>
              <w:t>preop</w:t>
            </w:r>
          </w:p>
        </w:tc>
        <w:tc>
          <w:tcPr>
            <w:tcW w:w="1419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7774F63" w14:textId="498159BA" w:rsidR="00D3724A" w:rsidRPr="00F24445" w:rsidRDefault="340FE53E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  <w:r w:rsidRPr="00F24445">
              <w:rPr>
                <w:rFonts w:ascii="Verdana" w:eastAsia="Calibri" w:hAnsi="Verdana"/>
                <w:sz w:val="22"/>
                <w:szCs w:val="22"/>
                <w:lang w:eastAsia="en-US"/>
              </w:rPr>
              <w:t>1</w:t>
            </w:r>
            <w:r w:rsidR="00D3724A" w:rsidRPr="00F24445">
              <w:rPr>
                <w:rFonts w:ascii="Verdana" w:eastAsia="Calibri" w:hAnsi="Verdana"/>
                <w:sz w:val="22"/>
                <w:szCs w:val="22"/>
                <w:lang w:eastAsia="en-US"/>
              </w:rPr>
              <w:t xml:space="preserve"> dygn</w:t>
            </w:r>
          </w:p>
        </w:tc>
        <w:tc>
          <w:tcPr>
            <w:tcW w:w="1518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72D6DBE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  <w:r w:rsidRPr="00F24445">
              <w:rPr>
                <w:rFonts w:ascii="Verdana" w:eastAsia="Calibri" w:hAnsi="Verdana"/>
                <w:sz w:val="22"/>
                <w:szCs w:val="22"/>
                <w:lang w:eastAsia="en-US"/>
              </w:rPr>
              <w:t>5 dygn</w:t>
            </w:r>
          </w:p>
        </w:tc>
        <w:tc>
          <w:tcPr>
            <w:tcW w:w="1361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4D7F7A0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  <w:r w:rsidRPr="00F24445">
              <w:rPr>
                <w:rFonts w:ascii="Verdana" w:eastAsia="Calibri" w:hAnsi="Verdana"/>
                <w:sz w:val="22"/>
                <w:szCs w:val="22"/>
                <w:lang w:eastAsia="en-US"/>
              </w:rPr>
              <w:t>5 dygn</w:t>
            </w:r>
          </w:p>
        </w:tc>
        <w:tc>
          <w:tcPr>
            <w:tcW w:w="1304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C439AA6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  <w:r w:rsidRPr="00F24445">
              <w:rPr>
                <w:rFonts w:ascii="Verdana" w:eastAsia="Calibri" w:hAnsi="Verdana"/>
                <w:sz w:val="22"/>
                <w:szCs w:val="22"/>
                <w:lang w:eastAsia="en-US"/>
              </w:rPr>
              <w:t>7 dygn</w:t>
            </w:r>
          </w:p>
        </w:tc>
        <w:tc>
          <w:tcPr>
            <w:tcW w:w="1614" w:type="dxa"/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890D73A" w14:textId="77777777" w:rsidR="00D3724A" w:rsidRPr="00F24445" w:rsidRDefault="00D3724A" w:rsidP="00991033">
            <w:pPr>
              <w:keepNext/>
              <w:keepLines/>
              <w:spacing w:before="60" w:after="60" w:line="240" w:lineRule="auto"/>
              <w:ind w:left="0" w:right="0"/>
              <w:jc w:val="center"/>
              <w:rPr>
                <w:rFonts w:ascii="Verdana" w:eastAsia="Calibri" w:hAnsi="Verdana"/>
                <w:sz w:val="22"/>
                <w:szCs w:val="22"/>
                <w:lang w:eastAsia="en-US"/>
              </w:rPr>
            </w:pPr>
            <w:r w:rsidRPr="00F24445">
              <w:rPr>
                <w:rFonts w:ascii="Verdana" w:eastAsia="Calibri" w:hAnsi="Verdana"/>
                <w:sz w:val="22"/>
                <w:szCs w:val="22"/>
                <w:lang w:eastAsia="en-US"/>
              </w:rPr>
              <w:t>2 dygn</w:t>
            </w:r>
          </w:p>
        </w:tc>
      </w:tr>
    </w:tbl>
    <w:p w14:paraId="375E28DA" w14:textId="554C8F9D" w:rsidR="00D3724A" w:rsidRPr="00D3724A" w:rsidRDefault="00D3724A" w:rsidP="00766DD1">
      <w:pPr>
        <w:pStyle w:val="Rubrik2"/>
      </w:pPr>
      <w:bookmarkStart w:id="120" w:name="_Toc182366122"/>
      <w:bookmarkStart w:id="121" w:name="_Toc433703294"/>
      <w:bookmarkStart w:id="122" w:name="_Toc438112326"/>
      <w:bookmarkStart w:id="123" w:name="_Toc256000012"/>
      <w:bookmarkStart w:id="124" w:name="_Toc256000026"/>
      <w:bookmarkStart w:id="125" w:name="_Toc256000040"/>
      <w:bookmarkStart w:id="126" w:name="_Toc256000054"/>
      <w:bookmarkStart w:id="127" w:name="_Toc256000068"/>
      <w:bookmarkStart w:id="128" w:name="_Toc256000082"/>
      <w:bookmarkStart w:id="129" w:name="_Toc256000096"/>
      <w:bookmarkStart w:id="130" w:name="_Toc256000110"/>
      <w:bookmarkStart w:id="131" w:name="_Toc256000124"/>
      <w:bookmarkStart w:id="132" w:name="_Toc96594828"/>
      <w:bookmarkStart w:id="133" w:name="_Toc256000138"/>
      <w:bookmarkStart w:id="134" w:name="_Toc194326824"/>
      <w:r w:rsidRPr="00D3724A">
        <w:t>Dokumentinformation</w:t>
      </w:r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</w:p>
    <w:p w14:paraId="325210C8" w14:textId="77777777" w:rsidR="00D3724A" w:rsidRPr="005F7083" w:rsidRDefault="00D3724A" w:rsidP="00766DD1">
      <w:pPr>
        <w:keepNext/>
        <w:keepLines/>
        <w:spacing w:after="0"/>
        <w:rPr>
          <w:b/>
          <w:bCs/>
        </w:rPr>
      </w:pPr>
      <w:r w:rsidRPr="005F7083">
        <w:rPr>
          <w:b/>
          <w:bCs/>
        </w:rPr>
        <w:t>För innehållet svarar</w:t>
      </w:r>
    </w:p>
    <w:p w14:paraId="5C581C79" w14:textId="5AF097F2" w:rsidR="00D3724A" w:rsidRPr="00D3724A" w:rsidRDefault="32530B5B" w:rsidP="35A3DCE9">
      <w:pPr>
        <w:keepNext/>
        <w:keepLines/>
      </w:pPr>
      <w:r>
        <w:t>Fredrik Smith</w:t>
      </w:r>
      <w:r w:rsidR="00D3724A">
        <w:t>, överläkare</w:t>
      </w:r>
      <w:r w:rsidR="00F24445">
        <w:t>, VO AnOpIVA</w:t>
      </w:r>
      <w:r w:rsidR="001A6D61">
        <w:t>/</w:t>
      </w:r>
      <w:r w:rsidR="6DCB2DC9">
        <w:t>anestesi</w:t>
      </w:r>
      <w:r w:rsidR="00D3724A">
        <w:t xml:space="preserve">, SÄS </w:t>
      </w:r>
    </w:p>
    <w:p w14:paraId="3B492EEA" w14:textId="77777777" w:rsidR="00D3724A" w:rsidRPr="00D3724A" w:rsidRDefault="00D3724A" w:rsidP="00766DD1">
      <w:pPr>
        <w:keepNext/>
        <w:keepLines/>
        <w:spacing w:after="0"/>
      </w:pPr>
      <w:bookmarkStart w:id="135" w:name="_Toc149035757"/>
      <w:bookmarkStart w:id="136" w:name="_Toc149978547"/>
      <w:r w:rsidRPr="005F7083">
        <w:rPr>
          <w:b/>
          <w:bCs/>
        </w:rPr>
        <w:t>Remissinstanser</w:t>
      </w:r>
      <w:bookmarkEnd w:id="135"/>
      <w:bookmarkEnd w:id="136"/>
      <w:r w:rsidRPr="00D3724A">
        <w:t xml:space="preserve"> (utgåva 1)</w:t>
      </w:r>
    </w:p>
    <w:p w14:paraId="0199A280" w14:textId="77777777" w:rsidR="00D3724A" w:rsidRPr="00D3724A" w:rsidRDefault="00D3724A" w:rsidP="00766DD1">
      <w:pPr>
        <w:keepNext/>
        <w:keepLines/>
        <w:rPr>
          <w:szCs w:val="20"/>
        </w:rPr>
      </w:pPr>
      <w:r w:rsidRPr="00D3724A">
        <w:rPr>
          <w:szCs w:val="20"/>
        </w:rPr>
        <w:t>Verksamhetschefer, SÄS</w:t>
      </w:r>
    </w:p>
    <w:p w14:paraId="7DFBB3A8" w14:textId="77777777" w:rsidR="00D3724A" w:rsidRPr="005F7083" w:rsidRDefault="00D3724A" w:rsidP="00766DD1">
      <w:pPr>
        <w:keepNext/>
        <w:keepLines/>
        <w:spacing w:after="0"/>
        <w:rPr>
          <w:b/>
          <w:bCs/>
        </w:rPr>
      </w:pPr>
      <w:r w:rsidRPr="005F7083">
        <w:rPr>
          <w:b/>
          <w:bCs/>
        </w:rPr>
        <w:t>Fastställt av</w:t>
      </w:r>
    </w:p>
    <w:p w14:paraId="3C2825D9" w14:textId="6FEE7C97" w:rsidR="00D3724A" w:rsidRPr="00D3724A" w:rsidRDefault="00D4474D" w:rsidP="00766DD1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D3724A" w:rsidRPr="00D3724A">
        <w:rPr>
          <w:szCs w:val="20"/>
        </w:rPr>
        <w:t>, chefläkare, SÄS</w:t>
      </w:r>
    </w:p>
    <w:p w14:paraId="6B40D7E9" w14:textId="77777777" w:rsidR="00D3724A" w:rsidRPr="005F7083" w:rsidRDefault="00D3724A" w:rsidP="00766DD1">
      <w:pPr>
        <w:keepNext/>
        <w:keepLines/>
        <w:spacing w:after="0"/>
        <w:rPr>
          <w:b/>
          <w:bCs/>
        </w:rPr>
      </w:pPr>
      <w:r w:rsidRPr="005F7083">
        <w:rPr>
          <w:b/>
          <w:bCs/>
        </w:rPr>
        <w:t>Nyckelord</w:t>
      </w:r>
    </w:p>
    <w:p w14:paraId="31A7FCEE" w14:textId="77777777" w:rsidR="00D3724A" w:rsidRPr="00D3724A" w:rsidRDefault="00D3724A" w:rsidP="00766DD1">
      <w:pPr>
        <w:keepNext/>
        <w:keepLines/>
        <w:rPr>
          <w:szCs w:val="20"/>
        </w:rPr>
      </w:pPr>
      <w:r w:rsidRPr="00D3724A">
        <w:rPr>
          <w:szCs w:val="20"/>
        </w:rPr>
        <w:t>Hematologiska medel, antikoagulantia, blodförtunningsmedel, antitrombiner, trombinhämmare, operationer, kirurgi, läkemedel, läkemedelsbehandling</w:t>
      </w:r>
    </w:p>
    <w:p w14:paraId="363E2044" w14:textId="77777777" w:rsidR="00D3724A" w:rsidRPr="001A6D61" w:rsidRDefault="00D3724A" w:rsidP="001A6D61">
      <w:pPr>
        <w:pStyle w:val="Rubrik2"/>
      </w:pPr>
      <w:bookmarkStart w:id="137" w:name="_Toc433703295"/>
      <w:bookmarkStart w:id="138" w:name="_Toc438112327"/>
      <w:bookmarkStart w:id="139" w:name="_Toc256000013"/>
      <w:bookmarkStart w:id="140" w:name="_Toc256000027"/>
      <w:bookmarkStart w:id="141" w:name="_Toc256000041"/>
      <w:bookmarkStart w:id="142" w:name="_Toc256000055"/>
      <w:bookmarkStart w:id="143" w:name="_Toc256000069"/>
      <w:bookmarkStart w:id="144" w:name="_Toc256000083"/>
      <w:bookmarkStart w:id="145" w:name="_Toc256000097"/>
      <w:bookmarkStart w:id="146" w:name="_Toc256000111"/>
      <w:bookmarkStart w:id="147" w:name="_Toc256000125"/>
      <w:bookmarkStart w:id="148" w:name="_Toc96594829"/>
      <w:bookmarkStart w:id="149" w:name="_Toc256000139"/>
      <w:bookmarkStart w:id="150" w:name="_Toc169686209"/>
      <w:bookmarkStart w:id="151" w:name="_Toc169686713"/>
      <w:bookmarkStart w:id="152" w:name="_Toc182366123"/>
      <w:bookmarkStart w:id="153" w:name="_Toc194326825"/>
      <w:r w:rsidRPr="001A6D61">
        <w:t>Referens- och länkförteckning</w:t>
      </w:r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3"/>
    </w:p>
    <w:p w14:paraId="086898B7" w14:textId="09F608B8" w:rsidR="00D3724A" w:rsidRPr="001A6D61" w:rsidRDefault="00D3724A" w:rsidP="001A6D61">
      <w:pPr>
        <w:pStyle w:val="Punktlistanumrerad"/>
      </w:pPr>
      <w:r w:rsidRPr="001A6D61">
        <w:t xml:space="preserve">Svenska Sällskapet för Trombos och Hemostas </w:t>
      </w:r>
      <w:bookmarkEnd w:id="150"/>
      <w:bookmarkEnd w:id="151"/>
      <w:bookmarkEnd w:id="152"/>
      <w:r w:rsidR="001A6D61">
        <w:rPr>
          <w:rStyle w:val="Hyperlnk"/>
          <w:rFonts w:eastAsia="Segoe UI"/>
        </w:rPr>
        <w:fldChar w:fldCharType="begin"/>
      </w:r>
      <w:r w:rsidR="001A6D61">
        <w:rPr>
          <w:rStyle w:val="Hyperlnk"/>
          <w:rFonts w:eastAsia="Segoe UI"/>
        </w:rPr>
        <w:instrText>HYPERLINK "</w:instrText>
      </w:r>
      <w:r w:rsidR="001A6D61" w:rsidRPr="001A6D61">
        <w:rPr>
          <w:rStyle w:val="Hyperlnk"/>
          <w:rFonts w:eastAsia="Segoe UI"/>
        </w:rPr>
        <w:instrText>https://www.ssth.se/wp-content/uploads/2024/10/Riktlinjer-NOAK-241022.pdf</w:instrText>
      </w:r>
      <w:r w:rsidR="001A6D61">
        <w:rPr>
          <w:rStyle w:val="Hyperlnk"/>
          <w:rFonts w:eastAsia="Segoe UI"/>
        </w:rPr>
        <w:instrText>"</w:instrText>
      </w:r>
      <w:r w:rsidR="001A6D61">
        <w:rPr>
          <w:rStyle w:val="Hyperlnk"/>
          <w:rFonts w:eastAsia="Segoe UI"/>
        </w:rPr>
        <w:fldChar w:fldCharType="separate"/>
      </w:r>
      <w:r w:rsidR="001A6D61" w:rsidRPr="00EF0751">
        <w:rPr>
          <w:rStyle w:val="Hyperlnk"/>
          <w:rFonts w:eastAsia="Segoe UI"/>
        </w:rPr>
        <w:t>https://www.ssth.se/wp-content/uploads/2024/10/Riktlinjer-NOAK-241022.pdf</w:t>
      </w:r>
      <w:r w:rsidR="001A6D61">
        <w:rPr>
          <w:rStyle w:val="Hyperlnk"/>
          <w:rFonts w:eastAsia="Segoe UI"/>
        </w:rPr>
        <w:fldChar w:fldCharType="end"/>
      </w:r>
    </w:p>
    <w:bookmarkEnd w:id="0"/>
    <w:p w14:paraId="2B4F2B74" w14:textId="6748E0EE" w:rsidR="4E241F67" w:rsidRDefault="4E241F67" w:rsidP="001A6D61">
      <w:pPr>
        <w:pStyle w:val="Punktlistanumrerad"/>
      </w:pPr>
      <w:r w:rsidRPr="001A6D61">
        <w:t>Svenska Sällskapet för Trombos och Hemostas (</w:t>
      </w:r>
      <w:r w:rsidR="1CEA898C" w:rsidRPr="002C00E4">
        <w:t>Trom</w:t>
      </w:r>
      <w:r w:rsidR="1CEA898C" w:rsidRPr="002C00E4">
        <w:t>b</w:t>
      </w:r>
      <w:r w:rsidR="1CEA898C" w:rsidRPr="002C00E4">
        <w:t>ocytråd okt-20 REN</w:t>
      </w:r>
      <w:r w:rsidR="7753642B" w:rsidRPr="002C00E4">
        <w:t>)</w:t>
      </w:r>
      <w:r w:rsidR="002C00E4">
        <w:rPr>
          <w:rStyle w:val="Hyperlnk"/>
          <w:color w:val="auto"/>
          <w:u w:val="none"/>
        </w:rPr>
        <w:br/>
      </w:r>
      <w:hyperlink r:id="rId13" w:history="1">
        <w:r w:rsidR="002C00E4" w:rsidRPr="00EF0751">
          <w:rPr>
            <w:rStyle w:val="Hyperlnk"/>
          </w:rPr>
          <w:t>www.ssth.se/wp-content/uploads/2020/10/Trombocytra%CC%8Ad.pdf</w:t>
        </w:r>
      </w:hyperlink>
    </w:p>
    <w:p w14:paraId="401D2474" w14:textId="144699BB" w:rsidR="00050D21" w:rsidRPr="001A6D61" w:rsidRDefault="7753642B" w:rsidP="005D078C">
      <w:pPr>
        <w:pStyle w:val="Punktlistanumrerad"/>
      </w:pPr>
      <w:r w:rsidRPr="00050D21">
        <w:t>Orala antitrombotiska läkemedel vid blödning och inför kirurgi hos vu</w:t>
      </w:r>
      <w:r w:rsidRPr="00050D21">
        <w:t>x</w:t>
      </w:r>
      <w:r w:rsidRPr="00050D21">
        <w:t>na</w:t>
      </w:r>
      <w:r w:rsidR="00050D21">
        <w:t xml:space="preserve">. </w:t>
      </w:r>
      <w:r w:rsidRPr="00050D21">
        <w:t>Janusinfo.se</w:t>
      </w:r>
      <w:r w:rsidR="00050D21" w:rsidRPr="00050D21">
        <w:rPr>
          <w:rStyle w:val="Hyperlnk"/>
          <w:color w:val="auto"/>
          <w:u w:val="none"/>
        </w:rPr>
        <w:br/>
      </w:r>
      <w:hyperlink r:id="rId14" w:history="1">
        <w:r w:rsidR="00050D21" w:rsidRPr="00EF0751">
          <w:rPr>
            <w:rStyle w:val="Hyperlnk"/>
          </w:rPr>
          <w:t>https://janusinfo.se/behandling/expertgruppsutlatanden/hjartochkarlsjukdomar/hjartochkarlsjukdomar/oralaantitrombotiskalakemedelvidblodningochinforkirurgihosvuxna.5.636fcf0c186707f25a240334.html#svid53Uppehallinforplaneradkirurgi</w:t>
        </w:r>
      </w:hyperlink>
    </w:p>
    <w:sectPr w:rsidR="00050D21" w:rsidRPr="001A6D61" w:rsidSect="00D3724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F8201E9" w:rsidR="00660269" w:rsidRDefault="0013447C" w:rsidP="0013447C">
    <w:pPr>
      <w:pStyle w:val="Sidfot"/>
      <w:spacing w:after="0" w:line="240" w:lineRule="auto"/>
      <w:ind w:left="6237" w:firstLine="567"/>
      <w:jc w:val="left"/>
    </w:pPr>
    <w:r>
      <w:rPr>
        <w:noProof/>
      </w:rPr>
      <w:drawing>
        <wp:inline distT="0" distB="0" distL="0" distR="0" wp14:anchorId="098FF2F5" wp14:editId="72685407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1FEB440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E56E52" w:rsidRDefault="00413A60">
                          <w:pPr>
                            <w:ind w:left="0"/>
                          </w:pPr>
                          <w:r w:rsidRPr="00E56E52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E56E52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E56E52" w:rsidRDefault="00413A60">
                    <w:pPr>
                      <w:ind w:left="0"/>
                    </w:pPr>
                    <w:r w:rsidRPr="00E56E52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E56E52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F3102E2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6966C794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8B526D"/>
    <w:multiLevelType w:val="hybridMultilevel"/>
    <w:tmpl w:val="DB4479D8"/>
    <w:lvl w:ilvl="0" w:tplc="47C4B62C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01B32AB"/>
    <w:multiLevelType w:val="hybridMultilevel"/>
    <w:tmpl w:val="0EF05338"/>
    <w:lvl w:ilvl="0" w:tplc="85883D90">
      <w:start w:val="1"/>
      <w:numFmt w:val="bullet"/>
      <w:pStyle w:val="Punktlistaunderliggande"/>
      <w:lvlText w:val="–"/>
      <w:lvlJc w:val="left"/>
      <w:pPr>
        <w:ind w:left="170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3916"/>
        </w:tabs>
        <w:ind w:left="391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4636"/>
        </w:tabs>
        <w:ind w:left="463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5356"/>
        </w:tabs>
        <w:ind w:left="535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6076"/>
        </w:tabs>
        <w:ind w:left="607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796"/>
        </w:tabs>
        <w:ind w:left="679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7516"/>
        </w:tabs>
        <w:ind w:left="751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8236"/>
        </w:tabs>
        <w:ind w:left="823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956"/>
        </w:tabs>
        <w:ind w:left="8956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F49ADF"/>
    <w:multiLevelType w:val="hybridMultilevel"/>
    <w:tmpl w:val="82F685E0"/>
    <w:lvl w:ilvl="0" w:tplc="6C0EEEA4">
      <w:start w:val="1"/>
      <w:numFmt w:val="decimal"/>
      <w:lvlText w:val="%1."/>
      <w:lvlJc w:val="left"/>
      <w:pPr>
        <w:ind w:left="720" w:hanging="360"/>
      </w:pPr>
    </w:lvl>
    <w:lvl w:ilvl="1" w:tplc="B6CAE732">
      <w:start w:val="1"/>
      <w:numFmt w:val="lowerLetter"/>
      <w:lvlText w:val="%2."/>
      <w:lvlJc w:val="left"/>
      <w:pPr>
        <w:ind w:left="1440" w:hanging="360"/>
      </w:pPr>
    </w:lvl>
    <w:lvl w:ilvl="2" w:tplc="E958558E">
      <w:start w:val="1"/>
      <w:numFmt w:val="lowerRoman"/>
      <w:lvlText w:val="%3."/>
      <w:lvlJc w:val="right"/>
      <w:pPr>
        <w:ind w:left="2160" w:hanging="180"/>
      </w:pPr>
    </w:lvl>
    <w:lvl w:ilvl="3" w:tplc="B8D8B51C">
      <w:start w:val="1"/>
      <w:numFmt w:val="decimal"/>
      <w:lvlText w:val="%4."/>
      <w:lvlJc w:val="left"/>
      <w:pPr>
        <w:ind w:left="2880" w:hanging="360"/>
      </w:pPr>
    </w:lvl>
    <w:lvl w:ilvl="4" w:tplc="9BF6C588">
      <w:start w:val="1"/>
      <w:numFmt w:val="lowerLetter"/>
      <w:lvlText w:val="%5."/>
      <w:lvlJc w:val="left"/>
      <w:pPr>
        <w:ind w:left="3600" w:hanging="360"/>
      </w:pPr>
    </w:lvl>
    <w:lvl w:ilvl="5" w:tplc="76FE78E2">
      <w:start w:val="1"/>
      <w:numFmt w:val="lowerRoman"/>
      <w:lvlText w:val="%6."/>
      <w:lvlJc w:val="right"/>
      <w:pPr>
        <w:ind w:left="4320" w:hanging="180"/>
      </w:pPr>
    </w:lvl>
    <w:lvl w:ilvl="6" w:tplc="14C07CD0">
      <w:start w:val="1"/>
      <w:numFmt w:val="decimal"/>
      <w:lvlText w:val="%7."/>
      <w:lvlJc w:val="left"/>
      <w:pPr>
        <w:ind w:left="5040" w:hanging="360"/>
      </w:pPr>
    </w:lvl>
    <w:lvl w:ilvl="7" w:tplc="A510CA4A">
      <w:start w:val="1"/>
      <w:numFmt w:val="lowerLetter"/>
      <w:lvlText w:val="%8."/>
      <w:lvlJc w:val="left"/>
      <w:pPr>
        <w:ind w:left="5760" w:hanging="360"/>
      </w:pPr>
    </w:lvl>
    <w:lvl w:ilvl="8" w:tplc="315A9D66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94776F8"/>
    <w:multiLevelType w:val="hybridMultilevel"/>
    <w:tmpl w:val="BAAE416C"/>
    <w:lvl w:ilvl="0" w:tplc="5ACA795E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AF78315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3FA6102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A76D3A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DA9E83B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574668B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A17C9BA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6284C26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D354B4D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1" w15:restartNumberingAfterBreak="0">
    <w:nsid w:val="67910492"/>
    <w:multiLevelType w:val="hybridMultilevel"/>
    <w:tmpl w:val="754A1124"/>
    <w:lvl w:ilvl="0" w:tplc="DB3C41BE">
      <w:start w:val="1"/>
      <w:numFmt w:val="decimal"/>
      <w:lvlText w:val="%1."/>
      <w:lvlJc w:val="left"/>
      <w:pPr>
        <w:ind w:left="720" w:hanging="360"/>
      </w:pPr>
    </w:lvl>
    <w:lvl w:ilvl="1" w:tplc="63AADC6E">
      <w:start w:val="1"/>
      <w:numFmt w:val="lowerLetter"/>
      <w:lvlText w:val="%2."/>
      <w:lvlJc w:val="left"/>
      <w:pPr>
        <w:ind w:left="1440" w:hanging="360"/>
      </w:pPr>
    </w:lvl>
    <w:lvl w:ilvl="2" w:tplc="E988A728">
      <w:start w:val="1"/>
      <w:numFmt w:val="lowerRoman"/>
      <w:lvlText w:val="%3."/>
      <w:lvlJc w:val="right"/>
      <w:pPr>
        <w:ind w:left="2160" w:hanging="180"/>
      </w:pPr>
    </w:lvl>
    <w:lvl w:ilvl="3" w:tplc="20C80EDA">
      <w:start w:val="1"/>
      <w:numFmt w:val="decimal"/>
      <w:lvlText w:val="%4."/>
      <w:lvlJc w:val="left"/>
      <w:pPr>
        <w:ind w:left="2880" w:hanging="360"/>
      </w:pPr>
    </w:lvl>
    <w:lvl w:ilvl="4" w:tplc="38347C72">
      <w:start w:val="1"/>
      <w:numFmt w:val="lowerLetter"/>
      <w:lvlText w:val="%5."/>
      <w:lvlJc w:val="left"/>
      <w:pPr>
        <w:ind w:left="3600" w:hanging="360"/>
      </w:pPr>
    </w:lvl>
    <w:lvl w:ilvl="5" w:tplc="90C2DC58">
      <w:start w:val="1"/>
      <w:numFmt w:val="lowerRoman"/>
      <w:lvlText w:val="%6."/>
      <w:lvlJc w:val="right"/>
      <w:pPr>
        <w:ind w:left="4320" w:hanging="180"/>
      </w:pPr>
    </w:lvl>
    <w:lvl w:ilvl="6" w:tplc="9C88B8D4">
      <w:start w:val="1"/>
      <w:numFmt w:val="decimal"/>
      <w:lvlText w:val="%7."/>
      <w:lvlJc w:val="left"/>
      <w:pPr>
        <w:ind w:left="5040" w:hanging="360"/>
      </w:pPr>
    </w:lvl>
    <w:lvl w:ilvl="7" w:tplc="47261158">
      <w:start w:val="1"/>
      <w:numFmt w:val="lowerLetter"/>
      <w:lvlText w:val="%8."/>
      <w:lvlJc w:val="left"/>
      <w:pPr>
        <w:ind w:left="5760" w:hanging="360"/>
      </w:pPr>
    </w:lvl>
    <w:lvl w:ilvl="8" w:tplc="9D1EFBC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DE06EA4"/>
    <w:multiLevelType w:val="multilevel"/>
    <w:tmpl w:val="B906C41E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2313918">
    <w:abstractNumId w:val="21"/>
  </w:num>
  <w:num w:numId="2" w16cid:durableId="1680036945">
    <w:abstractNumId w:val="16"/>
  </w:num>
  <w:num w:numId="3" w16cid:durableId="351152629">
    <w:abstractNumId w:val="20"/>
  </w:num>
  <w:num w:numId="4" w16cid:durableId="1599946853">
    <w:abstractNumId w:val="11"/>
  </w:num>
  <w:num w:numId="5" w16cid:durableId="1793281651">
    <w:abstractNumId w:val="2"/>
  </w:num>
  <w:num w:numId="6" w16cid:durableId="1950618413">
    <w:abstractNumId w:val="22"/>
  </w:num>
  <w:num w:numId="7" w16cid:durableId="8037378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9254064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73088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6242675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02565240">
    <w:abstractNumId w:val="10"/>
  </w:num>
  <w:num w:numId="12" w16cid:durableId="32979196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20F"/>
    <w:rsid w:val="00050500"/>
    <w:rsid w:val="00050D21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47C"/>
    <w:rsid w:val="0013580F"/>
    <w:rsid w:val="00137B6D"/>
    <w:rsid w:val="0014070B"/>
    <w:rsid w:val="001422C1"/>
    <w:rsid w:val="001522AE"/>
    <w:rsid w:val="00154454"/>
    <w:rsid w:val="00157D5B"/>
    <w:rsid w:val="00161FE6"/>
    <w:rsid w:val="001647EA"/>
    <w:rsid w:val="00164C3D"/>
    <w:rsid w:val="00166D3A"/>
    <w:rsid w:val="00180DC0"/>
    <w:rsid w:val="00181FDC"/>
    <w:rsid w:val="00182E20"/>
    <w:rsid w:val="001860B9"/>
    <w:rsid w:val="00186F2B"/>
    <w:rsid w:val="001874D6"/>
    <w:rsid w:val="0019632A"/>
    <w:rsid w:val="001A4E7C"/>
    <w:rsid w:val="001A6D61"/>
    <w:rsid w:val="001B762C"/>
    <w:rsid w:val="001C4D0A"/>
    <w:rsid w:val="001C5FEF"/>
    <w:rsid w:val="001F113D"/>
    <w:rsid w:val="001F5A12"/>
    <w:rsid w:val="00211487"/>
    <w:rsid w:val="00211D91"/>
    <w:rsid w:val="00212C44"/>
    <w:rsid w:val="00217DEC"/>
    <w:rsid w:val="00220DF8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E0B"/>
    <w:rsid w:val="002B0B30"/>
    <w:rsid w:val="002B0C78"/>
    <w:rsid w:val="002C00E4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B6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E93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75CD"/>
    <w:rsid w:val="005578FA"/>
    <w:rsid w:val="00565129"/>
    <w:rsid w:val="00565CD0"/>
    <w:rsid w:val="00567820"/>
    <w:rsid w:val="00570D5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EE0"/>
    <w:rsid w:val="005F708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4D3"/>
    <w:rsid w:val="0065595B"/>
    <w:rsid w:val="00660269"/>
    <w:rsid w:val="00665F89"/>
    <w:rsid w:val="00673C92"/>
    <w:rsid w:val="006753EC"/>
    <w:rsid w:val="006804C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C7F08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25A"/>
    <w:rsid w:val="00754905"/>
    <w:rsid w:val="00760038"/>
    <w:rsid w:val="00762EE0"/>
    <w:rsid w:val="00765C41"/>
    <w:rsid w:val="00766DD1"/>
    <w:rsid w:val="00771100"/>
    <w:rsid w:val="007759DD"/>
    <w:rsid w:val="0078609F"/>
    <w:rsid w:val="007917BA"/>
    <w:rsid w:val="007A5748"/>
    <w:rsid w:val="007A5C6F"/>
    <w:rsid w:val="007D4241"/>
    <w:rsid w:val="007D4317"/>
    <w:rsid w:val="007D4EA3"/>
    <w:rsid w:val="007F1CFF"/>
    <w:rsid w:val="007F5DD5"/>
    <w:rsid w:val="0081531B"/>
    <w:rsid w:val="00821A1B"/>
    <w:rsid w:val="008262E9"/>
    <w:rsid w:val="00827E69"/>
    <w:rsid w:val="00832A46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1F5"/>
    <w:rsid w:val="008E78A1"/>
    <w:rsid w:val="008F589F"/>
    <w:rsid w:val="0090119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03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DFB"/>
    <w:rsid w:val="00AC3FF6"/>
    <w:rsid w:val="00AD73EC"/>
    <w:rsid w:val="00AE5BC7"/>
    <w:rsid w:val="00AF3153"/>
    <w:rsid w:val="00AF33C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CB8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928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24A"/>
    <w:rsid w:val="00D37E7F"/>
    <w:rsid w:val="00D4474D"/>
    <w:rsid w:val="00D47AD7"/>
    <w:rsid w:val="00D51529"/>
    <w:rsid w:val="00D75EB3"/>
    <w:rsid w:val="00D7D36A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E52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5F73"/>
    <w:rsid w:val="00F22264"/>
    <w:rsid w:val="00F24445"/>
    <w:rsid w:val="00F2564D"/>
    <w:rsid w:val="00F35B05"/>
    <w:rsid w:val="00F413D9"/>
    <w:rsid w:val="00F5135F"/>
    <w:rsid w:val="00F51F78"/>
    <w:rsid w:val="00F532D5"/>
    <w:rsid w:val="00F86F47"/>
    <w:rsid w:val="00F90B64"/>
    <w:rsid w:val="00FB1CBE"/>
    <w:rsid w:val="00FB2F0F"/>
    <w:rsid w:val="00FB5086"/>
    <w:rsid w:val="00FB5411"/>
    <w:rsid w:val="00FB6392"/>
    <w:rsid w:val="00FD2CA1"/>
    <w:rsid w:val="00FD3C70"/>
    <w:rsid w:val="00FD6820"/>
    <w:rsid w:val="00FE12D8"/>
    <w:rsid w:val="00FF7C02"/>
    <w:rsid w:val="024801E3"/>
    <w:rsid w:val="0278F50F"/>
    <w:rsid w:val="046C9194"/>
    <w:rsid w:val="04814162"/>
    <w:rsid w:val="088B63FD"/>
    <w:rsid w:val="0ACA9817"/>
    <w:rsid w:val="0F4AD4AD"/>
    <w:rsid w:val="10824F6F"/>
    <w:rsid w:val="10B921DA"/>
    <w:rsid w:val="13D8286B"/>
    <w:rsid w:val="15676135"/>
    <w:rsid w:val="15EF7738"/>
    <w:rsid w:val="17E626A3"/>
    <w:rsid w:val="18A5DDD2"/>
    <w:rsid w:val="18FC0019"/>
    <w:rsid w:val="195829AD"/>
    <w:rsid w:val="199C309C"/>
    <w:rsid w:val="1B10ABFA"/>
    <w:rsid w:val="1B1DC87D"/>
    <w:rsid w:val="1CBD98BC"/>
    <w:rsid w:val="1CEA898C"/>
    <w:rsid w:val="1E14E70D"/>
    <w:rsid w:val="1F6D4DBF"/>
    <w:rsid w:val="1FE90E1A"/>
    <w:rsid w:val="208C5F1C"/>
    <w:rsid w:val="20A3257F"/>
    <w:rsid w:val="2111C480"/>
    <w:rsid w:val="2385BA99"/>
    <w:rsid w:val="2411D292"/>
    <w:rsid w:val="2449BD2A"/>
    <w:rsid w:val="246B8F2C"/>
    <w:rsid w:val="24A654C0"/>
    <w:rsid w:val="27E5444E"/>
    <w:rsid w:val="28CB93F8"/>
    <w:rsid w:val="29BA8F6C"/>
    <w:rsid w:val="2B27247B"/>
    <w:rsid w:val="2B324787"/>
    <w:rsid w:val="2CC8F616"/>
    <w:rsid w:val="2DE36AEF"/>
    <w:rsid w:val="2E55183C"/>
    <w:rsid w:val="2EE973CB"/>
    <w:rsid w:val="2F9669F6"/>
    <w:rsid w:val="30363359"/>
    <w:rsid w:val="30807F36"/>
    <w:rsid w:val="30AE8D74"/>
    <w:rsid w:val="31398708"/>
    <w:rsid w:val="31526370"/>
    <w:rsid w:val="32530B5B"/>
    <w:rsid w:val="32D82BEB"/>
    <w:rsid w:val="340FE53E"/>
    <w:rsid w:val="34CF24AD"/>
    <w:rsid w:val="35A3DCE9"/>
    <w:rsid w:val="35C8DF70"/>
    <w:rsid w:val="374C3613"/>
    <w:rsid w:val="37A2B266"/>
    <w:rsid w:val="37ECC006"/>
    <w:rsid w:val="3AA5A61B"/>
    <w:rsid w:val="3B123D09"/>
    <w:rsid w:val="3B27D249"/>
    <w:rsid w:val="3E89EACF"/>
    <w:rsid w:val="3ECF8E46"/>
    <w:rsid w:val="3F482767"/>
    <w:rsid w:val="41D965A1"/>
    <w:rsid w:val="44E8FF45"/>
    <w:rsid w:val="455553C9"/>
    <w:rsid w:val="45CC85A4"/>
    <w:rsid w:val="45DC8B83"/>
    <w:rsid w:val="46A2F7BC"/>
    <w:rsid w:val="471E795D"/>
    <w:rsid w:val="47D68ECE"/>
    <w:rsid w:val="4C8CF7A0"/>
    <w:rsid w:val="4DF94998"/>
    <w:rsid w:val="4E241F67"/>
    <w:rsid w:val="4E781097"/>
    <w:rsid w:val="4F6BF9AA"/>
    <w:rsid w:val="4F76EC25"/>
    <w:rsid w:val="4FCC2182"/>
    <w:rsid w:val="4FE0EB53"/>
    <w:rsid w:val="503CDF6D"/>
    <w:rsid w:val="51899F61"/>
    <w:rsid w:val="51BE6C5A"/>
    <w:rsid w:val="52927799"/>
    <w:rsid w:val="5368D3A7"/>
    <w:rsid w:val="553A86F6"/>
    <w:rsid w:val="5554FFB1"/>
    <w:rsid w:val="5599BA26"/>
    <w:rsid w:val="55AFA787"/>
    <w:rsid w:val="5644E6A6"/>
    <w:rsid w:val="58FA5B48"/>
    <w:rsid w:val="591E8455"/>
    <w:rsid w:val="5A04904D"/>
    <w:rsid w:val="5AF7CA17"/>
    <w:rsid w:val="5BC78AAA"/>
    <w:rsid w:val="5C148813"/>
    <w:rsid w:val="5C98A7FA"/>
    <w:rsid w:val="5E97EE99"/>
    <w:rsid w:val="5EEC0E8C"/>
    <w:rsid w:val="5FFA480D"/>
    <w:rsid w:val="60F2EE68"/>
    <w:rsid w:val="619DB157"/>
    <w:rsid w:val="61A5280E"/>
    <w:rsid w:val="6224F66E"/>
    <w:rsid w:val="626683BC"/>
    <w:rsid w:val="6424F3D9"/>
    <w:rsid w:val="64430D71"/>
    <w:rsid w:val="645C051F"/>
    <w:rsid w:val="647B2B65"/>
    <w:rsid w:val="64AB544D"/>
    <w:rsid w:val="65DAFD45"/>
    <w:rsid w:val="6743A605"/>
    <w:rsid w:val="68EACD55"/>
    <w:rsid w:val="6B2CF8ED"/>
    <w:rsid w:val="6D040238"/>
    <w:rsid w:val="6D7E0CF5"/>
    <w:rsid w:val="6DCB2DC9"/>
    <w:rsid w:val="6E4F78A9"/>
    <w:rsid w:val="6E755F49"/>
    <w:rsid w:val="6EE21C2A"/>
    <w:rsid w:val="6F2EAD28"/>
    <w:rsid w:val="701967FF"/>
    <w:rsid w:val="72402882"/>
    <w:rsid w:val="7287F07B"/>
    <w:rsid w:val="72F40D10"/>
    <w:rsid w:val="735EFA17"/>
    <w:rsid w:val="741271EB"/>
    <w:rsid w:val="75A596F0"/>
    <w:rsid w:val="7753642B"/>
    <w:rsid w:val="78168DE0"/>
    <w:rsid w:val="788446B3"/>
    <w:rsid w:val="791BEF37"/>
    <w:rsid w:val="7A53D7E4"/>
    <w:rsid w:val="7BAB42C8"/>
    <w:rsid w:val="7CD0BBD9"/>
    <w:rsid w:val="7CE1B344"/>
    <w:rsid w:val="7D318F67"/>
    <w:rsid w:val="7D43CFF5"/>
    <w:rsid w:val="7D7D5C32"/>
    <w:rsid w:val="7D96B757"/>
    <w:rsid w:val="7F73941B"/>
    <w:rsid w:val="7FFB5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6E52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91033"/>
    <w:pPr>
      <w:keepNext/>
      <w:spacing w:before="1300"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E56E52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47C"/>
    <w:pPr>
      <w:keepNext/>
      <w:keepLines/>
      <w:spacing w:before="240" w:after="40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3724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D3724A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3724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91033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E56E52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47C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180DC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050D21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220DF8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47C"/>
    <w:pPr>
      <w:keepNext/>
      <w:keepLines/>
      <w:widowControl w:val="0"/>
      <w:autoSpaceDE w:val="0"/>
      <w:autoSpaceDN w:val="0"/>
      <w:adjustRightInd w:val="0"/>
      <w:spacing w:before="18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832A46"/>
    <w:pPr>
      <w:numPr>
        <w:numId w:val="11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D3724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D3724A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D3724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D3724A"/>
    <w:pPr>
      <w:tabs>
        <w:tab w:val="num" w:pos="720"/>
      </w:tabs>
      <w:ind w:left="720" w:hanging="720"/>
      <w:contextualSpacing/>
    </w:pPr>
  </w:style>
  <w:style w:type="paragraph" w:customStyle="1" w:styleId="a">
    <w:next w:val="Numreradlista"/>
    <w:rsid w:val="00D3724A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D3724A"/>
    <w:pPr>
      <w:tabs>
        <w:tab w:val="num" w:pos="720"/>
      </w:tabs>
      <w:ind w:left="720" w:hanging="720"/>
      <w:contextualSpacing/>
    </w:pPr>
  </w:style>
  <w:style w:type="paragraph" w:customStyle="1" w:styleId="Punktlistaunderliggande">
    <w:name w:val="Punktlista underliggande"/>
    <w:qFormat/>
    <w:rsid w:val="00AF33CA"/>
    <w:pPr>
      <w:numPr>
        <w:numId w:val="4"/>
      </w:numPr>
      <w:tabs>
        <w:tab w:val="left" w:pos="1707"/>
      </w:tabs>
      <w:overflowPunct w:val="0"/>
      <w:autoSpaceDE w:val="0"/>
      <w:autoSpaceDN w:val="0"/>
      <w:adjustRightInd w:val="0"/>
      <w:spacing w:line="288" w:lineRule="auto"/>
      <w:ind w:left="1706" w:right="868" w:hanging="357"/>
      <w:textAlignment w:val="baseline"/>
    </w:pPr>
    <w:rPr>
      <w:rFonts w:ascii="Georgia" w:hAnsi="Georgia"/>
      <w:sz w:val="24"/>
      <w:lang w:val="en-US"/>
    </w:rPr>
  </w:style>
  <w:style w:type="paragraph" w:customStyle="1" w:styleId="Punktlistanumrerad">
    <w:name w:val="Punktlista numrerad"/>
    <w:qFormat/>
    <w:rsid w:val="001A6D61"/>
    <w:pPr>
      <w:numPr>
        <w:numId w:val="5"/>
      </w:numPr>
      <w:tabs>
        <w:tab w:val="left" w:pos="1349"/>
      </w:tabs>
      <w:overflowPunct w:val="0"/>
      <w:autoSpaceDE w:val="0"/>
      <w:autoSpaceDN w:val="0"/>
      <w:adjustRightInd w:val="0"/>
      <w:spacing w:line="288" w:lineRule="auto"/>
      <w:ind w:right="868"/>
      <w:textAlignment w:val="baseline"/>
    </w:pPr>
    <w:rPr>
      <w:rFonts w:ascii="Georgia" w:hAnsi="Georgia"/>
      <w:sz w:val="24"/>
      <w:lang w:val="en-US"/>
    </w:rPr>
  </w:style>
  <w:style w:type="character" w:styleId="AnvndHyperlnk">
    <w:name w:val="FollowedHyperlink"/>
    <w:basedOn w:val="Standardstycketeckensnitt"/>
    <w:uiPriority w:val="99"/>
    <w:semiHidden/>
    <w:unhideWhenUsed/>
    <w:rsid w:val="007A5748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A6D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ssth.se/wp-content/uploads/2020/10/Trombocytra%CC%8Ad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www.ssth.se/wp-content/uploads/2024/10/Riktlinjer-NOAK-241022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janusinfo.se/behandling/expertgruppsutlatanden/hjartochkarlsjukdomar/hjartochkarlsjukdomar/oralaantitrombotiskalakemedelvidblodningochinforkirurgihosvuxna.5.636fcf0c186707f25a240334.html#svid53Uppehallinforplaneradkirurgi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80</TotalTime>
  <Pages>4</Pages>
  <Words>553</Words>
  <Characters>5908</Characters>
  <Application>Microsoft Office Word</Application>
  <DocSecurity>0</DocSecurity>
  <Lines>49</Lines>
  <Paragraphs>12</Paragraphs>
  <ScaleCrop>false</ScaleCrop>
  <Manager/>
  <Company/>
  <LinksUpToDate>false</LinksUpToDate>
  <CharactersWithSpaces>6449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Antikoagulantia och trombocythämmare, tillfällig utsättning inför elektiv operation</dc:title>
  <dc:subject/>
  <dc:creator>patrik.jens.johansson@vgregion.se</dc:creator>
  <keywords/>
  <lastModifiedBy>Karin Åhlin</lastModifiedBy>
  <revision>44</revision>
  <lastPrinted>2016-03-31T10:56:00.0000000Z</lastPrinted>
  <dcterms:created xsi:type="dcterms:W3CDTF">2022-03-28T05:06:00.0000000Z</dcterms:created>
  <dcterms:modified xsi:type="dcterms:W3CDTF">2025-03-31T13:19:00.0000000Z</dcterms:modified>
</coreProperties>
</file>