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5935F" w14:textId="77777777" w:rsidR="0032017C" w:rsidRPr="0032017C" w:rsidRDefault="0032017C" w:rsidP="00D61C81">
      <w:pPr>
        <w:pStyle w:val="Rubrik1"/>
      </w:pPr>
      <w:bookmarkStart w:id="0" w:name="_Toc314219120"/>
      <w:bookmarkStart w:id="1" w:name="_Toc321146591"/>
      <w:r w:rsidRPr="0032017C">
        <w:t>Akutläkemedel för HLR respektive anafylaxi, SÄS</w:t>
      </w:r>
    </w:p>
    <w:p w14:paraId="67A3544A" w14:textId="77777777" w:rsidR="0032017C" w:rsidRPr="0032017C" w:rsidRDefault="0032017C" w:rsidP="00D61C81">
      <w:pPr>
        <w:pStyle w:val="Rubrik2"/>
      </w:pPr>
      <w:bookmarkStart w:id="2" w:name="_Toc256000056"/>
      <w:bookmarkStart w:id="3" w:name="_Toc256000040"/>
      <w:bookmarkStart w:id="4" w:name="_Toc256000024"/>
      <w:bookmarkStart w:id="5" w:name="_Toc256000001"/>
      <w:bookmarkStart w:id="6" w:name="_Toc256000000"/>
      <w:bookmarkStart w:id="7" w:name="_Toc256000005"/>
      <w:bookmarkStart w:id="8" w:name="_Toc62638196"/>
      <w:bookmarkStart w:id="9" w:name="_Toc62652005"/>
      <w:bookmarkStart w:id="10" w:name="_Toc62654095"/>
      <w:bookmarkStart w:id="11" w:name="_Toc161213270"/>
      <w:r w:rsidRPr="0032017C">
        <w:t>Sammanfattning</w:t>
      </w:r>
      <w:bookmarkEnd w:id="0"/>
      <w:bookmarkEnd w:id="2"/>
      <w:bookmarkEnd w:id="3"/>
      <w:bookmarkEnd w:id="4"/>
      <w:bookmarkEnd w:id="5"/>
      <w:bookmarkEnd w:id="6"/>
      <w:bookmarkEnd w:id="7"/>
      <w:bookmarkEnd w:id="8"/>
      <w:bookmarkEnd w:id="9"/>
      <w:bookmarkEnd w:id="10"/>
      <w:bookmarkEnd w:id="11"/>
    </w:p>
    <w:p w14:paraId="033C4D7F" w14:textId="77777777" w:rsidR="00D61C81" w:rsidRDefault="0032017C" w:rsidP="00D61C81">
      <w:r w:rsidRPr="0032017C">
        <w:t>Rutinen beskriver ansvarsförhållanden avseende akutläkemedel för HLR respektive anafylaxi samt innehåll i akutaskar, då det förekommit svårigheter att beställa färdiga sådana via Hamlet.</w:t>
      </w:r>
    </w:p>
    <w:p w14:paraId="71783EF9" w14:textId="77777777" w:rsidR="00D61C81" w:rsidRPr="00AB41BF" w:rsidRDefault="00D61C81" w:rsidP="00D61C81">
      <w:pPr>
        <w:pStyle w:val="Rubrik2"/>
      </w:pPr>
      <w:bookmarkStart w:id="12" w:name="_Toc161213271"/>
      <w:r w:rsidRPr="00AB41BF">
        <w:t>Förändringar sedan föregående version</w:t>
      </w:r>
      <w:bookmarkEnd w:id="12"/>
    </w:p>
    <w:p w14:paraId="40F0D3A5" w14:textId="5411B797" w:rsidR="00D61C81" w:rsidRDefault="00070BCF" w:rsidP="00D61C81">
      <w:r>
        <w:t xml:space="preserve">Uppdaterat </w:t>
      </w:r>
      <w:r w:rsidR="00793B42">
        <w:t>innehåll i akutask för barn samt namn på innehållsansvariga</w:t>
      </w:r>
      <w:r w:rsidR="008733DD">
        <w:t xml:space="preserve">, </w:t>
      </w:r>
      <w:r>
        <w:t xml:space="preserve">i övrigt </w:t>
      </w:r>
      <w:r w:rsidR="008733DD">
        <w:t>oförändrat innehåll.</w:t>
      </w:r>
    </w:p>
    <w:p w14:paraId="2228BE75" w14:textId="77777777" w:rsidR="0032017C" w:rsidRPr="00D61C81" w:rsidRDefault="0032017C" w:rsidP="00EB734D">
      <w:pPr>
        <w:spacing w:before="360" w:after="40" w:line="240" w:lineRule="auto"/>
        <w:rPr>
          <w:rFonts w:asciiTheme="majorHAnsi" w:hAnsiTheme="majorHAnsi" w:cstheme="majorHAnsi"/>
          <w:sz w:val="28"/>
          <w:szCs w:val="28"/>
        </w:rPr>
      </w:pPr>
      <w:r w:rsidRPr="00D61C81">
        <w:rPr>
          <w:rFonts w:asciiTheme="majorHAnsi" w:hAnsiTheme="majorHAnsi" w:cstheme="majorHAnsi"/>
          <w:sz w:val="28"/>
          <w:szCs w:val="28"/>
        </w:rPr>
        <w:t>Innehållsförteckning</w:t>
      </w:r>
    </w:p>
    <w:p w14:paraId="1ABA553E" w14:textId="3FD0DD33" w:rsidR="00793B42" w:rsidRDefault="00305F95">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61213270" w:history="1">
        <w:r w:rsidR="00793B42" w:rsidRPr="00587C95">
          <w:rPr>
            <w:rStyle w:val="Hyperlnk"/>
            <w:rFonts w:eastAsia="MS Gothic"/>
            <w:noProof/>
          </w:rPr>
          <w:t>Sammanfattning</w:t>
        </w:r>
        <w:r w:rsidR="00793B42">
          <w:rPr>
            <w:noProof/>
            <w:webHidden/>
          </w:rPr>
          <w:tab/>
        </w:r>
        <w:r w:rsidR="00793B42">
          <w:rPr>
            <w:noProof/>
            <w:webHidden/>
          </w:rPr>
          <w:fldChar w:fldCharType="begin"/>
        </w:r>
        <w:r w:rsidR="00793B42">
          <w:rPr>
            <w:noProof/>
            <w:webHidden/>
          </w:rPr>
          <w:instrText xml:space="preserve"> PAGEREF _Toc161213270 \h </w:instrText>
        </w:r>
        <w:r w:rsidR="00793B42">
          <w:rPr>
            <w:noProof/>
            <w:webHidden/>
          </w:rPr>
        </w:r>
        <w:r w:rsidR="00793B42">
          <w:rPr>
            <w:noProof/>
            <w:webHidden/>
          </w:rPr>
          <w:fldChar w:fldCharType="separate"/>
        </w:r>
        <w:r w:rsidR="00793B42">
          <w:rPr>
            <w:noProof/>
            <w:webHidden/>
          </w:rPr>
          <w:t>1</w:t>
        </w:r>
        <w:r w:rsidR="00793B42">
          <w:rPr>
            <w:noProof/>
            <w:webHidden/>
          </w:rPr>
          <w:fldChar w:fldCharType="end"/>
        </w:r>
      </w:hyperlink>
    </w:p>
    <w:p w14:paraId="7964FE8A" w14:textId="47FFA6C8"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1" w:history="1">
        <w:r w:rsidRPr="00587C9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_Toc161213271 \h </w:instrText>
        </w:r>
        <w:r>
          <w:rPr>
            <w:noProof/>
            <w:webHidden/>
          </w:rPr>
        </w:r>
        <w:r>
          <w:rPr>
            <w:noProof/>
            <w:webHidden/>
          </w:rPr>
          <w:fldChar w:fldCharType="separate"/>
        </w:r>
        <w:r>
          <w:rPr>
            <w:noProof/>
            <w:webHidden/>
          </w:rPr>
          <w:t>1</w:t>
        </w:r>
        <w:r>
          <w:rPr>
            <w:noProof/>
            <w:webHidden/>
          </w:rPr>
          <w:fldChar w:fldCharType="end"/>
        </w:r>
      </w:hyperlink>
    </w:p>
    <w:p w14:paraId="3285FE3A" w14:textId="68E31E15"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2" w:history="1">
        <w:r w:rsidRPr="00587C95">
          <w:rPr>
            <w:rStyle w:val="Hyperlnk"/>
            <w:rFonts w:eastAsia="MS Gothic"/>
            <w:noProof/>
          </w:rPr>
          <w:t>Bakgrund</w:t>
        </w:r>
        <w:r>
          <w:rPr>
            <w:noProof/>
            <w:webHidden/>
          </w:rPr>
          <w:tab/>
        </w:r>
        <w:r>
          <w:rPr>
            <w:noProof/>
            <w:webHidden/>
          </w:rPr>
          <w:fldChar w:fldCharType="begin"/>
        </w:r>
        <w:r>
          <w:rPr>
            <w:noProof/>
            <w:webHidden/>
          </w:rPr>
          <w:instrText xml:space="preserve"> PAGEREF _Toc161213272 \h </w:instrText>
        </w:r>
        <w:r>
          <w:rPr>
            <w:noProof/>
            <w:webHidden/>
          </w:rPr>
        </w:r>
        <w:r>
          <w:rPr>
            <w:noProof/>
            <w:webHidden/>
          </w:rPr>
          <w:fldChar w:fldCharType="separate"/>
        </w:r>
        <w:r>
          <w:rPr>
            <w:noProof/>
            <w:webHidden/>
          </w:rPr>
          <w:t>1</w:t>
        </w:r>
        <w:r>
          <w:rPr>
            <w:noProof/>
            <w:webHidden/>
          </w:rPr>
          <w:fldChar w:fldCharType="end"/>
        </w:r>
      </w:hyperlink>
    </w:p>
    <w:p w14:paraId="5976C7EB" w14:textId="0CACA174"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3" w:history="1">
        <w:r w:rsidRPr="00587C95">
          <w:rPr>
            <w:rStyle w:val="Hyperlnk"/>
            <w:rFonts w:eastAsia="MS Gothic"/>
            <w:noProof/>
          </w:rPr>
          <w:t>Förutsättningar</w:t>
        </w:r>
        <w:r>
          <w:rPr>
            <w:noProof/>
            <w:webHidden/>
          </w:rPr>
          <w:tab/>
        </w:r>
        <w:r>
          <w:rPr>
            <w:noProof/>
            <w:webHidden/>
          </w:rPr>
          <w:fldChar w:fldCharType="begin"/>
        </w:r>
        <w:r>
          <w:rPr>
            <w:noProof/>
            <w:webHidden/>
          </w:rPr>
          <w:instrText xml:space="preserve"> PAGEREF _Toc161213273 \h </w:instrText>
        </w:r>
        <w:r>
          <w:rPr>
            <w:noProof/>
            <w:webHidden/>
          </w:rPr>
        </w:r>
        <w:r>
          <w:rPr>
            <w:noProof/>
            <w:webHidden/>
          </w:rPr>
          <w:fldChar w:fldCharType="separate"/>
        </w:r>
        <w:r>
          <w:rPr>
            <w:noProof/>
            <w:webHidden/>
          </w:rPr>
          <w:t>2</w:t>
        </w:r>
        <w:r>
          <w:rPr>
            <w:noProof/>
            <w:webHidden/>
          </w:rPr>
          <w:fldChar w:fldCharType="end"/>
        </w:r>
      </w:hyperlink>
    </w:p>
    <w:p w14:paraId="3CE05BD6" w14:textId="6EAF729C" w:rsidR="00793B42" w:rsidRDefault="00793B42">
      <w:pPr>
        <w:pStyle w:val="Innehll2"/>
        <w:rPr>
          <w:rFonts w:asciiTheme="minorHAnsi" w:eastAsiaTheme="minorEastAsia" w:hAnsiTheme="minorHAnsi" w:cstheme="minorBidi"/>
          <w:noProof/>
          <w:kern w:val="2"/>
          <w:sz w:val="22"/>
          <w:szCs w:val="22"/>
          <w14:ligatures w14:val="standardContextual"/>
        </w:rPr>
      </w:pPr>
      <w:hyperlink w:anchor="_Toc161213274" w:history="1">
        <w:r w:rsidRPr="00587C95">
          <w:rPr>
            <w:rStyle w:val="Hyperlnk"/>
            <w:rFonts w:eastAsia="MS Gothic"/>
            <w:noProof/>
          </w:rPr>
          <w:t>Ansvar</w:t>
        </w:r>
        <w:r>
          <w:rPr>
            <w:noProof/>
            <w:webHidden/>
          </w:rPr>
          <w:tab/>
        </w:r>
        <w:r>
          <w:rPr>
            <w:noProof/>
            <w:webHidden/>
          </w:rPr>
          <w:fldChar w:fldCharType="begin"/>
        </w:r>
        <w:r>
          <w:rPr>
            <w:noProof/>
            <w:webHidden/>
          </w:rPr>
          <w:instrText xml:space="preserve"> PAGEREF _Toc161213274 \h </w:instrText>
        </w:r>
        <w:r>
          <w:rPr>
            <w:noProof/>
            <w:webHidden/>
          </w:rPr>
        </w:r>
        <w:r>
          <w:rPr>
            <w:noProof/>
            <w:webHidden/>
          </w:rPr>
          <w:fldChar w:fldCharType="separate"/>
        </w:r>
        <w:r>
          <w:rPr>
            <w:noProof/>
            <w:webHidden/>
          </w:rPr>
          <w:t>2</w:t>
        </w:r>
        <w:r>
          <w:rPr>
            <w:noProof/>
            <w:webHidden/>
          </w:rPr>
          <w:fldChar w:fldCharType="end"/>
        </w:r>
      </w:hyperlink>
    </w:p>
    <w:p w14:paraId="062FF5F1" w14:textId="439E49EB"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5" w:history="1">
        <w:r w:rsidRPr="00587C95">
          <w:rPr>
            <w:rStyle w:val="Hyperlnk"/>
            <w:rFonts w:eastAsia="MS Gothic"/>
            <w:noProof/>
          </w:rPr>
          <w:t>Genomförande</w:t>
        </w:r>
        <w:r>
          <w:rPr>
            <w:noProof/>
            <w:webHidden/>
          </w:rPr>
          <w:tab/>
        </w:r>
        <w:r>
          <w:rPr>
            <w:noProof/>
            <w:webHidden/>
          </w:rPr>
          <w:fldChar w:fldCharType="begin"/>
        </w:r>
        <w:r>
          <w:rPr>
            <w:noProof/>
            <w:webHidden/>
          </w:rPr>
          <w:instrText xml:space="preserve"> PAGEREF _Toc161213275 \h </w:instrText>
        </w:r>
        <w:r>
          <w:rPr>
            <w:noProof/>
            <w:webHidden/>
          </w:rPr>
        </w:r>
        <w:r>
          <w:rPr>
            <w:noProof/>
            <w:webHidden/>
          </w:rPr>
          <w:fldChar w:fldCharType="separate"/>
        </w:r>
        <w:r>
          <w:rPr>
            <w:noProof/>
            <w:webHidden/>
          </w:rPr>
          <w:t>2</w:t>
        </w:r>
        <w:r>
          <w:rPr>
            <w:noProof/>
            <w:webHidden/>
          </w:rPr>
          <w:fldChar w:fldCharType="end"/>
        </w:r>
      </w:hyperlink>
    </w:p>
    <w:p w14:paraId="78FABFD1" w14:textId="0BA19ECD" w:rsidR="00793B42" w:rsidRDefault="00793B42">
      <w:pPr>
        <w:pStyle w:val="Innehll2"/>
        <w:rPr>
          <w:rFonts w:asciiTheme="minorHAnsi" w:eastAsiaTheme="minorEastAsia" w:hAnsiTheme="minorHAnsi" w:cstheme="minorBidi"/>
          <w:noProof/>
          <w:kern w:val="2"/>
          <w:sz w:val="22"/>
          <w:szCs w:val="22"/>
          <w14:ligatures w14:val="standardContextual"/>
        </w:rPr>
      </w:pPr>
      <w:hyperlink w:anchor="_Toc161213276" w:history="1">
        <w:r w:rsidRPr="00587C95">
          <w:rPr>
            <w:rStyle w:val="Hyperlnk"/>
            <w:rFonts w:eastAsia="MS Gothic"/>
            <w:noProof/>
          </w:rPr>
          <w:t>Dokumentation</w:t>
        </w:r>
        <w:r>
          <w:rPr>
            <w:noProof/>
            <w:webHidden/>
          </w:rPr>
          <w:tab/>
        </w:r>
        <w:r>
          <w:rPr>
            <w:noProof/>
            <w:webHidden/>
          </w:rPr>
          <w:fldChar w:fldCharType="begin"/>
        </w:r>
        <w:r>
          <w:rPr>
            <w:noProof/>
            <w:webHidden/>
          </w:rPr>
          <w:instrText xml:space="preserve"> PAGEREF _Toc161213276 \h </w:instrText>
        </w:r>
        <w:r>
          <w:rPr>
            <w:noProof/>
            <w:webHidden/>
          </w:rPr>
        </w:r>
        <w:r>
          <w:rPr>
            <w:noProof/>
            <w:webHidden/>
          </w:rPr>
          <w:fldChar w:fldCharType="separate"/>
        </w:r>
        <w:r>
          <w:rPr>
            <w:noProof/>
            <w:webHidden/>
          </w:rPr>
          <w:t>3</w:t>
        </w:r>
        <w:r>
          <w:rPr>
            <w:noProof/>
            <w:webHidden/>
          </w:rPr>
          <w:fldChar w:fldCharType="end"/>
        </w:r>
      </w:hyperlink>
    </w:p>
    <w:p w14:paraId="469DA7A4" w14:textId="383F9048" w:rsidR="00793B42" w:rsidRDefault="00793B42">
      <w:pPr>
        <w:pStyle w:val="Innehll2"/>
        <w:rPr>
          <w:rFonts w:asciiTheme="minorHAnsi" w:eastAsiaTheme="minorEastAsia" w:hAnsiTheme="minorHAnsi" w:cstheme="minorBidi"/>
          <w:noProof/>
          <w:kern w:val="2"/>
          <w:sz w:val="22"/>
          <w:szCs w:val="22"/>
          <w14:ligatures w14:val="standardContextual"/>
        </w:rPr>
      </w:pPr>
      <w:hyperlink w:anchor="_Toc161213277" w:history="1">
        <w:r w:rsidRPr="00587C95">
          <w:rPr>
            <w:rStyle w:val="Hyperlnk"/>
            <w:rFonts w:eastAsia="MS Gothic"/>
            <w:noProof/>
          </w:rPr>
          <w:t>Uppföljning</w:t>
        </w:r>
        <w:r>
          <w:rPr>
            <w:noProof/>
            <w:webHidden/>
          </w:rPr>
          <w:tab/>
        </w:r>
        <w:r>
          <w:rPr>
            <w:noProof/>
            <w:webHidden/>
          </w:rPr>
          <w:fldChar w:fldCharType="begin"/>
        </w:r>
        <w:r>
          <w:rPr>
            <w:noProof/>
            <w:webHidden/>
          </w:rPr>
          <w:instrText xml:space="preserve"> PAGEREF _Toc161213277 \h </w:instrText>
        </w:r>
        <w:r>
          <w:rPr>
            <w:noProof/>
            <w:webHidden/>
          </w:rPr>
        </w:r>
        <w:r>
          <w:rPr>
            <w:noProof/>
            <w:webHidden/>
          </w:rPr>
          <w:fldChar w:fldCharType="separate"/>
        </w:r>
        <w:r>
          <w:rPr>
            <w:noProof/>
            <w:webHidden/>
          </w:rPr>
          <w:t>3</w:t>
        </w:r>
        <w:r>
          <w:rPr>
            <w:noProof/>
            <w:webHidden/>
          </w:rPr>
          <w:fldChar w:fldCharType="end"/>
        </w:r>
      </w:hyperlink>
    </w:p>
    <w:p w14:paraId="29351C04" w14:textId="7AAB553D"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8" w:history="1">
        <w:r w:rsidRPr="00587C95">
          <w:rPr>
            <w:rStyle w:val="Hyperlnk"/>
            <w:rFonts w:eastAsia="MS Gothic"/>
            <w:noProof/>
          </w:rPr>
          <w:t>Dokumentinformation</w:t>
        </w:r>
        <w:r>
          <w:rPr>
            <w:noProof/>
            <w:webHidden/>
          </w:rPr>
          <w:tab/>
        </w:r>
        <w:r>
          <w:rPr>
            <w:noProof/>
            <w:webHidden/>
          </w:rPr>
          <w:fldChar w:fldCharType="begin"/>
        </w:r>
        <w:r>
          <w:rPr>
            <w:noProof/>
            <w:webHidden/>
          </w:rPr>
          <w:instrText xml:space="preserve"> PAGEREF _Toc161213278 \h </w:instrText>
        </w:r>
        <w:r>
          <w:rPr>
            <w:noProof/>
            <w:webHidden/>
          </w:rPr>
        </w:r>
        <w:r>
          <w:rPr>
            <w:noProof/>
            <w:webHidden/>
          </w:rPr>
          <w:fldChar w:fldCharType="separate"/>
        </w:r>
        <w:r>
          <w:rPr>
            <w:noProof/>
            <w:webHidden/>
          </w:rPr>
          <w:t>4</w:t>
        </w:r>
        <w:r>
          <w:rPr>
            <w:noProof/>
            <w:webHidden/>
          </w:rPr>
          <w:fldChar w:fldCharType="end"/>
        </w:r>
      </w:hyperlink>
    </w:p>
    <w:p w14:paraId="75808C55" w14:textId="20387A46"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79" w:history="1">
        <w:r w:rsidRPr="00587C95">
          <w:rPr>
            <w:rStyle w:val="Hyperlnk"/>
            <w:rFonts w:eastAsia="MS Gothic"/>
            <w:noProof/>
          </w:rPr>
          <w:t>Länkförteckning</w:t>
        </w:r>
        <w:r>
          <w:rPr>
            <w:noProof/>
            <w:webHidden/>
          </w:rPr>
          <w:tab/>
        </w:r>
        <w:r>
          <w:rPr>
            <w:noProof/>
            <w:webHidden/>
          </w:rPr>
          <w:fldChar w:fldCharType="begin"/>
        </w:r>
        <w:r>
          <w:rPr>
            <w:noProof/>
            <w:webHidden/>
          </w:rPr>
          <w:instrText xml:space="preserve"> PAGEREF _Toc161213279 \h </w:instrText>
        </w:r>
        <w:r>
          <w:rPr>
            <w:noProof/>
            <w:webHidden/>
          </w:rPr>
        </w:r>
        <w:r>
          <w:rPr>
            <w:noProof/>
            <w:webHidden/>
          </w:rPr>
          <w:fldChar w:fldCharType="separate"/>
        </w:r>
        <w:r>
          <w:rPr>
            <w:noProof/>
            <w:webHidden/>
          </w:rPr>
          <w:t>4</w:t>
        </w:r>
        <w:r>
          <w:rPr>
            <w:noProof/>
            <w:webHidden/>
          </w:rPr>
          <w:fldChar w:fldCharType="end"/>
        </w:r>
      </w:hyperlink>
    </w:p>
    <w:p w14:paraId="5F9492A3" w14:textId="03A8B44A" w:rsidR="00793B42" w:rsidRDefault="00793B42">
      <w:pPr>
        <w:pStyle w:val="Innehll1"/>
        <w:rPr>
          <w:rFonts w:asciiTheme="minorHAnsi" w:eastAsiaTheme="minorEastAsia" w:hAnsiTheme="minorHAnsi" w:cstheme="minorBidi"/>
          <w:noProof/>
          <w:kern w:val="2"/>
          <w:sz w:val="22"/>
          <w:szCs w:val="22"/>
          <w14:ligatures w14:val="standardContextual"/>
        </w:rPr>
      </w:pPr>
      <w:hyperlink w:anchor="_Toc161213280" w:history="1">
        <w:r w:rsidRPr="00587C95">
          <w:rPr>
            <w:rStyle w:val="Hyperlnk"/>
            <w:rFonts w:eastAsia="MS Gothic"/>
            <w:noProof/>
          </w:rPr>
          <w:t>Bilaga – Etiketter för akutaskar</w:t>
        </w:r>
        <w:r>
          <w:rPr>
            <w:noProof/>
            <w:webHidden/>
          </w:rPr>
          <w:tab/>
        </w:r>
        <w:r>
          <w:rPr>
            <w:noProof/>
            <w:webHidden/>
          </w:rPr>
          <w:fldChar w:fldCharType="begin"/>
        </w:r>
        <w:r>
          <w:rPr>
            <w:noProof/>
            <w:webHidden/>
          </w:rPr>
          <w:instrText xml:space="preserve"> PAGEREF _Toc161213280 \h </w:instrText>
        </w:r>
        <w:r>
          <w:rPr>
            <w:noProof/>
            <w:webHidden/>
          </w:rPr>
        </w:r>
        <w:r>
          <w:rPr>
            <w:noProof/>
            <w:webHidden/>
          </w:rPr>
          <w:fldChar w:fldCharType="separate"/>
        </w:r>
        <w:r>
          <w:rPr>
            <w:noProof/>
            <w:webHidden/>
          </w:rPr>
          <w:t>5</w:t>
        </w:r>
        <w:r>
          <w:rPr>
            <w:noProof/>
            <w:webHidden/>
          </w:rPr>
          <w:fldChar w:fldCharType="end"/>
        </w:r>
      </w:hyperlink>
    </w:p>
    <w:p w14:paraId="2DEF178A" w14:textId="004DBE31" w:rsidR="0032017C" w:rsidRPr="0032017C" w:rsidRDefault="00305F95" w:rsidP="00305F95">
      <w:pPr>
        <w:pStyle w:val="Rubrik2"/>
        <w:spacing w:before="360"/>
      </w:pPr>
      <w:r>
        <w:rPr>
          <w:rFonts w:ascii="Arial" w:hAnsi="Arial"/>
          <w:noProof/>
          <w:color w:val="0000FF"/>
          <w:sz w:val="22"/>
          <w:szCs w:val="32"/>
          <w:u w:val="single"/>
        </w:rPr>
        <w:fldChar w:fldCharType="end"/>
      </w:r>
      <w:bookmarkStart w:id="13" w:name="_Toc256000057"/>
      <w:bookmarkStart w:id="14" w:name="_Toc256000041"/>
      <w:bookmarkStart w:id="15" w:name="_Toc256000025"/>
      <w:bookmarkStart w:id="16" w:name="_Toc256000006"/>
      <w:bookmarkStart w:id="17" w:name="_Toc62638197"/>
      <w:bookmarkStart w:id="18" w:name="_Toc62652006"/>
      <w:bookmarkStart w:id="19" w:name="_Toc62654096"/>
      <w:bookmarkStart w:id="20" w:name="_Toc161213272"/>
      <w:r w:rsidR="0032017C" w:rsidRPr="0032017C">
        <w:t>Bakgrund</w:t>
      </w:r>
      <w:bookmarkEnd w:id="13"/>
      <w:bookmarkEnd w:id="14"/>
      <w:bookmarkEnd w:id="15"/>
      <w:bookmarkEnd w:id="16"/>
      <w:bookmarkEnd w:id="17"/>
      <w:bookmarkEnd w:id="18"/>
      <w:bookmarkEnd w:id="19"/>
      <w:bookmarkEnd w:id="20"/>
    </w:p>
    <w:p w14:paraId="4866C214" w14:textId="77777777" w:rsidR="0032017C" w:rsidRPr="0032017C" w:rsidRDefault="0032017C" w:rsidP="00D61C81">
      <w:r w:rsidRPr="0032017C">
        <w:t>När det gäller vissa akuta situationer, till exempel hjärtstillestånd eller anafylaktisk reaktion, måste behandling påbörjas omgående. Vissa tidskritiska läkemedel måste då finnas på vårdenheten.</w:t>
      </w:r>
    </w:p>
    <w:p w14:paraId="293054E8" w14:textId="0E7920BC" w:rsidR="0032017C" w:rsidRPr="0032017C" w:rsidRDefault="0032017C" w:rsidP="00A25965">
      <w:pPr>
        <w:keepNext/>
        <w:keepLines/>
      </w:pPr>
      <w:r w:rsidRPr="0032017C">
        <w:lastRenderedPageBreak/>
        <w:t>Denna rutin</w:t>
      </w:r>
      <w:r w:rsidR="00056DBD">
        <w:t xml:space="preserve"> </w:t>
      </w:r>
      <w:r w:rsidRPr="0032017C">
        <w:t xml:space="preserve">har tagits fram då det ofta har uppstått bristsituationer av de färdigpackade akutaskar som APL erbjuder, och som kan beställas från regiongemensamt lager via Hamlet, d.v.s. </w:t>
      </w:r>
      <w:r w:rsidRPr="0032017C">
        <w:rPr>
          <w:i/>
          <w:iCs/>
        </w:rPr>
        <w:t xml:space="preserve">”Akutask Hjärt-Lungräddning APL” </w:t>
      </w:r>
      <w:r w:rsidRPr="0032017C">
        <w:t xml:space="preserve">samt </w:t>
      </w:r>
      <w:r w:rsidRPr="0032017C">
        <w:rPr>
          <w:i/>
          <w:iCs/>
        </w:rPr>
        <w:t>Akutask Anafylaxi APL</w:t>
      </w:r>
      <w:r w:rsidRPr="0032017C">
        <w:t>”.</w:t>
      </w:r>
    </w:p>
    <w:p w14:paraId="3E360161" w14:textId="77777777" w:rsidR="0032017C" w:rsidRPr="0032017C" w:rsidRDefault="0032017C" w:rsidP="00D61C81">
      <w:pPr>
        <w:pStyle w:val="Rubrik2"/>
      </w:pPr>
      <w:bookmarkStart w:id="21" w:name="_Toc256000058"/>
      <w:bookmarkStart w:id="22" w:name="_Toc256000042"/>
      <w:bookmarkStart w:id="23" w:name="_Toc256000026"/>
      <w:bookmarkStart w:id="24" w:name="_Toc256000010"/>
      <w:bookmarkStart w:id="25" w:name="_Toc62638198"/>
      <w:bookmarkStart w:id="26" w:name="_Toc62652007"/>
      <w:bookmarkStart w:id="27" w:name="_Toc62654097"/>
      <w:bookmarkStart w:id="28" w:name="_Toc161213273"/>
      <w:r w:rsidRPr="0032017C">
        <w:t>Förutsättningar</w:t>
      </w:r>
      <w:bookmarkEnd w:id="21"/>
      <w:bookmarkEnd w:id="22"/>
      <w:bookmarkEnd w:id="23"/>
      <w:bookmarkEnd w:id="24"/>
      <w:bookmarkEnd w:id="25"/>
      <w:bookmarkEnd w:id="26"/>
      <w:bookmarkEnd w:id="27"/>
      <w:bookmarkEnd w:id="28"/>
    </w:p>
    <w:p w14:paraId="38DFA973" w14:textId="77777777" w:rsidR="0032017C" w:rsidRPr="0032017C" w:rsidRDefault="0032017C" w:rsidP="00DF087C">
      <w:pPr>
        <w:pStyle w:val="Rubrik3"/>
        <w:spacing w:before="120"/>
      </w:pPr>
      <w:bookmarkStart w:id="29" w:name="_Toc256000059"/>
      <w:bookmarkStart w:id="30" w:name="_Toc256000043"/>
      <w:bookmarkStart w:id="31" w:name="_Toc256000027"/>
      <w:bookmarkStart w:id="32" w:name="_Toc256000011"/>
      <w:bookmarkStart w:id="33" w:name="_Toc62544736"/>
      <w:bookmarkStart w:id="34" w:name="_Toc62638199"/>
      <w:bookmarkStart w:id="35" w:name="_Toc62652008"/>
      <w:bookmarkStart w:id="36" w:name="_Toc62654098"/>
      <w:bookmarkStart w:id="37" w:name="_Toc161213274"/>
      <w:r w:rsidRPr="0032017C">
        <w:t>Ansvar</w:t>
      </w:r>
      <w:bookmarkEnd w:id="29"/>
      <w:bookmarkEnd w:id="30"/>
      <w:bookmarkEnd w:id="31"/>
      <w:bookmarkEnd w:id="32"/>
      <w:bookmarkEnd w:id="33"/>
      <w:bookmarkEnd w:id="34"/>
      <w:bookmarkEnd w:id="35"/>
      <w:bookmarkEnd w:id="36"/>
      <w:bookmarkEnd w:id="37"/>
    </w:p>
    <w:p w14:paraId="777477FE" w14:textId="77777777" w:rsidR="0032017C" w:rsidRPr="0032017C" w:rsidRDefault="0032017C" w:rsidP="00D61C81">
      <w:r w:rsidRPr="0032017C">
        <w:t xml:space="preserve">Det är varje avdelnings ansvar att tillhandahålla aktuella akutaskar med läkemedel för sin verksamhet enligt denna rutin. </w:t>
      </w:r>
    </w:p>
    <w:p w14:paraId="4A2C3599" w14:textId="77777777" w:rsidR="0032017C" w:rsidRPr="0032017C" w:rsidRDefault="0032017C" w:rsidP="00D61C81">
      <w:pPr>
        <w:pStyle w:val="MellanrubrikVGR"/>
      </w:pPr>
      <w:bookmarkStart w:id="38" w:name="_Toc256000060"/>
      <w:bookmarkStart w:id="39" w:name="_Toc256000044"/>
      <w:bookmarkStart w:id="40" w:name="_Toc256000028"/>
      <w:bookmarkStart w:id="41" w:name="_Toc256000012"/>
      <w:bookmarkStart w:id="42" w:name="_Toc62544737"/>
      <w:bookmarkStart w:id="43" w:name="_Toc62638200"/>
      <w:bookmarkStart w:id="44" w:name="_Toc62652009"/>
      <w:bookmarkStart w:id="45" w:name="_Toc62654099"/>
      <w:r w:rsidRPr="0032017C">
        <w:t>Verksamhetschef</w:t>
      </w:r>
      <w:bookmarkEnd w:id="38"/>
      <w:bookmarkEnd w:id="39"/>
      <w:bookmarkEnd w:id="40"/>
      <w:bookmarkEnd w:id="41"/>
      <w:bookmarkEnd w:id="42"/>
      <w:bookmarkEnd w:id="43"/>
      <w:bookmarkEnd w:id="44"/>
      <w:bookmarkEnd w:id="45"/>
    </w:p>
    <w:p w14:paraId="1D10FED5" w14:textId="77777777" w:rsidR="0032017C" w:rsidRPr="0032017C" w:rsidRDefault="0032017C" w:rsidP="00D61C81">
      <w:r w:rsidRPr="0032017C">
        <w:t>Verksamhetschef ansvarar för att utrustning och läkemedel för HLR finns på enheten och att det finns aktuella rutiner för hur sjukhusövergripande rutiner ska efterföljas.</w:t>
      </w:r>
    </w:p>
    <w:p w14:paraId="300CF976" w14:textId="3DD0B8DE" w:rsidR="0032017C" w:rsidRPr="0032017C" w:rsidRDefault="0032017C" w:rsidP="00D61C81">
      <w:r w:rsidRPr="0032017C">
        <w:t xml:space="preserve">Verksamhetschef ansvarar för att personal har adekvat utbildning i HLR enligt </w:t>
      </w:r>
      <w:bookmarkStart w:id="46" w:name="_Hlk62653708"/>
      <w:r w:rsidRPr="0032017C">
        <w:t xml:space="preserve">sjukhusövergripande riktlinje </w:t>
      </w:r>
      <w:hyperlink r:id="rId12" w:history="1">
        <w:r w:rsidRPr="0025392C">
          <w:rPr>
            <w:rStyle w:val="Hyperlnk"/>
          </w:rPr>
          <w:t>HLR – Kompetenskrav vid SÄS</w:t>
        </w:r>
      </w:hyperlink>
      <w:r w:rsidRPr="0032017C">
        <w:t xml:space="preserve"> och </w:t>
      </w:r>
      <w:hyperlink r:id="rId13" w:history="1">
        <w:r w:rsidRPr="00D4101A">
          <w:rPr>
            <w:rStyle w:val="Hyperlnk"/>
          </w:rPr>
          <w:t>HLR – Genomförande vid SÄS</w:t>
        </w:r>
      </w:hyperlink>
      <w:r w:rsidRPr="0032017C">
        <w:t>.</w:t>
      </w:r>
    </w:p>
    <w:p w14:paraId="7CCAF3AA" w14:textId="77777777" w:rsidR="0032017C" w:rsidRPr="0032017C" w:rsidRDefault="0032017C" w:rsidP="00D61C81">
      <w:r w:rsidRPr="0032017C">
        <w:t>Verksamhetschef måste utse person som ansvarar för att akutask med läkemedel finns, och att läkemedlen i asken inte passerat bäst före datum.</w:t>
      </w:r>
    </w:p>
    <w:p w14:paraId="10F2ABC2" w14:textId="77777777" w:rsidR="0032017C" w:rsidRPr="0032017C" w:rsidRDefault="0032017C" w:rsidP="00D61C81">
      <w:pPr>
        <w:pStyle w:val="MellanrubrikVGR"/>
      </w:pPr>
      <w:bookmarkStart w:id="47" w:name="_Toc256000061"/>
      <w:bookmarkStart w:id="48" w:name="_Toc256000045"/>
      <w:bookmarkStart w:id="49" w:name="_Toc256000029"/>
      <w:bookmarkStart w:id="50" w:name="_Toc256000013"/>
      <w:bookmarkStart w:id="51" w:name="_Toc62544738"/>
      <w:bookmarkStart w:id="52" w:name="_Toc62638201"/>
      <w:bookmarkStart w:id="53" w:name="_Toc62652010"/>
      <w:bookmarkStart w:id="54" w:name="_Toc62654100"/>
      <w:r w:rsidRPr="0032017C">
        <w:t>Ansvarig för akutask</w:t>
      </w:r>
      <w:bookmarkEnd w:id="47"/>
      <w:bookmarkEnd w:id="48"/>
      <w:bookmarkEnd w:id="49"/>
      <w:bookmarkEnd w:id="50"/>
      <w:bookmarkEnd w:id="51"/>
      <w:bookmarkEnd w:id="52"/>
      <w:bookmarkEnd w:id="53"/>
      <w:bookmarkEnd w:id="54"/>
    </w:p>
    <w:p w14:paraId="48B3F3A3" w14:textId="37E2EB65" w:rsidR="0032017C" w:rsidRPr="0032017C" w:rsidRDefault="0032017C" w:rsidP="00D61C81">
      <w:r w:rsidRPr="0032017C">
        <w:t xml:space="preserve">Person ansvarig för akutask/akutaskar på enheten, måste genomföra regelbunden kontroll av läkemedel, lämpligen varje vecka i samband med kontroll av annan HLR-utrustning, se sjukhusövergripande rutin </w:t>
      </w:r>
      <w:hyperlink r:id="rId14" w:history="1">
        <w:r w:rsidR="004501E9" w:rsidRPr="00D4101A">
          <w:rPr>
            <w:rStyle w:val="Hyperlnk"/>
          </w:rPr>
          <w:t>HLR – Genomförande vid SÄS</w:t>
        </w:r>
      </w:hyperlink>
      <w:r w:rsidRPr="0032017C">
        <w:t xml:space="preserve"> samt </w:t>
      </w:r>
      <w:hyperlink r:id="rId15" w:history="1">
        <w:r w:rsidRPr="00A64FDB">
          <w:rPr>
            <w:rStyle w:val="Hyperlnk"/>
          </w:rPr>
          <w:t>HLR - Checklista för akututrustning</w:t>
        </w:r>
      </w:hyperlink>
      <w:r w:rsidR="00A64FDB" w:rsidRPr="00A64FDB">
        <w:rPr>
          <w:rStyle w:val="Hyperlnk"/>
          <w:u w:val="none"/>
        </w:rPr>
        <w:t>.</w:t>
      </w:r>
    </w:p>
    <w:p w14:paraId="3A969CF7" w14:textId="501AF94F" w:rsidR="0032017C" w:rsidRPr="0032017C" w:rsidRDefault="0032017C" w:rsidP="00D61C81">
      <w:r w:rsidRPr="0032017C">
        <w:t xml:space="preserve">För verksamheter med enbart </w:t>
      </w:r>
      <w:r w:rsidRPr="0032017C">
        <w:rPr>
          <w:i/>
          <w:iCs/>
        </w:rPr>
        <w:t>akutask för anafylaxi</w:t>
      </w:r>
      <w:r w:rsidRPr="0032017C">
        <w:t xml:space="preserve"> ska läkemedlen kontrolleras minst 1 gång per månad. Personal som kan komma att använda dessa akutläkemedel ska ha kunskap om behandlingsanvisningar enligt sjukhusövergripande riktlinje </w:t>
      </w:r>
      <w:hyperlink r:id="rId16" w:history="1">
        <w:r w:rsidRPr="00BE1C28">
          <w:rPr>
            <w:rStyle w:val="Hyperlnk"/>
          </w:rPr>
          <w:t>Akut anafylaktisk reaktion hos vuxna, SÄS</w:t>
        </w:r>
      </w:hyperlink>
      <w:bookmarkEnd w:id="46"/>
      <w:r w:rsidRPr="0032017C">
        <w:t>.</w:t>
      </w:r>
    </w:p>
    <w:p w14:paraId="7818BC1B" w14:textId="77777777" w:rsidR="0032017C" w:rsidRPr="0032017C" w:rsidRDefault="0032017C" w:rsidP="009B72E2">
      <w:pPr>
        <w:pStyle w:val="Rubrik2"/>
      </w:pPr>
      <w:bookmarkStart w:id="55" w:name="_Toc256000062"/>
      <w:bookmarkStart w:id="56" w:name="_Toc256000046"/>
      <w:bookmarkStart w:id="57" w:name="_Toc256000030"/>
      <w:bookmarkStart w:id="58" w:name="_Toc256000014"/>
      <w:bookmarkStart w:id="59" w:name="_Toc314219122"/>
      <w:bookmarkStart w:id="60" w:name="_Toc256000002"/>
      <w:bookmarkStart w:id="61" w:name="_Toc256000007"/>
      <w:bookmarkStart w:id="62" w:name="_Toc62638202"/>
      <w:bookmarkStart w:id="63" w:name="_Toc62652011"/>
      <w:bookmarkStart w:id="64" w:name="_Toc62654101"/>
      <w:bookmarkStart w:id="65" w:name="_Toc161213275"/>
      <w:r w:rsidRPr="0032017C">
        <w:t>Genomförande</w:t>
      </w:r>
      <w:bookmarkEnd w:id="55"/>
      <w:bookmarkEnd w:id="56"/>
      <w:bookmarkEnd w:id="57"/>
      <w:bookmarkEnd w:id="58"/>
      <w:bookmarkEnd w:id="59"/>
      <w:bookmarkEnd w:id="60"/>
      <w:bookmarkEnd w:id="61"/>
      <w:bookmarkEnd w:id="62"/>
      <w:bookmarkEnd w:id="63"/>
      <w:bookmarkEnd w:id="64"/>
      <w:bookmarkEnd w:id="65"/>
    </w:p>
    <w:p w14:paraId="67F54A39" w14:textId="77777777" w:rsidR="0032017C" w:rsidRPr="0032017C" w:rsidRDefault="0032017C" w:rsidP="009B72E2">
      <w:r w:rsidRPr="0032017C">
        <w:t>Beroende på avdelningens verksamhet kan behovet av akutläkemedel variera och därför finns innehåll för 4 olika akutaskar. Varje avdelning ser till att man har den ask eller de askar som motsvarar aktuell verksamhet.</w:t>
      </w:r>
    </w:p>
    <w:p w14:paraId="482D54A2" w14:textId="0CDB179C" w:rsidR="0032017C" w:rsidRPr="0032017C" w:rsidRDefault="0032017C" w:rsidP="009B72E2">
      <w:r w:rsidRPr="0032017C">
        <w:t xml:space="preserve">Eftersom en del av läkemedlen är ljuskänsliga är det lämpligt att använda de plastaskar som tidigare använts eller annan ljustät ask, för att säkerställa ljustät förvaring för de ljuskänsliga läkemedlen. Exempel på </w:t>
      </w:r>
      <w:r w:rsidRPr="0032017C">
        <w:lastRenderedPageBreak/>
        <w:t>förvaringsbox är ML Class, 2 liter med artikelnr 200001098 som kan beställas via Marknadsplatsen. Den är dock transparant så då krävs att ljuskänsliga ampuller läggs i ljustät innerpåse.</w:t>
      </w:r>
    </w:p>
    <w:p w14:paraId="0E14A239" w14:textId="77777777" w:rsidR="0032017C" w:rsidRPr="0032017C" w:rsidRDefault="0032017C" w:rsidP="009B72E2">
      <w:r w:rsidRPr="0032017C">
        <w:t>Ringer-Acetat ska finnas i anslutning till akutaskar.</w:t>
      </w:r>
    </w:p>
    <w:p w14:paraId="48A0103D" w14:textId="77777777" w:rsidR="0032017C" w:rsidRPr="0032017C" w:rsidRDefault="0032017C" w:rsidP="009B72E2">
      <w:r w:rsidRPr="0032017C">
        <w:t>De 4 akutaskarna ska ha följande innehåll:</w:t>
      </w:r>
    </w:p>
    <w:tbl>
      <w:tblPr>
        <w:tblW w:w="7938" w:type="dxa"/>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7"/>
        <w:gridCol w:w="4763"/>
        <w:gridCol w:w="1588"/>
      </w:tblGrid>
      <w:tr w:rsidR="0032017C" w:rsidRPr="0032017C" w14:paraId="1B89C8F5" w14:textId="77777777" w:rsidTr="001D43C5">
        <w:trPr>
          <w:tblHeader/>
        </w:trPr>
        <w:tc>
          <w:tcPr>
            <w:tcW w:w="1000" w:type="pct"/>
            <w:shd w:val="clear" w:color="auto" w:fill="E7E6E6"/>
          </w:tcPr>
          <w:p w14:paraId="3F9BE274"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bookmarkStart w:id="66" w:name="_Hlk54597190"/>
            <w:r w:rsidRPr="0032017C">
              <w:rPr>
                <w:rFonts w:ascii="Arial Fet" w:eastAsia="Calibri" w:hAnsi="Arial Fet"/>
                <w:b/>
                <w:bCs/>
                <w:sz w:val="22"/>
                <w:szCs w:val="22"/>
                <w:lang w:eastAsia="en-US"/>
              </w:rPr>
              <w:t>Akutask</w:t>
            </w:r>
          </w:p>
        </w:tc>
        <w:tc>
          <w:tcPr>
            <w:tcW w:w="3000" w:type="pct"/>
            <w:shd w:val="clear" w:color="auto" w:fill="E7E6E6"/>
          </w:tcPr>
          <w:p w14:paraId="5A4B645D"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Läkemedel</w:t>
            </w:r>
          </w:p>
        </w:tc>
        <w:tc>
          <w:tcPr>
            <w:tcW w:w="1000" w:type="pct"/>
            <w:shd w:val="clear" w:color="auto" w:fill="E7E6E6"/>
          </w:tcPr>
          <w:p w14:paraId="19563707"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Mängd</w:t>
            </w:r>
          </w:p>
        </w:tc>
      </w:tr>
      <w:tr w:rsidR="0032017C" w:rsidRPr="0032017C" w14:paraId="32017B6A" w14:textId="77777777" w:rsidTr="001D43C5">
        <w:tc>
          <w:tcPr>
            <w:tcW w:w="1000" w:type="pct"/>
            <w:vMerge w:val="restart"/>
            <w:shd w:val="clear" w:color="auto" w:fill="E7E6E6"/>
          </w:tcPr>
          <w:p w14:paraId="0FEF2870"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HLR-Vuxen</w:t>
            </w:r>
          </w:p>
        </w:tc>
        <w:tc>
          <w:tcPr>
            <w:tcW w:w="3000" w:type="pct"/>
            <w:shd w:val="clear" w:color="auto" w:fill="auto"/>
          </w:tcPr>
          <w:p w14:paraId="64EF0476" w14:textId="77777777" w:rsidR="0032017C" w:rsidRPr="0032017C" w:rsidRDefault="0032017C" w:rsidP="0032017C">
            <w:pPr>
              <w:keepNext/>
              <w:keepLine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0,1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1000" w:type="pct"/>
            <w:shd w:val="clear" w:color="auto" w:fill="auto"/>
          </w:tcPr>
          <w:p w14:paraId="408B106A" w14:textId="77777777" w:rsidR="0032017C" w:rsidRPr="0032017C" w:rsidRDefault="0032017C" w:rsidP="0032017C">
            <w:pPr>
              <w:keepNext/>
              <w:keepLine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 x 10 ml</w:t>
            </w:r>
          </w:p>
        </w:tc>
      </w:tr>
      <w:tr w:rsidR="0032017C" w:rsidRPr="0032017C" w14:paraId="48B470D6" w14:textId="77777777" w:rsidTr="001D43C5">
        <w:tc>
          <w:tcPr>
            <w:tcW w:w="1000" w:type="pct"/>
            <w:vMerge/>
            <w:shd w:val="clear" w:color="auto" w:fill="E7E6E6"/>
          </w:tcPr>
          <w:p w14:paraId="7DE8613A"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56E6F876" w14:textId="77777777" w:rsidR="0032017C" w:rsidRPr="0032017C" w:rsidRDefault="0032017C" w:rsidP="0032017C">
            <w:pPr>
              <w:keepNext/>
              <w:keepLines/>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Amiodarone 50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r w:rsidRPr="0032017C">
              <w:rPr>
                <w:rFonts w:ascii="Calibri" w:eastAsia="Calibri" w:hAnsi="Calibri"/>
                <w:sz w:val="22"/>
                <w:szCs w:val="22"/>
                <w:lang w:eastAsia="en-US"/>
              </w:rPr>
              <w:br/>
              <w:t>(t.ex. Cordarone)</w:t>
            </w:r>
          </w:p>
        </w:tc>
        <w:tc>
          <w:tcPr>
            <w:tcW w:w="1000" w:type="pct"/>
            <w:shd w:val="clear" w:color="auto" w:fill="auto"/>
          </w:tcPr>
          <w:p w14:paraId="75D6B396" w14:textId="77777777" w:rsidR="0032017C" w:rsidRPr="0032017C" w:rsidRDefault="0032017C" w:rsidP="0032017C">
            <w:pPr>
              <w:keepNext/>
              <w:keepLines/>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3 x 3 ml</w:t>
            </w:r>
          </w:p>
        </w:tc>
      </w:tr>
      <w:tr w:rsidR="0032017C" w:rsidRPr="0032017C" w14:paraId="0E5C2567" w14:textId="77777777" w:rsidTr="001D43C5">
        <w:tc>
          <w:tcPr>
            <w:tcW w:w="1000" w:type="pct"/>
            <w:vMerge/>
            <w:shd w:val="clear" w:color="auto" w:fill="E7E6E6"/>
          </w:tcPr>
          <w:p w14:paraId="4D599895"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013F79FA"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50 mg/ml</w:t>
            </w:r>
          </w:p>
        </w:tc>
        <w:tc>
          <w:tcPr>
            <w:tcW w:w="1000" w:type="pct"/>
            <w:shd w:val="clear" w:color="auto" w:fill="auto"/>
          </w:tcPr>
          <w:p w14:paraId="7B372A3B"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r>
      <w:tr w:rsidR="0032017C" w:rsidRPr="0032017C" w14:paraId="42423396" w14:textId="77777777" w:rsidTr="001D43C5">
        <w:tc>
          <w:tcPr>
            <w:tcW w:w="1000" w:type="pct"/>
            <w:vMerge w:val="restart"/>
            <w:shd w:val="clear" w:color="auto" w:fill="E7E6E6"/>
          </w:tcPr>
          <w:p w14:paraId="0013AB20"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HLR-Barn</w:t>
            </w:r>
          </w:p>
        </w:tc>
        <w:tc>
          <w:tcPr>
            <w:tcW w:w="3000" w:type="pct"/>
            <w:shd w:val="clear" w:color="auto" w:fill="auto"/>
          </w:tcPr>
          <w:p w14:paraId="0D98A1C7" w14:textId="77777777" w:rsidR="0032017C" w:rsidRPr="0032017C" w:rsidRDefault="0032017C" w:rsidP="0032017C">
            <w:pPr>
              <w:keepNext/>
              <w:keepLines/>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0,1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1000" w:type="pct"/>
            <w:shd w:val="clear" w:color="auto" w:fill="auto"/>
          </w:tcPr>
          <w:p w14:paraId="3382F6C8" w14:textId="77777777" w:rsidR="0032017C" w:rsidRPr="0032017C" w:rsidRDefault="0032017C" w:rsidP="0032017C">
            <w:pPr>
              <w:keepNext/>
              <w:keepLine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 x 10 ml</w:t>
            </w:r>
          </w:p>
        </w:tc>
      </w:tr>
      <w:tr w:rsidR="0032017C" w:rsidRPr="0032017C" w14:paraId="41D8AACE" w14:textId="77777777" w:rsidTr="001D43C5">
        <w:tc>
          <w:tcPr>
            <w:tcW w:w="1000" w:type="pct"/>
            <w:vMerge/>
            <w:shd w:val="clear" w:color="auto" w:fill="E7E6E6"/>
          </w:tcPr>
          <w:p w14:paraId="00C1DC76"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28333B9D"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Amiodarone 50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r w:rsidRPr="0032017C">
              <w:rPr>
                <w:rFonts w:ascii="Calibri" w:eastAsia="Calibri" w:hAnsi="Calibri"/>
                <w:sz w:val="22"/>
                <w:szCs w:val="22"/>
                <w:lang w:eastAsia="en-US"/>
              </w:rPr>
              <w:br/>
              <w:t>(t.ex. Cordarone)</w:t>
            </w:r>
          </w:p>
        </w:tc>
        <w:tc>
          <w:tcPr>
            <w:tcW w:w="1000" w:type="pct"/>
            <w:shd w:val="clear" w:color="auto" w:fill="auto"/>
          </w:tcPr>
          <w:p w14:paraId="5082B7F9"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 x 3 ml</w:t>
            </w:r>
          </w:p>
        </w:tc>
      </w:tr>
      <w:tr w:rsidR="0032017C" w:rsidRPr="0032017C" w14:paraId="2508D378" w14:textId="77777777" w:rsidTr="001D43C5">
        <w:tc>
          <w:tcPr>
            <w:tcW w:w="1000" w:type="pct"/>
            <w:vMerge/>
            <w:shd w:val="clear" w:color="auto" w:fill="E7E6E6"/>
          </w:tcPr>
          <w:p w14:paraId="301D6CD1"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73E44871"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50 mg/ml</w:t>
            </w:r>
          </w:p>
        </w:tc>
        <w:tc>
          <w:tcPr>
            <w:tcW w:w="1000" w:type="pct"/>
            <w:shd w:val="clear" w:color="auto" w:fill="auto"/>
          </w:tcPr>
          <w:p w14:paraId="17BC11F0"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r>
      <w:tr w:rsidR="0032017C" w:rsidRPr="0032017C" w14:paraId="3262A9D3" w14:textId="77777777" w:rsidTr="001D43C5">
        <w:tc>
          <w:tcPr>
            <w:tcW w:w="1000" w:type="pct"/>
            <w:vMerge/>
            <w:shd w:val="clear" w:color="auto" w:fill="E7E6E6"/>
          </w:tcPr>
          <w:p w14:paraId="5EA56DAC"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0B6D397A"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100 mg/ml</w:t>
            </w:r>
          </w:p>
        </w:tc>
        <w:tc>
          <w:tcPr>
            <w:tcW w:w="1000" w:type="pct"/>
            <w:shd w:val="clear" w:color="auto" w:fill="auto"/>
          </w:tcPr>
          <w:p w14:paraId="7842B690" w14:textId="26ED13E5"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1 x </w:t>
            </w:r>
            <w:r w:rsidR="004522CA">
              <w:rPr>
                <w:rFonts w:ascii="Calibri" w:eastAsia="Calibri" w:hAnsi="Calibri"/>
                <w:sz w:val="22"/>
                <w:szCs w:val="22"/>
                <w:lang w:eastAsia="en-US"/>
              </w:rPr>
              <w:t>5</w:t>
            </w:r>
            <w:r w:rsidRPr="0032017C">
              <w:rPr>
                <w:rFonts w:ascii="Calibri" w:eastAsia="Calibri" w:hAnsi="Calibri"/>
                <w:sz w:val="22"/>
                <w:szCs w:val="22"/>
                <w:lang w:eastAsia="en-US"/>
              </w:rPr>
              <w:t>00 ml</w:t>
            </w:r>
          </w:p>
        </w:tc>
      </w:tr>
      <w:tr w:rsidR="0032017C" w:rsidRPr="0032017C" w14:paraId="6DA5E1DC" w14:textId="77777777" w:rsidTr="001D43C5">
        <w:tc>
          <w:tcPr>
            <w:tcW w:w="1000" w:type="pct"/>
            <w:vMerge/>
            <w:shd w:val="clear" w:color="auto" w:fill="E7E6E6"/>
          </w:tcPr>
          <w:p w14:paraId="0E19D2B4"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0FB50F12"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Tribonat </w:t>
            </w:r>
          </w:p>
        </w:tc>
        <w:tc>
          <w:tcPr>
            <w:tcW w:w="1000" w:type="pct"/>
            <w:shd w:val="clear" w:color="auto" w:fill="auto"/>
          </w:tcPr>
          <w:p w14:paraId="300FEA8D"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r>
      <w:tr w:rsidR="0032017C" w:rsidRPr="0032017C" w14:paraId="1FDE5FB5" w14:textId="77777777" w:rsidTr="001D43C5">
        <w:tc>
          <w:tcPr>
            <w:tcW w:w="1000" w:type="pct"/>
            <w:vMerge w:val="restart"/>
            <w:shd w:val="clear" w:color="auto" w:fill="E7E6E6"/>
          </w:tcPr>
          <w:p w14:paraId="0FD6AF6F" w14:textId="77777777" w:rsidR="0032017C" w:rsidRPr="0032017C" w:rsidRDefault="0032017C" w:rsidP="0032017C">
            <w:pPr>
              <w:keepNext/>
              <w:keepLines/>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Anafylaxi Vuxen</w:t>
            </w:r>
          </w:p>
        </w:tc>
        <w:tc>
          <w:tcPr>
            <w:tcW w:w="3000" w:type="pct"/>
            <w:shd w:val="clear" w:color="auto" w:fill="auto"/>
          </w:tcPr>
          <w:p w14:paraId="3A14E834" w14:textId="77777777" w:rsidR="0032017C" w:rsidRPr="0032017C" w:rsidRDefault="0032017C" w:rsidP="0032017C">
            <w:pPr>
              <w:keepNext/>
              <w:keepLines/>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autoinjektor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r w:rsidRPr="0032017C">
              <w:rPr>
                <w:rFonts w:ascii="Calibri" w:eastAsia="Calibri" w:hAnsi="Calibri"/>
                <w:sz w:val="22"/>
                <w:szCs w:val="22"/>
                <w:lang w:eastAsia="en-US"/>
              </w:rPr>
              <w:br/>
              <w:t>t.ex. EpiPen 0,3 mg/ml</w:t>
            </w:r>
          </w:p>
        </w:tc>
        <w:tc>
          <w:tcPr>
            <w:tcW w:w="1000" w:type="pct"/>
            <w:shd w:val="clear" w:color="auto" w:fill="auto"/>
          </w:tcPr>
          <w:p w14:paraId="4F1CD32E" w14:textId="77777777" w:rsidR="0032017C" w:rsidRPr="0032017C" w:rsidRDefault="0032017C" w:rsidP="0032017C">
            <w:pPr>
              <w:keepNext/>
              <w:keepLine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2 st</w:t>
            </w:r>
          </w:p>
        </w:tc>
      </w:tr>
      <w:tr w:rsidR="0032017C" w:rsidRPr="0032017C" w14:paraId="4ADF532E" w14:textId="77777777" w:rsidTr="001D43C5">
        <w:tc>
          <w:tcPr>
            <w:tcW w:w="1000" w:type="pct"/>
            <w:vMerge/>
            <w:shd w:val="clear" w:color="auto" w:fill="E7E6E6"/>
          </w:tcPr>
          <w:p w14:paraId="310A6DFC"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782A1E1B"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Kortison betametason t.ex. Betapred tabletter 0,5 mg</w:t>
            </w:r>
          </w:p>
        </w:tc>
        <w:tc>
          <w:tcPr>
            <w:tcW w:w="1000" w:type="pct"/>
            <w:shd w:val="clear" w:color="auto" w:fill="auto"/>
          </w:tcPr>
          <w:p w14:paraId="02D1EF8B"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r>
      <w:tr w:rsidR="0032017C" w:rsidRPr="0032017C" w14:paraId="5F01411D" w14:textId="77777777" w:rsidTr="001D43C5">
        <w:tc>
          <w:tcPr>
            <w:tcW w:w="1000" w:type="pct"/>
            <w:vMerge/>
            <w:shd w:val="clear" w:color="auto" w:fill="E7E6E6"/>
          </w:tcPr>
          <w:p w14:paraId="7486E194"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7588E1C0"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Antihistamin desloratadin t.ex. munlöslig tablett Caredin 5 mg</w:t>
            </w:r>
          </w:p>
        </w:tc>
        <w:tc>
          <w:tcPr>
            <w:tcW w:w="1000" w:type="pct"/>
            <w:shd w:val="clear" w:color="auto" w:fill="auto"/>
          </w:tcPr>
          <w:p w14:paraId="1F496DAD"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r>
      <w:tr w:rsidR="0032017C" w:rsidRPr="0032017C" w14:paraId="7B9BFED5" w14:textId="77777777" w:rsidTr="001D43C5">
        <w:tc>
          <w:tcPr>
            <w:tcW w:w="1000" w:type="pct"/>
            <w:vMerge w:val="restart"/>
            <w:shd w:val="clear" w:color="auto" w:fill="E7E6E6"/>
          </w:tcPr>
          <w:p w14:paraId="4E2BE960"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2"/>
                <w:szCs w:val="22"/>
                <w:lang w:eastAsia="en-US"/>
              </w:rPr>
              <w:t>Anafylaxi barn</w:t>
            </w:r>
          </w:p>
        </w:tc>
        <w:tc>
          <w:tcPr>
            <w:tcW w:w="3000" w:type="pct"/>
            <w:shd w:val="clear" w:color="auto" w:fill="auto"/>
          </w:tcPr>
          <w:p w14:paraId="05A4DAAD"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autoinjektor t.ex. EpiPen Jr 0,15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1000" w:type="pct"/>
            <w:shd w:val="clear" w:color="auto" w:fill="auto"/>
          </w:tcPr>
          <w:p w14:paraId="2065C750"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2 st</w:t>
            </w:r>
          </w:p>
        </w:tc>
      </w:tr>
      <w:tr w:rsidR="0032017C" w:rsidRPr="0032017C" w14:paraId="73530860" w14:textId="77777777" w:rsidTr="001D43C5">
        <w:tc>
          <w:tcPr>
            <w:tcW w:w="1000" w:type="pct"/>
            <w:vMerge/>
            <w:shd w:val="clear" w:color="auto" w:fill="E7E6E6"/>
          </w:tcPr>
          <w:p w14:paraId="2A8C291E"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5E122190"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Kortison betametason t.ex. Betapred tabletter 0,5 mg</w:t>
            </w:r>
          </w:p>
        </w:tc>
        <w:tc>
          <w:tcPr>
            <w:tcW w:w="1000" w:type="pct"/>
            <w:shd w:val="clear" w:color="auto" w:fill="auto"/>
          </w:tcPr>
          <w:p w14:paraId="789E7DF5"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r>
      <w:tr w:rsidR="0032017C" w:rsidRPr="0032017C" w14:paraId="080E1FB9" w14:textId="77777777" w:rsidTr="001D43C5">
        <w:tc>
          <w:tcPr>
            <w:tcW w:w="1000" w:type="pct"/>
            <w:vMerge/>
            <w:shd w:val="clear" w:color="auto" w:fill="E7E6E6"/>
          </w:tcPr>
          <w:p w14:paraId="53754C20"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3000" w:type="pct"/>
            <w:shd w:val="clear" w:color="auto" w:fill="auto"/>
          </w:tcPr>
          <w:p w14:paraId="55F64E33"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Antihistamin desloratadin t.ex. munlöslig tablett Caredin 2,5 mg</w:t>
            </w:r>
          </w:p>
        </w:tc>
        <w:tc>
          <w:tcPr>
            <w:tcW w:w="1000" w:type="pct"/>
            <w:shd w:val="clear" w:color="auto" w:fill="auto"/>
          </w:tcPr>
          <w:p w14:paraId="6522EDEA"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r>
    </w:tbl>
    <w:p w14:paraId="20E3BD66" w14:textId="77777777" w:rsidR="0032017C" w:rsidRPr="0032017C" w:rsidRDefault="0032017C" w:rsidP="001D43C5">
      <w:pPr>
        <w:pStyle w:val="Rubrik3"/>
      </w:pPr>
      <w:bookmarkStart w:id="67" w:name="_Toc256000063"/>
      <w:bookmarkStart w:id="68" w:name="_Toc256000047"/>
      <w:bookmarkStart w:id="69" w:name="_Toc256000031"/>
      <w:bookmarkStart w:id="70" w:name="_Toc256000015"/>
      <w:bookmarkStart w:id="71" w:name="_Toc62544740"/>
      <w:bookmarkStart w:id="72" w:name="_Toc62638203"/>
      <w:bookmarkStart w:id="73" w:name="_Toc62652012"/>
      <w:bookmarkStart w:id="74" w:name="_Toc62654102"/>
      <w:bookmarkStart w:id="75" w:name="_Toc161213276"/>
      <w:bookmarkEnd w:id="66"/>
      <w:r w:rsidRPr="0032017C">
        <w:t>Dokumentation</w:t>
      </w:r>
      <w:bookmarkEnd w:id="67"/>
      <w:bookmarkEnd w:id="68"/>
      <w:bookmarkEnd w:id="69"/>
      <w:bookmarkEnd w:id="70"/>
      <w:bookmarkEnd w:id="71"/>
      <w:bookmarkEnd w:id="72"/>
      <w:bookmarkEnd w:id="73"/>
      <w:bookmarkEnd w:id="74"/>
      <w:bookmarkEnd w:id="75"/>
    </w:p>
    <w:p w14:paraId="5BE5A694" w14:textId="77777777" w:rsidR="0032017C" w:rsidRPr="0032017C" w:rsidRDefault="0032017C" w:rsidP="001D43C5">
      <w:r w:rsidRPr="0032017C">
        <w:t>Lådans innehåll måste framgå från etikett som placeras på lådans lock. Där ska även framgå när hållbarheten kontrollerats och av vem.</w:t>
      </w:r>
    </w:p>
    <w:p w14:paraId="14346245" w14:textId="77777777" w:rsidR="0032017C" w:rsidRPr="0032017C" w:rsidRDefault="0032017C" w:rsidP="001D43C5">
      <w:pPr>
        <w:pStyle w:val="Rubrik3"/>
      </w:pPr>
      <w:bookmarkStart w:id="76" w:name="_Toc256000064"/>
      <w:bookmarkStart w:id="77" w:name="_Toc256000048"/>
      <w:bookmarkStart w:id="78" w:name="_Toc256000032"/>
      <w:bookmarkStart w:id="79" w:name="_Toc256000016"/>
      <w:bookmarkStart w:id="80" w:name="_Toc314219123"/>
      <w:bookmarkStart w:id="81" w:name="_Toc256000003"/>
      <w:bookmarkStart w:id="82" w:name="_Toc256000008"/>
      <w:bookmarkStart w:id="83" w:name="_Toc62638204"/>
      <w:bookmarkStart w:id="84" w:name="_Toc62652013"/>
      <w:bookmarkStart w:id="85" w:name="_Toc62654103"/>
      <w:bookmarkStart w:id="86" w:name="_Toc161213277"/>
      <w:r w:rsidRPr="0032017C">
        <w:t>Uppföljning</w:t>
      </w:r>
      <w:bookmarkEnd w:id="76"/>
      <w:bookmarkEnd w:id="77"/>
      <w:bookmarkEnd w:id="78"/>
      <w:bookmarkEnd w:id="79"/>
      <w:bookmarkEnd w:id="80"/>
      <w:bookmarkEnd w:id="81"/>
      <w:bookmarkEnd w:id="82"/>
      <w:bookmarkEnd w:id="83"/>
      <w:bookmarkEnd w:id="84"/>
      <w:bookmarkEnd w:id="85"/>
      <w:bookmarkEnd w:id="86"/>
    </w:p>
    <w:p w14:paraId="38AAB720" w14:textId="77777777" w:rsidR="0032017C" w:rsidRPr="0032017C" w:rsidRDefault="0032017C" w:rsidP="001D43C5">
      <w:r w:rsidRPr="0032017C">
        <w:t>Akutaskarnas innehåll är beräknade för att kunna påbörja behandling tills akutgruppen anländer och kan fortsätta behandlingen. När läkemedel från lådan använts, måste lådan kompletteras omgående och innehållet dokumenteras på lådans lock. Avsteg från rådande rutin måste anmälas via avvikelsesystemet MedControl Pro.</w:t>
      </w:r>
    </w:p>
    <w:p w14:paraId="08401A19" w14:textId="77777777" w:rsidR="0032017C" w:rsidRPr="0032017C" w:rsidRDefault="0032017C" w:rsidP="001D43C5">
      <w:pPr>
        <w:pStyle w:val="Rubrik2"/>
      </w:pPr>
      <w:bookmarkStart w:id="87" w:name="_Toc256000065"/>
      <w:bookmarkStart w:id="88" w:name="_Toc256000049"/>
      <w:bookmarkStart w:id="89" w:name="_Toc256000033"/>
      <w:bookmarkStart w:id="90" w:name="_Toc256000017"/>
      <w:bookmarkStart w:id="91" w:name="_Toc182366122"/>
      <w:bookmarkStart w:id="92" w:name="_Toc314219124"/>
      <w:bookmarkStart w:id="93" w:name="_Toc256000004"/>
      <w:bookmarkStart w:id="94" w:name="_Toc256000009"/>
      <w:bookmarkStart w:id="95" w:name="_Toc62638205"/>
      <w:bookmarkStart w:id="96" w:name="_Toc62652014"/>
      <w:bookmarkStart w:id="97" w:name="_Toc62654104"/>
      <w:bookmarkStart w:id="98" w:name="_Toc161213278"/>
      <w:r w:rsidRPr="0032017C">
        <w:lastRenderedPageBreak/>
        <w:t>Dokumentinformation</w:t>
      </w:r>
      <w:bookmarkEnd w:id="87"/>
      <w:bookmarkEnd w:id="88"/>
      <w:bookmarkEnd w:id="89"/>
      <w:bookmarkEnd w:id="90"/>
      <w:bookmarkEnd w:id="91"/>
      <w:bookmarkEnd w:id="92"/>
      <w:bookmarkEnd w:id="93"/>
      <w:bookmarkEnd w:id="94"/>
      <w:bookmarkEnd w:id="95"/>
      <w:bookmarkEnd w:id="96"/>
      <w:bookmarkEnd w:id="97"/>
      <w:bookmarkEnd w:id="98"/>
    </w:p>
    <w:p w14:paraId="1E35F1E6" w14:textId="77777777" w:rsidR="0032017C" w:rsidRPr="006C57F3" w:rsidRDefault="0032017C" w:rsidP="006C57F3">
      <w:pPr>
        <w:spacing w:after="0"/>
        <w:rPr>
          <w:b/>
          <w:bCs/>
        </w:rPr>
      </w:pPr>
      <w:r w:rsidRPr="006C57F3">
        <w:rPr>
          <w:b/>
          <w:bCs/>
        </w:rPr>
        <w:t>För innehållet svarar</w:t>
      </w:r>
    </w:p>
    <w:p w14:paraId="168DBC9B" w14:textId="6F9A626A" w:rsidR="0032017C" w:rsidRPr="0032017C" w:rsidRDefault="00CB1DEF" w:rsidP="006C57F3">
      <w:pPr>
        <w:rPr>
          <w:szCs w:val="20"/>
        </w:rPr>
      </w:pPr>
      <w:bookmarkStart w:id="99" w:name="_Toc149035757"/>
      <w:bookmarkStart w:id="100" w:name="_Toc149978547"/>
      <w:r>
        <w:rPr>
          <w:szCs w:val="20"/>
        </w:rPr>
        <w:t>Jerker Nilson</w:t>
      </w:r>
      <w:r w:rsidR="0032017C" w:rsidRPr="0032017C">
        <w:rPr>
          <w:szCs w:val="20"/>
        </w:rPr>
        <w:t xml:space="preserve">, </w:t>
      </w:r>
      <w:r>
        <w:rPr>
          <w:szCs w:val="20"/>
        </w:rPr>
        <w:t>chefläkare</w:t>
      </w:r>
      <w:r w:rsidR="0032017C" w:rsidRPr="0032017C">
        <w:rPr>
          <w:szCs w:val="20"/>
        </w:rPr>
        <w:t>, SÄS</w:t>
      </w:r>
      <w:r w:rsidR="0032017C" w:rsidRPr="0032017C">
        <w:rPr>
          <w:szCs w:val="20"/>
        </w:rPr>
        <w:br/>
        <w:t>Gunilla Rosquist, apotekare, sjuk</w:t>
      </w:r>
      <w:r w:rsidR="00B07ED3">
        <w:rPr>
          <w:szCs w:val="20"/>
        </w:rPr>
        <w:t>vårdsa</w:t>
      </w:r>
      <w:r w:rsidR="0032017C" w:rsidRPr="0032017C">
        <w:rPr>
          <w:szCs w:val="20"/>
        </w:rPr>
        <w:t>poteket VGR/SÄS</w:t>
      </w:r>
      <w:r w:rsidR="0032017C" w:rsidRPr="0032017C">
        <w:rPr>
          <w:szCs w:val="20"/>
        </w:rPr>
        <w:br/>
        <w:t>Sofia Åkerfeldt, sjuksköterska, HLR-utbildningsenhet. SÄS</w:t>
      </w:r>
      <w:r w:rsidR="0032017C" w:rsidRPr="0032017C">
        <w:rPr>
          <w:szCs w:val="20"/>
        </w:rPr>
        <w:br/>
      </w:r>
      <w:r w:rsidR="00345285" w:rsidRPr="00345285">
        <w:rPr>
          <w:szCs w:val="20"/>
        </w:rPr>
        <w:t>Rami Genead</w:t>
      </w:r>
      <w:r w:rsidR="0032017C" w:rsidRPr="0032017C">
        <w:rPr>
          <w:szCs w:val="20"/>
        </w:rPr>
        <w:t xml:space="preserve">, specialistläkare/HLR-ansvarig, </w:t>
      </w:r>
      <w:r w:rsidR="00EE770A">
        <w:rPr>
          <w:szCs w:val="20"/>
        </w:rPr>
        <w:t xml:space="preserve">VO </w:t>
      </w:r>
      <w:r w:rsidR="0032017C" w:rsidRPr="0032017C">
        <w:rPr>
          <w:szCs w:val="20"/>
        </w:rPr>
        <w:t>medicin, SÄS</w:t>
      </w:r>
    </w:p>
    <w:p w14:paraId="568934B0" w14:textId="77777777" w:rsidR="0032017C" w:rsidRPr="006C57F3" w:rsidRDefault="0032017C" w:rsidP="006C57F3">
      <w:pPr>
        <w:spacing w:after="0"/>
        <w:rPr>
          <w:b/>
          <w:bCs/>
        </w:rPr>
      </w:pPr>
      <w:r w:rsidRPr="006C57F3">
        <w:rPr>
          <w:b/>
          <w:bCs/>
        </w:rPr>
        <w:t>Remissinstanser</w:t>
      </w:r>
      <w:bookmarkEnd w:id="99"/>
      <w:bookmarkEnd w:id="100"/>
    </w:p>
    <w:p w14:paraId="68B72E7C" w14:textId="77777777" w:rsidR="0032017C" w:rsidRPr="0032017C" w:rsidRDefault="0032017C" w:rsidP="006C57F3">
      <w:pPr>
        <w:rPr>
          <w:szCs w:val="20"/>
        </w:rPr>
      </w:pPr>
      <w:r w:rsidRPr="0032017C">
        <w:rPr>
          <w:szCs w:val="20"/>
        </w:rPr>
        <w:t>Verksamhetschefer, SÄS</w:t>
      </w:r>
    </w:p>
    <w:p w14:paraId="567F3020" w14:textId="77777777" w:rsidR="0032017C" w:rsidRPr="006C57F3" w:rsidRDefault="0032017C" w:rsidP="006C57F3">
      <w:pPr>
        <w:spacing w:after="0"/>
        <w:rPr>
          <w:b/>
          <w:bCs/>
        </w:rPr>
      </w:pPr>
      <w:r w:rsidRPr="006C57F3">
        <w:rPr>
          <w:b/>
          <w:bCs/>
        </w:rPr>
        <w:t>Fastställt av</w:t>
      </w:r>
    </w:p>
    <w:p w14:paraId="686616BC" w14:textId="361B43C0" w:rsidR="0032017C" w:rsidRPr="0032017C" w:rsidRDefault="007A3B08" w:rsidP="006C57F3">
      <w:pPr>
        <w:rPr>
          <w:szCs w:val="20"/>
        </w:rPr>
      </w:pPr>
      <w:r>
        <w:rPr>
          <w:szCs w:val="20"/>
        </w:rPr>
        <w:t>Jerker Nilson</w:t>
      </w:r>
      <w:r w:rsidR="0032017C" w:rsidRPr="0032017C">
        <w:rPr>
          <w:szCs w:val="20"/>
        </w:rPr>
        <w:t>, chefläkare, SÄS</w:t>
      </w:r>
    </w:p>
    <w:p w14:paraId="2F8325B5" w14:textId="77777777" w:rsidR="0032017C" w:rsidRPr="006C57F3" w:rsidRDefault="0032017C" w:rsidP="006C57F3">
      <w:pPr>
        <w:spacing w:after="0"/>
        <w:rPr>
          <w:b/>
          <w:bCs/>
        </w:rPr>
      </w:pPr>
      <w:r w:rsidRPr="006C57F3">
        <w:rPr>
          <w:b/>
          <w:bCs/>
        </w:rPr>
        <w:t>Nyckelord</w:t>
      </w:r>
    </w:p>
    <w:p w14:paraId="1E16F260" w14:textId="67508F3D" w:rsidR="0032017C" w:rsidRPr="0032017C" w:rsidRDefault="0032017C" w:rsidP="001D43C5">
      <w:pPr>
        <w:rPr>
          <w:szCs w:val="20"/>
        </w:rPr>
      </w:pPr>
      <w:r w:rsidRPr="0032017C">
        <w:rPr>
          <w:szCs w:val="20"/>
        </w:rPr>
        <w:t>läkemedel, mediciner, akutbehandling, hjärtstopp, chock</w:t>
      </w:r>
    </w:p>
    <w:p w14:paraId="715D031F" w14:textId="77777777" w:rsidR="0032017C" w:rsidRDefault="0032017C" w:rsidP="006C57F3">
      <w:pPr>
        <w:pStyle w:val="Rubrik2"/>
      </w:pPr>
      <w:bookmarkStart w:id="101" w:name="_Toc256000066"/>
      <w:bookmarkStart w:id="102" w:name="_Toc256000050"/>
      <w:bookmarkStart w:id="103" w:name="_Toc256000034"/>
      <w:bookmarkStart w:id="104" w:name="_Toc256000018"/>
      <w:bookmarkStart w:id="105" w:name="_Toc62654105"/>
      <w:bookmarkStart w:id="106" w:name="_Toc161213279"/>
      <w:r w:rsidRPr="0032017C">
        <w:t>Länkförteckning</w:t>
      </w:r>
      <w:bookmarkEnd w:id="101"/>
      <w:bookmarkEnd w:id="102"/>
      <w:bookmarkEnd w:id="103"/>
      <w:bookmarkEnd w:id="104"/>
      <w:bookmarkEnd w:id="105"/>
      <w:bookmarkEnd w:id="106"/>
    </w:p>
    <w:p w14:paraId="3CEE59E0" w14:textId="334F21B0" w:rsidR="0051109C" w:rsidRPr="001722EF" w:rsidRDefault="0032017C" w:rsidP="00CC3C07">
      <w:pPr>
        <w:pStyle w:val="Punktlista"/>
        <w:rPr>
          <w:rStyle w:val="Hyperlnk"/>
          <w:color w:val="auto"/>
          <w:u w:val="none"/>
        </w:rPr>
      </w:pPr>
      <w:r w:rsidRPr="00CC3C07">
        <w:t>HLR – Kompetenskrav vid SÄS. Sjukhusövergripande riktlinje, SÄS</w:t>
      </w:r>
      <w:r w:rsidRPr="00CC3C07">
        <w:br/>
      </w:r>
      <w:r w:rsidR="0051109C" w:rsidRPr="00CC3C07">
        <w:rPr>
          <w:rStyle w:val="Hyperlnk"/>
          <w:color w:val="auto"/>
          <w:u w:val="none"/>
        </w:rPr>
        <w:fldChar w:fldCharType="begin"/>
      </w:r>
      <w:r w:rsidR="00D33331" w:rsidRPr="00CC3C07">
        <w:rPr>
          <w:rStyle w:val="Hyperlnk"/>
          <w:color w:val="auto"/>
          <w:u w:val="none"/>
        </w:rPr>
        <w:instrText>HYPERLINK "https://mellanarkiv-offentlig.vgregion.se/alfresco/s/archive/stream/public/v1/source/available/SOFIA/SAS9642-738863596-93/SURROGATE/HLR%20-%20Kompetenskrav%20vid%20S%c3%84S.pdf"</w:instrText>
      </w:r>
      <w:r w:rsidR="0051109C" w:rsidRPr="00CC3C07">
        <w:rPr>
          <w:rStyle w:val="Hyperlnk"/>
          <w:color w:val="auto"/>
          <w:u w:val="none"/>
        </w:rPr>
      </w:r>
      <w:r w:rsidR="0051109C" w:rsidRPr="00CC3C07">
        <w:rPr>
          <w:rStyle w:val="Hyperlnk"/>
          <w:color w:val="auto"/>
          <w:u w:val="none"/>
        </w:rPr>
        <w:fldChar w:fldCharType="separate"/>
      </w:r>
      <w:r w:rsidR="0051109C" w:rsidRPr="006567F4">
        <w:rPr>
          <w:rStyle w:val="Hyperlnk"/>
        </w:rPr>
        <w:t>https://hittadokument.vgregion.se/sas</w:t>
      </w:r>
    </w:p>
    <w:p w14:paraId="6204674D" w14:textId="5FE3DBD5" w:rsidR="0051109C" w:rsidRDefault="0051109C" w:rsidP="00CC3C07">
      <w:pPr>
        <w:pStyle w:val="Punktlista"/>
        <w:rPr>
          <w:rStyle w:val="Hyperlnk"/>
          <w:color w:val="auto"/>
          <w:u w:val="none"/>
        </w:rPr>
      </w:pPr>
      <w:r w:rsidRPr="00CC3C07">
        <w:rPr>
          <w:rStyle w:val="Hyperlnk"/>
          <w:color w:val="auto"/>
          <w:u w:val="none"/>
        </w:rPr>
        <w:fldChar w:fldCharType="end"/>
      </w:r>
      <w:r w:rsidRPr="00CC3C07">
        <w:t>HLR – genomförande vid SÄS. Sjukhusövergripande riktlinje, SÄS</w:t>
      </w:r>
      <w:r w:rsidRPr="00CC3C07">
        <w:br/>
      </w:r>
      <w:hyperlink r:id="rId17" w:history="1">
        <w:r w:rsidRPr="006567F4">
          <w:rPr>
            <w:rStyle w:val="Hyperlnk"/>
          </w:rPr>
          <w:t>https://hittadokument.vgregion.se/sas</w:t>
        </w:r>
      </w:hyperlink>
    </w:p>
    <w:p w14:paraId="343143D8" w14:textId="2277E37D" w:rsidR="00CC3C07" w:rsidRDefault="00CC3C07" w:rsidP="00CC3C07">
      <w:pPr>
        <w:pStyle w:val="Punktlista"/>
        <w:rPr>
          <w:rStyle w:val="Hyperlnk"/>
          <w:color w:val="auto"/>
          <w:u w:val="none"/>
        </w:rPr>
      </w:pPr>
      <w:r w:rsidRPr="00CC3C07">
        <w:rPr>
          <w:rStyle w:val="Hyperlnk"/>
          <w:color w:val="auto"/>
          <w:u w:val="none"/>
        </w:rPr>
        <w:t>HL</w:t>
      </w:r>
      <w:r w:rsidRPr="00CC3C07">
        <w:t>R – Checklista för akutvagn</w:t>
      </w:r>
      <w:r>
        <w:br/>
      </w:r>
      <w:r w:rsidRPr="001722EF">
        <w:rPr>
          <w:rStyle w:val="Hyperlnk"/>
        </w:rPr>
        <w:t>https://mellanarkiv-offentlig.vgregion.se/alfresco/s/archive/stream/public/v1/source/available/sofia/sas467-1574791863-405/surrogate/Checklista%20Akutvagnen.pdf</w:t>
      </w:r>
    </w:p>
    <w:p w14:paraId="2DFD1BCF" w14:textId="76D267F1" w:rsidR="0032017C" w:rsidRPr="00CC3C07" w:rsidRDefault="0032017C" w:rsidP="00CC3C07">
      <w:pPr>
        <w:pStyle w:val="Punktlista"/>
      </w:pPr>
      <w:r w:rsidRPr="00CC3C07">
        <w:t>Akut anafylaktisk reaktion hos vuxna, SÄS. Sjukhusövergripande rutin, SÄS</w:t>
      </w:r>
      <w:r w:rsidRPr="00CC3C07">
        <w:br/>
      </w:r>
      <w:hyperlink r:id="rId18" w:history="1">
        <w:r w:rsidR="00BE1C28" w:rsidRPr="006567F4">
          <w:rPr>
            <w:rStyle w:val="Hyperlnk"/>
          </w:rPr>
          <w:t>https://hittadokument.vgregion.se/sas</w:t>
        </w:r>
      </w:hyperlink>
    </w:p>
    <w:p w14:paraId="6220A1E6" w14:textId="4397A454" w:rsidR="0032017C" w:rsidRPr="0032017C" w:rsidRDefault="0032017C" w:rsidP="002E5BF4">
      <w:pPr>
        <w:pStyle w:val="Rubrik2"/>
        <w:ind w:left="284"/>
      </w:pPr>
      <w:bookmarkStart w:id="107" w:name="_Toc62638206"/>
      <w:r w:rsidRPr="0032017C">
        <w:br w:type="page"/>
      </w:r>
      <w:bookmarkStart w:id="108" w:name="_Toc256000067"/>
      <w:bookmarkStart w:id="109" w:name="_Toc256000051"/>
      <w:bookmarkStart w:id="110" w:name="_Toc256000035"/>
      <w:bookmarkStart w:id="111" w:name="_Toc256000019"/>
      <w:bookmarkStart w:id="112" w:name="_Toc62652015"/>
      <w:bookmarkStart w:id="113" w:name="_Toc62654106"/>
      <w:bookmarkStart w:id="114" w:name="_Toc161213280"/>
      <w:r w:rsidRPr="0032017C">
        <w:lastRenderedPageBreak/>
        <w:t>Bilaga</w:t>
      </w:r>
      <w:bookmarkEnd w:id="107"/>
      <w:bookmarkEnd w:id="108"/>
      <w:bookmarkEnd w:id="109"/>
      <w:bookmarkEnd w:id="110"/>
      <w:bookmarkEnd w:id="111"/>
      <w:bookmarkEnd w:id="112"/>
      <w:bookmarkEnd w:id="113"/>
      <w:r w:rsidR="00305F95">
        <w:t xml:space="preserve"> </w:t>
      </w:r>
      <w:r w:rsidR="00E1338D">
        <w:t>– Etiketter för akutaskar</w:t>
      </w:r>
      <w:bookmarkEnd w:id="114"/>
    </w:p>
    <w:p w14:paraId="18EFDC42" w14:textId="77777777" w:rsidR="0032017C" w:rsidRPr="0032017C" w:rsidRDefault="0032017C" w:rsidP="002E5BF4">
      <w:pPr>
        <w:keepNext/>
        <w:spacing w:before="120" w:after="60" w:line="240" w:lineRule="auto"/>
        <w:ind w:left="284" w:right="0"/>
        <w:outlineLvl w:val="1"/>
        <w:rPr>
          <w:rFonts w:ascii="Arial" w:hAnsi="Arial" w:cs="Arial"/>
          <w:bCs/>
          <w:iCs/>
          <w:color w:val="2F5496"/>
          <w:sz w:val="28"/>
          <w:szCs w:val="28"/>
        </w:rPr>
      </w:pPr>
      <w:bookmarkStart w:id="115" w:name="_Toc256000068"/>
      <w:bookmarkStart w:id="116" w:name="_Toc256000052"/>
      <w:bookmarkStart w:id="117" w:name="_Toc256000036"/>
      <w:bookmarkStart w:id="118" w:name="_Toc256000020"/>
      <w:bookmarkStart w:id="119" w:name="_Toc62544744"/>
      <w:bookmarkStart w:id="120" w:name="_Toc62638207"/>
      <w:bookmarkStart w:id="121" w:name="_Toc62652016"/>
      <w:bookmarkStart w:id="122" w:name="_Toc62654107"/>
      <w:r w:rsidRPr="0032017C">
        <w:rPr>
          <w:rFonts w:ascii="Arial" w:hAnsi="Arial" w:cs="Arial"/>
          <w:bCs/>
          <w:iCs/>
          <w:color w:val="2F5496"/>
          <w:sz w:val="28"/>
          <w:szCs w:val="28"/>
        </w:rPr>
        <w:t>Etikett akutask HLR vuxen</w:t>
      </w:r>
      <w:bookmarkEnd w:id="115"/>
      <w:bookmarkEnd w:id="116"/>
      <w:bookmarkEnd w:id="117"/>
      <w:bookmarkEnd w:id="118"/>
      <w:bookmarkEnd w:id="119"/>
      <w:bookmarkEnd w:id="120"/>
      <w:bookmarkEnd w:id="121"/>
      <w:bookmarkEnd w:id="122"/>
    </w:p>
    <w:tbl>
      <w:tblPr>
        <w:tblW w:w="1020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4082"/>
        <w:gridCol w:w="1531"/>
        <w:gridCol w:w="1531"/>
        <w:gridCol w:w="1531"/>
      </w:tblGrid>
      <w:tr w:rsidR="0032017C" w:rsidRPr="0032017C" w14:paraId="1B681CB0" w14:textId="77777777" w:rsidTr="002E5BF4">
        <w:trPr>
          <w:tblHeader/>
        </w:trPr>
        <w:tc>
          <w:tcPr>
            <w:tcW w:w="750" w:type="pct"/>
            <w:shd w:val="clear" w:color="auto" w:fill="E7E6E6"/>
          </w:tcPr>
          <w:p w14:paraId="44E19270"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Akutask</w:t>
            </w:r>
          </w:p>
        </w:tc>
        <w:tc>
          <w:tcPr>
            <w:tcW w:w="2000" w:type="pct"/>
            <w:shd w:val="clear" w:color="auto" w:fill="E7E6E6"/>
          </w:tcPr>
          <w:p w14:paraId="1CBBB0F3"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Läkemedel</w:t>
            </w:r>
          </w:p>
        </w:tc>
        <w:tc>
          <w:tcPr>
            <w:tcW w:w="750" w:type="pct"/>
            <w:shd w:val="clear" w:color="auto" w:fill="E7E6E6"/>
          </w:tcPr>
          <w:p w14:paraId="67802115"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Mängd</w:t>
            </w:r>
          </w:p>
        </w:tc>
        <w:tc>
          <w:tcPr>
            <w:tcW w:w="750" w:type="pct"/>
            <w:shd w:val="clear" w:color="auto" w:fill="E7E6E6"/>
          </w:tcPr>
          <w:p w14:paraId="3982156B"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Datum</w:t>
            </w:r>
          </w:p>
        </w:tc>
        <w:tc>
          <w:tcPr>
            <w:tcW w:w="750" w:type="pct"/>
            <w:shd w:val="clear" w:color="auto" w:fill="E7E6E6"/>
          </w:tcPr>
          <w:p w14:paraId="4E7C8E33" w14:textId="77777777" w:rsidR="0032017C" w:rsidRPr="0032017C" w:rsidRDefault="0032017C" w:rsidP="0032017C">
            <w:pPr>
              <w:suppressAutoHyphens/>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Kontroll signatur</w:t>
            </w:r>
          </w:p>
        </w:tc>
      </w:tr>
      <w:tr w:rsidR="0032017C" w:rsidRPr="0032017C" w14:paraId="445EB692" w14:textId="77777777" w:rsidTr="002E5BF4">
        <w:tc>
          <w:tcPr>
            <w:tcW w:w="750" w:type="pct"/>
            <w:vMerge w:val="restart"/>
            <w:shd w:val="clear" w:color="auto" w:fill="E7E6E6"/>
          </w:tcPr>
          <w:p w14:paraId="04213D78"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HLR-vuxen</w:t>
            </w:r>
          </w:p>
        </w:tc>
        <w:tc>
          <w:tcPr>
            <w:tcW w:w="2000" w:type="pct"/>
            <w:shd w:val="clear" w:color="auto" w:fill="auto"/>
          </w:tcPr>
          <w:p w14:paraId="0A3FDA8C"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0,1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4EAFD7F1"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 x 10 ml</w:t>
            </w:r>
          </w:p>
        </w:tc>
        <w:tc>
          <w:tcPr>
            <w:tcW w:w="750" w:type="pct"/>
            <w:shd w:val="clear" w:color="auto" w:fill="auto"/>
          </w:tcPr>
          <w:p w14:paraId="4AFC2366"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45E6DAA5"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7D04CF25" w14:textId="77777777" w:rsidTr="002E5BF4">
        <w:tc>
          <w:tcPr>
            <w:tcW w:w="750" w:type="pct"/>
            <w:vMerge/>
            <w:shd w:val="clear" w:color="auto" w:fill="E7E6E6"/>
          </w:tcPr>
          <w:p w14:paraId="008ED596"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02A4871B" w14:textId="77777777" w:rsidR="0032017C" w:rsidRPr="0032017C" w:rsidRDefault="0032017C" w:rsidP="0032017C">
            <w:pPr>
              <w:suppressAutoHyphens/>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 xml:space="preserve">Amiodarone 50 mg/ml </w:t>
            </w:r>
            <w:r w:rsidRPr="0032017C">
              <w:rPr>
                <w:rFonts w:ascii="Calibri" w:eastAsia="Calibri" w:hAnsi="Calibri"/>
                <w:sz w:val="22"/>
                <w:szCs w:val="22"/>
                <w:lang w:val="en-NZ" w:eastAsia="en-US"/>
              </w:rPr>
              <w:br/>
              <w:t xml:space="preserve">(t.ex. Cordarone)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7CDFBF58"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3 x 3 ml</w:t>
            </w:r>
          </w:p>
        </w:tc>
        <w:tc>
          <w:tcPr>
            <w:tcW w:w="750" w:type="pct"/>
            <w:shd w:val="clear" w:color="auto" w:fill="auto"/>
          </w:tcPr>
          <w:p w14:paraId="2EBC8293"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c>
          <w:tcPr>
            <w:tcW w:w="750" w:type="pct"/>
            <w:shd w:val="clear" w:color="auto" w:fill="auto"/>
          </w:tcPr>
          <w:p w14:paraId="10EA066A"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r>
      <w:tr w:rsidR="0032017C" w:rsidRPr="0032017C" w14:paraId="0C279A3E" w14:textId="77777777" w:rsidTr="002E5BF4">
        <w:tc>
          <w:tcPr>
            <w:tcW w:w="750" w:type="pct"/>
            <w:vMerge/>
            <w:shd w:val="clear" w:color="auto" w:fill="E7E6E6"/>
          </w:tcPr>
          <w:p w14:paraId="3C8BB8F3"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57431B84"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50 mg/ml</w:t>
            </w:r>
          </w:p>
        </w:tc>
        <w:tc>
          <w:tcPr>
            <w:tcW w:w="750" w:type="pct"/>
            <w:shd w:val="clear" w:color="auto" w:fill="auto"/>
          </w:tcPr>
          <w:p w14:paraId="44837D9B"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c>
          <w:tcPr>
            <w:tcW w:w="750" w:type="pct"/>
            <w:shd w:val="clear" w:color="auto" w:fill="auto"/>
          </w:tcPr>
          <w:p w14:paraId="0376774F"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72CBB690"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bl>
    <w:p w14:paraId="6654ED99" w14:textId="77777777" w:rsidR="0032017C" w:rsidRPr="002E5BF4" w:rsidRDefault="0032017C" w:rsidP="00C82DA4">
      <w:pPr>
        <w:keepNext/>
        <w:spacing w:before="240" w:after="60" w:line="240" w:lineRule="auto"/>
        <w:ind w:left="284" w:right="0"/>
        <w:outlineLvl w:val="1"/>
        <w:rPr>
          <w:rFonts w:ascii="Arial" w:hAnsi="Arial" w:cs="Arial"/>
          <w:bCs/>
          <w:iCs/>
          <w:color w:val="2F5496"/>
          <w:sz w:val="28"/>
          <w:szCs w:val="28"/>
        </w:rPr>
      </w:pPr>
      <w:bookmarkStart w:id="123" w:name="_Toc256000069"/>
      <w:bookmarkStart w:id="124" w:name="_Toc256000053"/>
      <w:bookmarkStart w:id="125" w:name="_Toc256000037"/>
      <w:bookmarkStart w:id="126" w:name="_Toc256000021"/>
      <w:bookmarkStart w:id="127" w:name="_Toc62544745"/>
      <w:bookmarkStart w:id="128" w:name="_Toc62638208"/>
      <w:bookmarkStart w:id="129" w:name="_Toc62652017"/>
      <w:bookmarkStart w:id="130" w:name="_Toc62654108"/>
      <w:r w:rsidRPr="002E5BF4">
        <w:rPr>
          <w:rFonts w:ascii="Arial" w:hAnsi="Arial" w:cs="Arial"/>
          <w:bCs/>
          <w:iCs/>
          <w:color w:val="2F5496"/>
          <w:sz w:val="28"/>
          <w:szCs w:val="28"/>
        </w:rPr>
        <w:t>Etikett akutask HLR barn</w:t>
      </w:r>
      <w:bookmarkEnd w:id="123"/>
      <w:bookmarkEnd w:id="124"/>
      <w:bookmarkEnd w:id="125"/>
      <w:bookmarkEnd w:id="126"/>
      <w:bookmarkEnd w:id="127"/>
      <w:bookmarkEnd w:id="128"/>
      <w:bookmarkEnd w:id="129"/>
      <w:bookmarkEnd w:id="130"/>
    </w:p>
    <w:tbl>
      <w:tblPr>
        <w:tblW w:w="1020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4082"/>
        <w:gridCol w:w="1531"/>
        <w:gridCol w:w="1531"/>
        <w:gridCol w:w="1531"/>
      </w:tblGrid>
      <w:tr w:rsidR="0032017C" w:rsidRPr="0032017C" w14:paraId="7A86734D" w14:textId="77777777" w:rsidTr="002E5BF4">
        <w:trPr>
          <w:tblHeader/>
        </w:trPr>
        <w:tc>
          <w:tcPr>
            <w:tcW w:w="750" w:type="pct"/>
            <w:shd w:val="clear" w:color="auto" w:fill="E7E6E6"/>
          </w:tcPr>
          <w:p w14:paraId="632C05CF"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Akutask</w:t>
            </w:r>
          </w:p>
        </w:tc>
        <w:tc>
          <w:tcPr>
            <w:tcW w:w="2000" w:type="pct"/>
            <w:shd w:val="clear" w:color="auto" w:fill="E7E6E6"/>
          </w:tcPr>
          <w:p w14:paraId="2AE7C060"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Läkemedel</w:t>
            </w:r>
          </w:p>
        </w:tc>
        <w:tc>
          <w:tcPr>
            <w:tcW w:w="750" w:type="pct"/>
            <w:shd w:val="clear" w:color="auto" w:fill="E7E6E6"/>
          </w:tcPr>
          <w:p w14:paraId="17CBE51D"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Mängd</w:t>
            </w:r>
          </w:p>
        </w:tc>
        <w:tc>
          <w:tcPr>
            <w:tcW w:w="750" w:type="pct"/>
            <w:shd w:val="clear" w:color="auto" w:fill="E7E6E6"/>
          </w:tcPr>
          <w:p w14:paraId="042152E5"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Datum</w:t>
            </w:r>
          </w:p>
        </w:tc>
        <w:tc>
          <w:tcPr>
            <w:tcW w:w="750" w:type="pct"/>
            <w:shd w:val="clear" w:color="auto" w:fill="E7E6E6"/>
          </w:tcPr>
          <w:p w14:paraId="0D75C800" w14:textId="77777777" w:rsidR="0032017C" w:rsidRPr="0032017C" w:rsidRDefault="0032017C" w:rsidP="0032017C">
            <w:pPr>
              <w:suppressAutoHyphens/>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Kontroll signatur</w:t>
            </w:r>
          </w:p>
        </w:tc>
      </w:tr>
      <w:tr w:rsidR="0032017C" w:rsidRPr="0032017C" w14:paraId="6F6DC846" w14:textId="77777777" w:rsidTr="002E5BF4">
        <w:tc>
          <w:tcPr>
            <w:tcW w:w="750" w:type="pct"/>
            <w:vMerge w:val="restart"/>
            <w:shd w:val="clear" w:color="auto" w:fill="E7E6E6"/>
          </w:tcPr>
          <w:p w14:paraId="13023FDF"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HLR-barn</w:t>
            </w:r>
          </w:p>
        </w:tc>
        <w:tc>
          <w:tcPr>
            <w:tcW w:w="2000" w:type="pct"/>
            <w:shd w:val="clear" w:color="auto" w:fill="auto"/>
          </w:tcPr>
          <w:p w14:paraId="5858FAE5"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0,1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689DF576"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 x 10 ml</w:t>
            </w:r>
          </w:p>
        </w:tc>
        <w:tc>
          <w:tcPr>
            <w:tcW w:w="750" w:type="pct"/>
            <w:shd w:val="clear" w:color="auto" w:fill="auto"/>
          </w:tcPr>
          <w:p w14:paraId="0EDE9AA5"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0CDF5934"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6661A44D" w14:textId="77777777" w:rsidTr="002E5BF4">
        <w:tc>
          <w:tcPr>
            <w:tcW w:w="750" w:type="pct"/>
            <w:vMerge/>
            <w:shd w:val="clear" w:color="auto" w:fill="E7E6E6"/>
          </w:tcPr>
          <w:p w14:paraId="61A921F5"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3088B003" w14:textId="77777777" w:rsidR="0032017C" w:rsidRPr="0032017C" w:rsidRDefault="0032017C" w:rsidP="0032017C">
            <w:pPr>
              <w:suppressAutoHyphens/>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 xml:space="preserve">Amiodarone 50 mg/ml </w:t>
            </w:r>
            <w:r w:rsidRPr="0032017C">
              <w:rPr>
                <w:rFonts w:ascii="Calibri" w:eastAsia="Calibri" w:hAnsi="Calibri"/>
                <w:sz w:val="22"/>
                <w:szCs w:val="22"/>
                <w:lang w:val="en-NZ" w:eastAsia="en-US"/>
              </w:rPr>
              <w:br/>
              <w:t xml:space="preserve">(t.ex. Cordarone)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06D52E2C"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3 x 3 ml</w:t>
            </w:r>
          </w:p>
        </w:tc>
        <w:tc>
          <w:tcPr>
            <w:tcW w:w="750" w:type="pct"/>
            <w:shd w:val="clear" w:color="auto" w:fill="auto"/>
          </w:tcPr>
          <w:p w14:paraId="3B59019C"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c>
          <w:tcPr>
            <w:tcW w:w="750" w:type="pct"/>
            <w:shd w:val="clear" w:color="auto" w:fill="auto"/>
          </w:tcPr>
          <w:p w14:paraId="609F9D47"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r>
      <w:tr w:rsidR="0032017C" w:rsidRPr="0032017C" w14:paraId="57000B3B" w14:textId="77777777" w:rsidTr="002E5BF4">
        <w:tc>
          <w:tcPr>
            <w:tcW w:w="750" w:type="pct"/>
            <w:vMerge/>
            <w:shd w:val="clear" w:color="auto" w:fill="E7E6E6"/>
          </w:tcPr>
          <w:p w14:paraId="4AE9134F"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6A96A8C5"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50 mg/ml</w:t>
            </w:r>
          </w:p>
        </w:tc>
        <w:tc>
          <w:tcPr>
            <w:tcW w:w="750" w:type="pct"/>
            <w:shd w:val="clear" w:color="auto" w:fill="auto"/>
          </w:tcPr>
          <w:p w14:paraId="30D57D10"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c>
          <w:tcPr>
            <w:tcW w:w="750" w:type="pct"/>
            <w:shd w:val="clear" w:color="auto" w:fill="auto"/>
          </w:tcPr>
          <w:p w14:paraId="092B8D15"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66D00FEE"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5E5167D9" w14:textId="77777777" w:rsidTr="002E5BF4">
        <w:tc>
          <w:tcPr>
            <w:tcW w:w="750" w:type="pct"/>
            <w:vMerge/>
            <w:shd w:val="clear" w:color="auto" w:fill="E7E6E6"/>
          </w:tcPr>
          <w:p w14:paraId="37BBB43F"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36FE9840"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Glukos 100 mg/ml</w:t>
            </w:r>
          </w:p>
        </w:tc>
        <w:tc>
          <w:tcPr>
            <w:tcW w:w="750" w:type="pct"/>
            <w:shd w:val="clear" w:color="auto" w:fill="auto"/>
          </w:tcPr>
          <w:p w14:paraId="60238E0A" w14:textId="41DED8DE"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1 x </w:t>
            </w:r>
            <w:r w:rsidR="00A26692">
              <w:rPr>
                <w:rFonts w:ascii="Calibri" w:eastAsia="Calibri" w:hAnsi="Calibri"/>
                <w:sz w:val="22"/>
                <w:szCs w:val="22"/>
                <w:lang w:eastAsia="en-US"/>
              </w:rPr>
              <w:t>5</w:t>
            </w:r>
            <w:r w:rsidRPr="0032017C">
              <w:rPr>
                <w:rFonts w:ascii="Calibri" w:eastAsia="Calibri" w:hAnsi="Calibri"/>
                <w:sz w:val="22"/>
                <w:szCs w:val="22"/>
                <w:lang w:eastAsia="en-US"/>
              </w:rPr>
              <w:t>00 ml</w:t>
            </w:r>
          </w:p>
        </w:tc>
        <w:tc>
          <w:tcPr>
            <w:tcW w:w="750" w:type="pct"/>
            <w:shd w:val="clear" w:color="auto" w:fill="auto"/>
          </w:tcPr>
          <w:p w14:paraId="4F0CF7B7"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3F87F867"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7283857C" w14:textId="77777777" w:rsidTr="002E5BF4">
        <w:tc>
          <w:tcPr>
            <w:tcW w:w="750" w:type="pct"/>
            <w:vMerge/>
            <w:shd w:val="clear" w:color="auto" w:fill="E7E6E6"/>
          </w:tcPr>
          <w:p w14:paraId="7409E744"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3AFA0A13"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Tribonat</w:t>
            </w:r>
          </w:p>
        </w:tc>
        <w:tc>
          <w:tcPr>
            <w:tcW w:w="750" w:type="pct"/>
            <w:shd w:val="clear" w:color="auto" w:fill="auto"/>
          </w:tcPr>
          <w:p w14:paraId="256143CF"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1 x 100 ml</w:t>
            </w:r>
          </w:p>
        </w:tc>
        <w:tc>
          <w:tcPr>
            <w:tcW w:w="750" w:type="pct"/>
            <w:shd w:val="clear" w:color="auto" w:fill="auto"/>
          </w:tcPr>
          <w:p w14:paraId="1F732BED"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2068E0C4"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bl>
    <w:p w14:paraId="3AA4CE6C" w14:textId="4DD4C591" w:rsidR="0032017C" w:rsidRPr="002E5BF4" w:rsidRDefault="0032017C" w:rsidP="00C82DA4">
      <w:pPr>
        <w:keepNext/>
        <w:spacing w:before="240" w:after="60" w:line="240" w:lineRule="auto"/>
        <w:ind w:left="284" w:right="0"/>
        <w:outlineLvl w:val="1"/>
        <w:rPr>
          <w:rFonts w:ascii="Arial" w:hAnsi="Arial" w:cs="Arial"/>
          <w:bCs/>
          <w:iCs/>
          <w:color w:val="2F5496"/>
          <w:sz w:val="28"/>
          <w:szCs w:val="28"/>
        </w:rPr>
      </w:pPr>
      <w:bookmarkStart w:id="131" w:name="_Toc256000070"/>
      <w:bookmarkStart w:id="132" w:name="_Toc256000054"/>
      <w:bookmarkStart w:id="133" w:name="_Toc256000038"/>
      <w:bookmarkStart w:id="134" w:name="_Toc256000022"/>
      <w:bookmarkStart w:id="135" w:name="_Toc62544746"/>
      <w:bookmarkStart w:id="136" w:name="_Toc62638209"/>
      <w:bookmarkStart w:id="137" w:name="_Toc62652018"/>
      <w:bookmarkStart w:id="138" w:name="_Toc62654109"/>
      <w:r w:rsidRPr="002E5BF4">
        <w:rPr>
          <w:rFonts w:ascii="Arial" w:hAnsi="Arial" w:cs="Arial"/>
          <w:bCs/>
          <w:iCs/>
          <w:color w:val="2F5496"/>
          <w:sz w:val="28"/>
          <w:szCs w:val="28"/>
        </w:rPr>
        <w:t>Etikett akutask anafylaxi vuxen</w:t>
      </w:r>
      <w:bookmarkEnd w:id="131"/>
      <w:bookmarkEnd w:id="132"/>
      <w:bookmarkEnd w:id="133"/>
      <w:bookmarkEnd w:id="134"/>
      <w:bookmarkEnd w:id="135"/>
      <w:bookmarkEnd w:id="136"/>
      <w:bookmarkEnd w:id="137"/>
      <w:bookmarkEnd w:id="138"/>
    </w:p>
    <w:tbl>
      <w:tblPr>
        <w:tblW w:w="1020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4082"/>
        <w:gridCol w:w="1531"/>
        <w:gridCol w:w="1531"/>
        <w:gridCol w:w="1531"/>
      </w:tblGrid>
      <w:tr w:rsidR="0032017C" w:rsidRPr="0032017C" w14:paraId="64E6D606" w14:textId="77777777" w:rsidTr="002E5BF4">
        <w:trPr>
          <w:tblHeader/>
        </w:trPr>
        <w:tc>
          <w:tcPr>
            <w:tcW w:w="750" w:type="pct"/>
            <w:shd w:val="clear" w:color="auto" w:fill="E7E6E6"/>
          </w:tcPr>
          <w:p w14:paraId="5F8FE01F"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Akutask</w:t>
            </w:r>
          </w:p>
        </w:tc>
        <w:tc>
          <w:tcPr>
            <w:tcW w:w="2000" w:type="pct"/>
            <w:shd w:val="clear" w:color="auto" w:fill="E7E6E6"/>
          </w:tcPr>
          <w:p w14:paraId="2D95EBC4"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Läkemedel</w:t>
            </w:r>
          </w:p>
        </w:tc>
        <w:tc>
          <w:tcPr>
            <w:tcW w:w="750" w:type="pct"/>
            <w:shd w:val="clear" w:color="auto" w:fill="E7E6E6"/>
          </w:tcPr>
          <w:p w14:paraId="6B828442"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Mängd</w:t>
            </w:r>
          </w:p>
        </w:tc>
        <w:tc>
          <w:tcPr>
            <w:tcW w:w="750" w:type="pct"/>
            <w:shd w:val="clear" w:color="auto" w:fill="E7E6E6"/>
          </w:tcPr>
          <w:p w14:paraId="0918D1D0" w14:textId="77777777" w:rsidR="0032017C" w:rsidRPr="0032017C" w:rsidRDefault="0032017C" w:rsidP="0032017C">
            <w:pPr>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Datum</w:t>
            </w:r>
          </w:p>
        </w:tc>
        <w:tc>
          <w:tcPr>
            <w:tcW w:w="750" w:type="pct"/>
            <w:shd w:val="clear" w:color="auto" w:fill="E7E6E6"/>
          </w:tcPr>
          <w:p w14:paraId="1835D987" w14:textId="77777777" w:rsidR="0032017C" w:rsidRPr="0032017C" w:rsidRDefault="0032017C" w:rsidP="0032017C">
            <w:pPr>
              <w:suppressAutoHyphens/>
              <w:spacing w:before="40" w:after="40" w:line="240" w:lineRule="auto"/>
              <w:ind w:left="0" w:right="0"/>
              <w:rPr>
                <w:rFonts w:ascii="Arial Fet" w:eastAsia="Calibri" w:hAnsi="Arial Fet"/>
                <w:b/>
                <w:bCs/>
                <w:sz w:val="20"/>
                <w:szCs w:val="22"/>
                <w:lang w:eastAsia="en-US"/>
              </w:rPr>
            </w:pPr>
            <w:r w:rsidRPr="0032017C">
              <w:rPr>
                <w:rFonts w:ascii="Arial Fet" w:eastAsia="Calibri" w:hAnsi="Arial Fet"/>
                <w:b/>
                <w:bCs/>
                <w:sz w:val="20"/>
                <w:szCs w:val="22"/>
                <w:lang w:eastAsia="en-US"/>
              </w:rPr>
              <w:t>Kontroll signatur</w:t>
            </w:r>
          </w:p>
        </w:tc>
      </w:tr>
      <w:tr w:rsidR="0032017C" w:rsidRPr="0032017C" w14:paraId="56569662" w14:textId="77777777" w:rsidTr="002E5BF4">
        <w:tc>
          <w:tcPr>
            <w:tcW w:w="750" w:type="pct"/>
            <w:vMerge w:val="restart"/>
            <w:shd w:val="clear" w:color="auto" w:fill="E7E6E6"/>
          </w:tcPr>
          <w:p w14:paraId="06AD970C"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r w:rsidRPr="0032017C">
              <w:rPr>
                <w:rFonts w:ascii="Arial Fet" w:eastAsia="Calibri" w:hAnsi="Arial Fet"/>
                <w:b/>
                <w:bCs/>
                <w:sz w:val="20"/>
                <w:szCs w:val="22"/>
                <w:lang w:eastAsia="en-US"/>
              </w:rPr>
              <w:t>Anafylaxi vuxen</w:t>
            </w:r>
          </w:p>
        </w:tc>
        <w:tc>
          <w:tcPr>
            <w:tcW w:w="2000" w:type="pct"/>
            <w:shd w:val="clear" w:color="auto" w:fill="auto"/>
          </w:tcPr>
          <w:p w14:paraId="4C886C4B"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autoinjektor </w:t>
            </w:r>
            <w:r w:rsidRPr="0032017C">
              <w:rPr>
                <w:rFonts w:ascii="Calibri" w:eastAsia="Calibri" w:hAnsi="Calibri"/>
                <w:sz w:val="22"/>
                <w:szCs w:val="22"/>
                <w:lang w:eastAsia="en-US"/>
              </w:rPr>
              <w:br/>
              <w:t xml:space="preserve">t.ex. EpiPen 0,3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28AF5748"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2 st</w:t>
            </w:r>
          </w:p>
        </w:tc>
        <w:tc>
          <w:tcPr>
            <w:tcW w:w="750" w:type="pct"/>
            <w:shd w:val="clear" w:color="auto" w:fill="auto"/>
          </w:tcPr>
          <w:p w14:paraId="69B43D6B"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42A53106"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4595B10A" w14:textId="77777777" w:rsidTr="002E5BF4">
        <w:tc>
          <w:tcPr>
            <w:tcW w:w="750" w:type="pct"/>
            <w:vMerge/>
            <w:shd w:val="clear" w:color="auto" w:fill="E7E6E6"/>
          </w:tcPr>
          <w:p w14:paraId="52D41A52"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2E02AB22" w14:textId="77777777" w:rsidR="0032017C" w:rsidRPr="0032017C" w:rsidRDefault="0032017C" w:rsidP="0032017C">
            <w:pPr>
              <w:suppressAutoHyphens/>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eastAsia="en-US"/>
              </w:rPr>
              <w:t>Kortison betametason t.ex. Betapred tabletter 0,5 mg</w:t>
            </w:r>
          </w:p>
        </w:tc>
        <w:tc>
          <w:tcPr>
            <w:tcW w:w="750" w:type="pct"/>
            <w:shd w:val="clear" w:color="auto" w:fill="auto"/>
          </w:tcPr>
          <w:p w14:paraId="376C0E0B"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30 st</w:t>
            </w:r>
          </w:p>
        </w:tc>
        <w:tc>
          <w:tcPr>
            <w:tcW w:w="750" w:type="pct"/>
            <w:shd w:val="clear" w:color="auto" w:fill="auto"/>
          </w:tcPr>
          <w:p w14:paraId="47639BE7"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c>
          <w:tcPr>
            <w:tcW w:w="750" w:type="pct"/>
            <w:shd w:val="clear" w:color="auto" w:fill="auto"/>
          </w:tcPr>
          <w:p w14:paraId="5360D9F0"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r>
      <w:tr w:rsidR="0032017C" w:rsidRPr="0032017C" w14:paraId="10E345A3" w14:textId="77777777" w:rsidTr="002E5BF4">
        <w:tc>
          <w:tcPr>
            <w:tcW w:w="750" w:type="pct"/>
            <w:vMerge/>
            <w:shd w:val="clear" w:color="auto" w:fill="E7E6E6"/>
          </w:tcPr>
          <w:p w14:paraId="1AB5B935"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488EE14C"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Antihistamin desloratadin t.ex. munlöslig tablett Caredin 5 mg</w:t>
            </w:r>
          </w:p>
        </w:tc>
        <w:tc>
          <w:tcPr>
            <w:tcW w:w="750" w:type="pct"/>
            <w:shd w:val="clear" w:color="auto" w:fill="auto"/>
          </w:tcPr>
          <w:p w14:paraId="2C65FF8C"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c>
          <w:tcPr>
            <w:tcW w:w="750" w:type="pct"/>
            <w:shd w:val="clear" w:color="auto" w:fill="auto"/>
          </w:tcPr>
          <w:p w14:paraId="600956A7"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614E38BB"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bl>
    <w:p w14:paraId="79F340AC" w14:textId="77777777" w:rsidR="0032017C" w:rsidRPr="002E5BF4" w:rsidRDefault="0032017C" w:rsidP="00C82DA4">
      <w:pPr>
        <w:keepNext/>
        <w:spacing w:before="240" w:after="60" w:line="240" w:lineRule="auto"/>
        <w:ind w:left="284" w:right="0"/>
        <w:outlineLvl w:val="1"/>
        <w:rPr>
          <w:rFonts w:ascii="Arial" w:hAnsi="Arial" w:cs="Arial"/>
          <w:bCs/>
          <w:iCs/>
          <w:color w:val="2F5496"/>
          <w:sz w:val="28"/>
          <w:szCs w:val="28"/>
        </w:rPr>
      </w:pPr>
      <w:bookmarkStart w:id="139" w:name="_Toc256000071"/>
      <w:bookmarkStart w:id="140" w:name="_Toc256000055"/>
      <w:bookmarkStart w:id="141" w:name="_Toc256000039"/>
      <w:bookmarkStart w:id="142" w:name="_Toc256000023"/>
      <w:bookmarkStart w:id="143" w:name="_Toc62544747"/>
      <w:bookmarkStart w:id="144" w:name="_Toc62638210"/>
      <w:bookmarkStart w:id="145" w:name="_Toc62652019"/>
      <w:bookmarkStart w:id="146" w:name="_Toc62654110"/>
      <w:r w:rsidRPr="002E5BF4">
        <w:rPr>
          <w:rFonts w:ascii="Arial" w:hAnsi="Arial" w:cs="Arial"/>
          <w:bCs/>
          <w:iCs/>
          <w:color w:val="2F5496"/>
          <w:sz w:val="28"/>
          <w:szCs w:val="28"/>
        </w:rPr>
        <w:t>Etikett akutask anafylaxi barn</w:t>
      </w:r>
      <w:bookmarkEnd w:id="139"/>
      <w:bookmarkEnd w:id="140"/>
      <w:bookmarkEnd w:id="141"/>
      <w:bookmarkEnd w:id="142"/>
      <w:bookmarkEnd w:id="143"/>
      <w:bookmarkEnd w:id="144"/>
      <w:bookmarkEnd w:id="145"/>
      <w:bookmarkEnd w:id="146"/>
    </w:p>
    <w:tbl>
      <w:tblPr>
        <w:tblW w:w="1020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4082"/>
        <w:gridCol w:w="1531"/>
        <w:gridCol w:w="1531"/>
        <w:gridCol w:w="1531"/>
      </w:tblGrid>
      <w:tr w:rsidR="0032017C" w:rsidRPr="0032017C" w14:paraId="3F5F8029" w14:textId="77777777" w:rsidTr="002E5BF4">
        <w:trPr>
          <w:tblHeader/>
        </w:trPr>
        <w:tc>
          <w:tcPr>
            <w:tcW w:w="750" w:type="pct"/>
            <w:shd w:val="clear" w:color="auto" w:fill="E7E6E6"/>
          </w:tcPr>
          <w:p w14:paraId="04050B1D" w14:textId="77777777" w:rsidR="0032017C" w:rsidRPr="0032017C" w:rsidRDefault="0032017C" w:rsidP="0032017C">
            <w:pPr>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Akutask</w:t>
            </w:r>
          </w:p>
        </w:tc>
        <w:tc>
          <w:tcPr>
            <w:tcW w:w="2000" w:type="pct"/>
            <w:shd w:val="clear" w:color="auto" w:fill="E7E6E6"/>
          </w:tcPr>
          <w:p w14:paraId="5087F821" w14:textId="77777777" w:rsidR="0032017C" w:rsidRPr="0032017C" w:rsidRDefault="0032017C" w:rsidP="0032017C">
            <w:pPr>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Läkemedel</w:t>
            </w:r>
          </w:p>
        </w:tc>
        <w:tc>
          <w:tcPr>
            <w:tcW w:w="750" w:type="pct"/>
            <w:shd w:val="clear" w:color="auto" w:fill="E7E6E6"/>
          </w:tcPr>
          <w:p w14:paraId="0B46E45B" w14:textId="77777777" w:rsidR="0032017C" w:rsidRPr="0032017C" w:rsidRDefault="0032017C" w:rsidP="0032017C">
            <w:pPr>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Mängd</w:t>
            </w:r>
          </w:p>
        </w:tc>
        <w:tc>
          <w:tcPr>
            <w:tcW w:w="750" w:type="pct"/>
            <w:shd w:val="clear" w:color="auto" w:fill="E7E6E6"/>
          </w:tcPr>
          <w:p w14:paraId="39B32CC8" w14:textId="77777777" w:rsidR="0032017C" w:rsidRPr="0032017C" w:rsidRDefault="0032017C" w:rsidP="0032017C">
            <w:pPr>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Datum</w:t>
            </w:r>
          </w:p>
        </w:tc>
        <w:tc>
          <w:tcPr>
            <w:tcW w:w="750" w:type="pct"/>
            <w:shd w:val="clear" w:color="auto" w:fill="E7E6E6"/>
          </w:tcPr>
          <w:p w14:paraId="29C9D790" w14:textId="77777777" w:rsidR="0032017C" w:rsidRPr="0032017C" w:rsidRDefault="0032017C" w:rsidP="0032017C">
            <w:pPr>
              <w:suppressAutoHyphens/>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Kontroll signatur</w:t>
            </w:r>
          </w:p>
        </w:tc>
      </w:tr>
      <w:tr w:rsidR="0032017C" w:rsidRPr="0032017C" w14:paraId="1F200A86" w14:textId="77777777" w:rsidTr="002E5BF4">
        <w:tc>
          <w:tcPr>
            <w:tcW w:w="750" w:type="pct"/>
            <w:vMerge w:val="restart"/>
            <w:shd w:val="clear" w:color="auto" w:fill="E7E6E6"/>
          </w:tcPr>
          <w:p w14:paraId="4DC47E5C" w14:textId="77777777" w:rsidR="0032017C" w:rsidRPr="0032017C" w:rsidRDefault="0032017C" w:rsidP="0032017C">
            <w:pPr>
              <w:spacing w:before="40" w:after="40" w:line="240" w:lineRule="auto"/>
              <w:ind w:left="0" w:right="0"/>
              <w:rPr>
                <w:rFonts w:ascii="Arial Fet" w:eastAsia="Calibri" w:hAnsi="Arial Fet"/>
                <w:b/>
                <w:bCs/>
                <w:sz w:val="20"/>
                <w:szCs w:val="20"/>
                <w:lang w:eastAsia="en-US"/>
              </w:rPr>
            </w:pPr>
            <w:r w:rsidRPr="0032017C">
              <w:rPr>
                <w:rFonts w:ascii="Arial Fet" w:eastAsia="Calibri" w:hAnsi="Arial Fet"/>
                <w:b/>
                <w:bCs/>
                <w:sz w:val="20"/>
                <w:szCs w:val="20"/>
                <w:lang w:eastAsia="en-US"/>
              </w:rPr>
              <w:t>Anafylaxi barn</w:t>
            </w:r>
          </w:p>
        </w:tc>
        <w:tc>
          <w:tcPr>
            <w:tcW w:w="2000" w:type="pct"/>
            <w:shd w:val="clear" w:color="auto" w:fill="auto"/>
          </w:tcPr>
          <w:p w14:paraId="0630649F"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 xml:space="preserve">Adrenalin autoinjektor t.ex. EpiPen Jr 0,15 mg/ml </w:t>
            </w:r>
            <w:r w:rsidRPr="0032017C">
              <w:rPr>
                <w:rFonts w:ascii="Calibri" w:eastAsia="Calibri" w:hAnsi="Calibri"/>
                <w:b/>
                <w:bCs/>
                <w:sz w:val="22"/>
                <w:szCs w:val="22"/>
                <w:lang w:eastAsia="en-US"/>
              </w:rPr>
              <w:t>OBS!</w:t>
            </w:r>
            <w:r w:rsidRPr="0032017C">
              <w:rPr>
                <w:rFonts w:ascii="Calibri" w:eastAsia="Calibri" w:hAnsi="Calibri"/>
                <w:sz w:val="22"/>
                <w:szCs w:val="22"/>
                <w:lang w:eastAsia="en-US"/>
              </w:rPr>
              <w:t xml:space="preserve"> Ljuskänsligt</w:t>
            </w:r>
          </w:p>
        </w:tc>
        <w:tc>
          <w:tcPr>
            <w:tcW w:w="750" w:type="pct"/>
            <w:shd w:val="clear" w:color="auto" w:fill="auto"/>
          </w:tcPr>
          <w:p w14:paraId="0990C909"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2 st</w:t>
            </w:r>
          </w:p>
        </w:tc>
        <w:tc>
          <w:tcPr>
            <w:tcW w:w="750" w:type="pct"/>
            <w:shd w:val="clear" w:color="auto" w:fill="auto"/>
          </w:tcPr>
          <w:p w14:paraId="127D0443"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61193556"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tr w:rsidR="0032017C" w:rsidRPr="0032017C" w14:paraId="40C461E2" w14:textId="77777777" w:rsidTr="002E5BF4">
        <w:tc>
          <w:tcPr>
            <w:tcW w:w="750" w:type="pct"/>
            <w:vMerge/>
            <w:shd w:val="clear" w:color="auto" w:fill="E7E6E6"/>
          </w:tcPr>
          <w:p w14:paraId="2B4067D6"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60DC3636" w14:textId="77777777" w:rsidR="0032017C" w:rsidRPr="0032017C" w:rsidRDefault="0032017C" w:rsidP="0032017C">
            <w:pPr>
              <w:suppressAutoHyphens/>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eastAsia="en-US"/>
              </w:rPr>
              <w:t>Kortison betametason t.ex. Betapred tabletter 0,5 mg</w:t>
            </w:r>
          </w:p>
        </w:tc>
        <w:tc>
          <w:tcPr>
            <w:tcW w:w="750" w:type="pct"/>
            <w:shd w:val="clear" w:color="auto" w:fill="auto"/>
          </w:tcPr>
          <w:p w14:paraId="7B189BAB"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r w:rsidRPr="0032017C">
              <w:rPr>
                <w:rFonts w:ascii="Calibri" w:eastAsia="Calibri" w:hAnsi="Calibri"/>
                <w:sz w:val="22"/>
                <w:szCs w:val="22"/>
                <w:lang w:val="en-NZ" w:eastAsia="en-US"/>
              </w:rPr>
              <w:t>30 st</w:t>
            </w:r>
          </w:p>
        </w:tc>
        <w:tc>
          <w:tcPr>
            <w:tcW w:w="750" w:type="pct"/>
            <w:shd w:val="clear" w:color="auto" w:fill="auto"/>
          </w:tcPr>
          <w:p w14:paraId="7A18D818"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c>
          <w:tcPr>
            <w:tcW w:w="750" w:type="pct"/>
            <w:shd w:val="clear" w:color="auto" w:fill="auto"/>
          </w:tcPr>
          <w:p w14:paraId="2626FCFE" w14:textId="77777777" w:rsidR="0032017C" w:rsidRPr="0032017C" w:rsidRDefault="0032017C" w:rsidP="0032017C">
            <w:pPr>
              <w:spacing w:before="60" w:after="60" w:line="240" w:lineRule="auto"/>
              <w:ind w:left="0" w:right="0"/>
              <w:rPr>
                <w:rFonts w:ascii="Calibri" w:eastAsia="Calibri" w:hAnsi="Calibri"/>
                <w:sz w:val="22"/>
                <w:szCs w:val="22"/>
                <w:lang w:val="en-NZ" w:eastAsia="en-US"/>
              </w:rPr>
            </w:pPr>
          </w:p>
        </w:tc>
      </w:tr>
      <w:tr w:rsidR="0032017C" w:rsidRPr="0032017C" w14:paraId="48287760" w14:textId="77777777" w:rsidTr="002E5BF4">
        <w:tc>
          <w:tcPr>
            <w:tcW w:w="750" w:type="pct"/>
            <w:vMerge/>
            <w:shd w:val="clear" w:color="auto" w:fill="E7E6E6"/>
          </w:tcPr>
          <w:p w14:paraId="48EBEB20" w14:textId="77777777" w:rsidR="0032017C" w:rsidRPr="0032017C" w:rsidRDefault="0032017C" w:rsidP="0032017C">
            <w:pPr>
              <w:spacing w:before="40" w:after="40" w:line="240" w:lineRule="auto"/>
              <w:ind w:left="0" w:right="0"/>
              <w:rPr>
                <w:rFonts w:ascii="Arial Fet" w:eastAsia="Calibri" w:hAnsi="Arial Fet"/>
                <w:b/>
                <w:bCs/>
                <w:sz w:val="22"/>
                <w:szCs w:val="22"/>
                <w:lang w:eastAsia="en-US"/>
              </w:rPr>
            </w:pPr>
          </w:p>
        </w:tc>
        <w:tc>
          <w:tcPr>
            <w:tcW w:w="2000" w:type="pct"/>
            <w:shd w:val="clear" w:color="auto" w:fill="auto"/>
          </w:tcPr>
          <w:p w14:paraId="1DA8042B" w14:textId="77777777" w:rsidR="0032017C" w:rsidRPr="0032017C" w:rsidRDefault="0032017C" w:rsidP="0032017C">
            <w:pPr>
              <w:suppressAutoHyphens/>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Antihistamin desloratadin t.ex. munlöslig tablett Caredin 2,5 mg</w:t>
            </w:r>
          </w:p>
        </w:tc>
        <w:tc>
          <w:tcPr>
            <w:tcW w:w="750" w:type="pct"/>
            <w:shd w:val="clear" w:color="auto" w:fill="auto"/>
          </w:tcPr>
          <w:p w14:paraId="51B49B6B" w14:textId="77777777" w:rsidR="0032017C" w:rsidRPr="0032017C" w:rsidRDefault="0032017C" w:rsidP="0032017C">
            <w:pPr>
              <w:spacing w:before="60" w:after="60" w:line="240" w:lineRule="auto"/>
              <w:ind w:left="0" w:right="0"/>
              <w:rPr>
                <w:rFonts w:ascii="Calibri" w:eastAsia="Calibri" w:hAnsi="Calibri"/>
                <w:sz w:val="22"/>
                <w:szCs w:val="22"/>
                <w:lang w:eastAsia="en-US"/>
              </w:rPr>
            </w:pPr>
            <w:r w:rsidRPr="0032017C">
              <w:rPr>
                <w:rFonts w:ascii="Calibri" w:eastAsia="Calibri" w:hAnsi="Calibri"/>
                <w:sz w:val="22"/>
                <w:szCs w:val="22"/>
                <w:lang w:eastAsia="en-US"/>
              </w:rPr>
              <w:t>30 st</w:t>
            </w:r>
          </w:p>
        </w:tc>
        <w:tc>
          <w:tcPr>
            <w:tcW w:w="750" w:type="pct"/>
            <w:shd w:val="clear" w:color="auto" w:fill="auto"/>
          </w:tcPr>
          <w:p w14:paraId="18BB41BF"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c>
          <w:tcPr>
            <w:tcW w:w="750" w:type="pct"/>
            <w:shd w:val="clear" w:color="auto" w:fill="auto"/>
          </w:tcPr>
          <w:p w14:paraId="62D6091D" w14:textId="77777777" w:rsidR="0032017C" w:rsidRPr="0032017C" w:rsidRDefault="0032017C" w:rsidP="0032017C">
            <w:pPr>
              <w:spacing w:before="60" w:after="60" w:line="240" w:lineRule="auto"/>
              <w:ind w:left="0" w:right="0"/>
              <w:rPr>
                <w:rFonts w:ascii="Calibri" w:eastAsia="Calibri" w:hAnsi="Calibri"/>
                <w:sz w:val="22"/>
                <w:szCs w:val="22"/>
                <w:lang w:eastAsia="en-US"/>
              </w:rPr>
            </w:pPr>
          </w:p>
        </w:tc>
      </w:tr>
      <w:bookmarkEnd w:id="1"/>
    </w:tbl>
    <w:p w14:paraId="53786F8C" w14:textId="77777777" w:rsidR="0032017C" w:rsidRPr="0032017C" w:rsidRDefault="0032017C" w:rsidP="0032017C">
      <w:pPr>
        <w:spacing w:after="160" w:line="240" w:lineRule="auto"/>
        <w:ind w:left="2676" w:right="0"/>
        <w:rPr>
          <w:szCs w:val="20"/>
        </w:rPr>
      </w:pPr>
    </w:p>
    <w:sectPr w:rsidR="0032017C" w:rsidRPr="0032017C" w:rsidSect="0032017C">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A5834" w14:textId="77777777" w:rsidR="007A2402" w:rsidRDefault="007A2402">
      <w:r>
        <w:separator/>
      </w:r>
    </w:p>
  </w:endnote>
  <w:endnote w:type="continuationSeparator" w:id="0">
    <w:p w14:paraId="4DFAA3CA" w14:textId="77777777" w:rsidR="007A2402" w:rsidRDefault="007A2402">
      <w:r>
        <w:continuationSeparator/>
      </w:r>
    </w:p>
  </w:endnote>
  <w:endnote w:type="continuationNotice" w:id="1">
    <w:p w14:paraId="44B67522" w14:textId="77777777" w:rsidR="007A2402" w:rsidRDefault="007A24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9D8BF" w14:textId="77777777" w:rsidR="007A2402" w:rsidRDefault="007A2402"/>
  </w:footnote>
  <w:footnote w:type="continuationSeparator" w:id="0">
    <w:p w14:paraId="33566BE1" w14:textId="77777777" w:rsidR="007A2402" w:rsidRDefault="007A2402">
      <w:r>
        <w:continuationSeparator/>
      </w:r>
    </w:p>
  </w:footnote>
  <w:footnote w:type="continuationNotice" w:id="1">
    <w:p w14:paraId="55139372" w14:textId="77777777" w:rsidR="007A2402" w:rsidRDefault="007A24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C914A554"/>
    <w:lvl w:ilvl="0" w:tplc="DBBEC486">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1042057">
    <w:abstractNumId w:val="17"/>
  </w:num>
  <w:num w:numId="2" w16cid:durableId="1598950540">
    <w:abstractNumId w:val="14"/>
  </w:num>
  <w:num w:numId="3" w16cid:durableId="1619608045">
    <w:abstractNumId w:val="0"/>
  </w:num>
  <w:num w:numId="4" w16cid:durableId="1688746929">
    <w:abstractNumId w:val="6"/>
  </w:num>
  <w:num w:numId="5" w16cid:durableId="2111929008">
    <w:abstractNumId w:val="15"/>
  </w:num>
  <w:num w:numId="6" w16cid:durableId="537663439">
    <w:abstractNumId w:val="2"/>
  </w:num>
  <w:num w:numId="7" w16cid:durableId="199755390">
    <w:abstractNumId w:val="11"/>
  </w:num>
  <w:num w:numId="8" w16cid:durableId="990643873">
    <w:abstractNumId w:val="8"/>
  </w:num>
  <w:num w:numId="9" w16cid:durableId="1467700143">
    <w:abstractNumId w:val="1"/>
  </w:num>
  <w:num w:numId="10" w16cid:durableId="878510694">
    <w:abstractNumId w:val="1"/>
  </w:num>
  <w:num w:numId="11" w16cid:durableId="1509055990">
    <w:abstractNumId w:val="3"/>
  </w:num>
  <w:num w:numId="12" w16cid:durableId="1556505015">
    <w:abstractNumId w:val="4"/>
  </w:num>
  <w:num w:numId="13" w16cid:durableId="1045645777">
    <w:abstractNumId w:val="13"/>
  </w:num>
  <w:num w:numId="14" w16cid:durableId="970550574">
    <w:abstractNumId w:val="9"/>
  </w:num>
  <w:num w:numId="15" w16cid:durableId="1341616894">
    <w:abstractNumId w:val="7"/>
  </w:num>
  <w:num w:numId="16" w16cid:durableId="338582170">
    <w:abstractNumId w:val="12"/>
  </w:num>
  <w:num w:numId="17" w16cid:durableId="633145738">
    <w:abstractNumId w:val="5"/>
  </w:num>
  <w:num w:numId="18" w16cid:durableId="831530972">
    <w:abstractNumId w:val="10"/>
  </w:num>
  <w:num w:numId="19" w16cid:durableId="4157822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3DD"/>
    <w:rsid w:val="00016CF0"/>
    <w:rsid w:val="0002435C"/>
    <w:rsid w:val="00030DDD"/>
    <w:rsid w:val="000313BB"/>
    <w:rsid w:val="00033ED5"/>
    <w:rsid w:val="00050500"/>
    <w:rsid w:val="0005691C"/>
    <w:rsid w:val="00056DBD"/>
    <w:rsid w:val="00056ECB"/>
    <w:rsid w:val="00056ED5"/>
    <w:rsid w:val="000655CC"/>
    <w:rsid w:val="000700AE"/>
    <w:rsid w:val="00070BCF"/>
    <w:rsid w:val="00084024"/>
    <w:rsid w:val="0009062C"/>
    <w:rsid w:val="0009513C"/>
    <w:rsid w:val="00095368"/>
    <w:rsid w:val="000954C4"/>
    <w:rsid w:val="000A4C35"/>
    <w:rsid w:val="000A611A"/>
    <w:rsid w:val="000B12D9"/>
    <w:rsid w:val="000B4536"/>
    <w:rsid w:val="000B7715"/>
    <w:rsid w:val="000E463B"/>
    <w:rsid w:val="000E5A7E"/>
    <w:rsid w:val="000E78F2"/>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2EF"/>
    <w:rsid w:val="00181FDC"/>
    <w:rsid w:val="001860B9"/>
    <w:rsid w:val="00186F2B"/>
    <w:rsid w:val="001874D6"/>
    <w:rsid w:val="0019632A"/>
    <w:rsid w:val="001A4E7C"/>
    <w:rsid w:val="001B762C"/>
    <w:rsid w:val="001C4D0A"/>
    <w:rsid w:val="001C5FEF"/>
    <w:rsid w:val="001D43C5"/>
    <w:rsid w:val="00211487"/>
    <w:rsid w:val="00211D91"/>
    <w:rsid w:val="00217DEC"/>
    <w:rsid w:val="00235B57"/>
    <w:rsid w:val="00250F24"/>
    <w:rsid w:val="002523C5"/>
    <w:rsid w:val="0025380B"/>
    <w:rsid w:val="0025392C"/>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BF4"/>
    <w:rsid w:val="002E6F81"/>
    <w:rsid w:val="002F08BA"/>
    <w:rsid w:val="002F2CFF"/>
    <w:rsid w:val="002F568B"/>
    <w:rsid w:val="002F7818"/>
    <w:rsid w:val="00301692"/>
    <w:rsid w:val="00305F95"/>
    <w:rsid w:val="003066D0"/>
    <w:rsid w:val="00311401"/>
    <w:rsid w:val="0032017C"/>
    <w:rsid w:val="003203D7"/>
    <w:rsid w:val="00320F86"/>
    <w:rsid w:val="00324171"/>
    <w:rsid w:val="00326C24"/>
    <w:rsid w:val="00337F99"/>
    <w:rsid w:val="0034307B"/>
    <w:rsid w:val="00345285"/>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1E9"/>
    <w:rsid w:val="00451935"/>
    <w:rsid w:val="004522CA"/>
    <w:rsid w:val="00460ED0"/>
    <w:rsid w:val="00465651"/>
    <w:rsid w:val="00465684"/>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09C"/>
    <w:rsid w:val="00511CC4"/>
    <w:rsid w:val="00531E60"/>
    <w:rsid w:val="00536A5A"/>
    <w:rsid w:val="00541D07"/>
    <w:rsid w:val="00544BAB"/>
    <w:rsid w:val="00545F31"/>
    <w:rsid w:val="005578FA"/>
    <w:rsid w:val="00565129"/>
    <w:rsid w:val="00565CD0"/>
    <w:rsid w:val="00567820"/>
    <w:rsid w:val="0057228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A82"/>
    <w:rsid w:val="005E02B3"/>
    <w:rsid w:val="005E1E24"/>
    <w:rsid w:val="0060596B"/>
    <w:rsid w:val="00606D97"/>
    <w:rsid w:val="00614E64"/>
    <w:rsid w:val="00617710"/>
    <w:rsid w:val="00617EE6"/>
    <w:rsid w:val="0062184C"/>
    <w:rsid w:val="00623724"/>
    <w:rsid w:val="00627BEA"/>
    <w:rsid w:val="006319DB"/>
    <w:rsid w:val="0065595B"/>
    <w:rsid w:val="006567F4"/>
    <w:rsid w:val="00660269"/>
    <w:rsid w:val="00665F89"/>
    <w:rsid w:val="00673C92"/>
    <w:rsid w:val="006753EC"/>
    <w:rsid w:val="006A2789"/>
    <w:rsid w:val="006A4978"/>
    <w:rsid w:val="006A7261"/>
    <w:rsid w:val="006B0D29"/>
    <w:rsid w:val="006B1819"/>
    <w:rsid w:val="006B5DE7"/>
    <w:rsid w:val="006C5048"/>
    <w:rsid w:val="006C57F3"/>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9D6"/>
    <w:rsid w:val="00737215"/>
    <w:rsid w:val="00754905"/>
    <w:rsid w:val="00760038"/>
    <w:rsid w:val="00762EE0"/>
    <w:rsid w:val="00765C41"/>
    <w:rsid w:val="00771100"/>
    <w:rsid w:val="007759DD"/>
    <w:rsid w:val="0078609F"/>
    <w:rsid w:val="007917BA"/>
    <w:rsid w:val="00793B42"/>
    <w:rsid w:val="007A2402"/>
    <w:rsid w:val="007A3B08"/>
    <w:rsid w:val="007A5C6F"/>
    <w:rsid w:val="007D4241"/>
    <w:rsid w:val="007D4317"/>
    <w:rsid w:val="007D4EA3"/>
    <w:rsid w:val="007F1CFF"/>
    <w:rsid w:val="007F5DD5"/>
    <w:rsid w:val="007F7E7F"/>
    <w:rsid w:val="00821A1B"/>
    <w:rsid w:val="008262E9"/>
    <w:rsid w:val="00827E69"/>
    <w:rsid w:val="00835C4D"/>
    <w:rsid w:val="00843A74"/>
    <w:rsid w:val="00843F48"/>
    <w:rsid w:val="00851423"/>
    <w:rsid w:val="00857848"/>
    <w:rsid w:val="008654B6"/>
    <w:rsid w:val="0087139C"/>
    <w:rsid w:val="008733DD"/>
    <w:rsid w:val="00880E83"/>
    <w:rsid w:val="00892F28"/>
    <w:rsid w:val="008A0C5F"/>
    <w:rsid w:val="008A3DEA"/>
    <w:rsid w:val="008A4EB9"/>
    <w:rsid w:val="008A74C0"/>
    <w:rsid w:val="008B1694"/>
    <w:rsid w:val="008C4AAE"/>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A8E"/>
    <w:rsid w:val="009471BF"/>
    <w:rsid w:val="00950E4E"/>
    <w:rsid w:val="009529BD"/>
    <w:rsid w:val="009533B4"/>
    <w:rsid w:val="00971D93"/>
    <w:rsid w:val="009B1F6B"/>
    <w:rsid w:val="009B72E2"/>
    <w:rsid w:val="009B77B1"/>
    <w:rsid w:val="009C0D12"/>
    <w:rsid w:val="009C192E"/>
    <w:rsid w:val="009D6819"/>
    <w:rsid w:val="009D6D1C"/>
    <w:rsid w:val="009E0CF9"/>
    <w:rsid w:val="009E531B"/>
    <w:rsid w:val="009E6C56"/>
    <w:rsid w:val="009E7DCF"/>
    <w:rsid w:val="009F4A56"/>
    <w:rsid w:val="009F4E65"/>
    <w:rsid w:val="00A006A5"/>
    <w:rsid w:val="00A05942"/>
    <w:rsid w:val="00A07BEC"/>
    <w:rsid w:val="00A25965"/>
    <w:rsid w:val="00A264BE"/>
    <w:rsid w:val="00A26692"/>
    <w:rsid w:val="00A272CA"/>
    <w:rsid w:val="00A33051"/>
    <w:rsid w:val="00A35D5D"/>
    <w:rsid w:val="00A407AD"/>
    <w:rsid w:val="00A40923"/>
    <w:rsid w:val="00A40DAE"/>
    <w:rsid w:val="00A41C05"/>
    <w:rsid w:val="00A42426"/>
    <w:rsid w:val="00A514B7"/>
    <w:rsid w:val="00A54A0B"/>
    <w:rsid w:val="00A64FDB"/>
    <w:rsid w:val="00A65FD4"/>
    <w:rsid w:val="00A81198"/>
    <w:rsid w:val="00A81E48"/>
    <w:rsid w:val="00A82035"/>
    <w:rsid w:val="00A90D77"/>
    <w:rsid w:val="00A92E07"/>
    <w:rsid w:val="00AA0B3A"/>
    <w:rsid w:val="00AA2AF7"/>
    <w:rsid w:val="00AA6EB4"/>
    <w:rsid w:val="00AA767D"/>
    <w:rsid w:val="00AB0CC9"/>
    <w:rsid w:val="00AB41BF"/>
    <w:rsid w:val="00AC3FF6"/>
    <w:rsid w:val="00AD3F82"/>
    <w:rsid w:val="00AD73EC"/>
    <w:rsid w:val="00AE5BC7"/>
    <w:rsid w:val="00AF5AAF"/>
    <w:rsid w:val="00B046D8"/>
    <w:rsid w:val="00B07ED3"/>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C28"/>
    <w:rsid w:val="00BE7978"/>
    <w:rsid w:val="00C06346"/>
    <w:rsid w:val="00C07DDB"/>
    <w:rsid w:val="00C4115D"/>
    <w:rsid w:val="00C43BDD"/>
    <w:rsid w:val="00C47778"/>
    <w:rsid w:val="00C5011E"/>
    <w:rsid w:val="00C50EE5"/>
    <w:rsid w:val="00C5240A"/>
    <w:rsid w:val="00C5398F"/>
    <w:rsid w:val="00C556F5"/>
    <w:rsid w:val="00C70E19"/>
    <w:rsid w:val="00C72574"/>
    <w:rsid w:val="00C7430C"/>
    <w:rsid w:val="00C82DA4"/>
    <w:rsid w:val="00C85DA1"/>
    <w:rsid w:val="00C9071C"/>
    <w:rsid w:val="00C908FF"/>
    <w:rsid w:val="00C97BD3"/>
    <w:rsid w:val="00CA39EF"/>
    <w:rsid w:val="00CA521F"/>
    <w:rsid w:val="00CB0493"/>
    <w:rsid w:val="00CB17FF"/>
    <w:rsid w:val="00CB1DEF"/>
    <w:rsid w:val="00CB1ED7"/>
    <w:rsid w:val="00CC167C"/>
    <w:rsid w:val="00CC3C07"/>
    <w:rsid w:val="00CC52D9"/>
    <w:rsid w:val="00CD6647"/>
    <w:rsid w:val="00CE4B73"/>
    <w:rsid w:val="00CF70BB"/>
    <w:rsid w:val="00D074DB"/>
    <w:rsid w:val="00D139CF"/>
    <w:rsid w:val="00D33331"/>
    <w:rsid w:val="00D37E7F"/>
    <w:rsid w:val="00D4101A"/>
    <w:rsid w:val="00D47AD7"/>
    <w:rsid w:val="00D51529"/>
    <w:rsid w:val="00D61C81"/>
    <w:rsid w:val="00D85218"/>
    <w:rsid w:val="00D915B1"/>
    <w:rsid w:val="00DA299D"/>
    <w:rsid w:val="00DA65C4"/>
    <w:rsid w:val="00DC47CB"/>
    <w:rsid w:val="00DD2BE0"/>
    <w:rsid w:val="00DE4447"/>
    <w:rsid w:val="00DE5DA2"/>
    <w:rsid w:val="00DF0033"/>
    <w:rsid w:val="00DF087C"/>
    <w:rsid w:val="00E026BF"/>
    <w:rsid w:val="00E07B1B"/>
    <w:rsid w:val="00E11853"/>
    <w:rsid w:val="00E1338D"/>
    <w:rsid w:val="00E52A86"/>
    <w:rsid w:val="00E54B47"/>
    <w:rsid w:val="00E553BF"/>
    <w:rsid w:val="00E55D93"/>
    <w:rsid w:val="00E61294"/>
    <w:rsid w:val="00E7237C"/>
    <w:rsid w:val="00E75D01"/>
    <w:rsid w:val="00E77C46"/>
    <w:rsid w:val="00E86CE8"/>
    <w:rsid w:val="00E90E82"/>
    <w:rsid w:val="00EA00CB"/>
    <w:rsid w:val="00EA1BAA"/>
    <w:rsid w:val="00EA3FCD"/>
    <w:rsid w:val="00EA42A0"/>
    <w:rsid w:val="00EB6714"/>
    <w:rsid w:val="00EB734D"/>
    <w:rsid w:val="00EC0A68"/>
    <w:rsid w:val="00EC5006"/>
    <w:rsid w:val="00ED49C3"/>
    <w:rsid w:val="00ED6CE8"/>
    <w:rsid w:val="00ED7AA6"/>
    <w:rsid w:val="00EE2A56"/>
    <w:rsid w:val="00EE3818"/>
    <w:rsid w:val="00EE55E7"/>
    <w:rsid w:val="00EE770A"/>
    <w:rsid w:val="00F22264"/>
    <w:rsid w:val="00F22962"/>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09513C"/>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32017C"/>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32017C"/>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2017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9513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05F95"/>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05F95"/>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61C8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1109C"/>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32017C"/>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32017C"/>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2017C"/>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BE1C28"/>
    <w:rPr>
      <w:color w:val="605E5C"/>
      <w:shd w:val="clear" w:color="auto" w:fill="E1DFDD"/>
    </w:rPr>
  </w:style>
  <w:style w:type="character" w:styleId="Kommentarsreferens">
    <w:name w:val="annotation reference"/>
    <w:basedOn w:val="Standardstycketeckensnitt"/>
    <w:uiPriority w:val="99"/>
    <w:semiHidden/>
    <w:unhideWhenUsed/>
    <w:rsid w:val="00A35D5D"/>
    <w:rPr>
      <w:sz w:val="16"/>
      <w:szCs w:val="16"/>
    </w:rPr>
  </w:style>
  <w:style w:type="paragraph" w:styleId="Kommentarer">
    <w:name w:val="annotation text"/>
    <w:basedOn w:val="Normal"/>
    <w:link w:val="KommentarerChar"/>
    <w:uiPriority w:val="99"/>
    <w:semiHidden/>
    <w:unhideWhenUsed/>
    <w:rsid w:val="00A35D5D"/>
    <w:pPr>
      <w:spacing w:line="240" w:lineRule="auto"/>
    </w:pPr>
    <w:rPr>
      <w:sz w:val="20"/>
      <w:szCs w:val="20"/>
    </w:rPr>
  </w:style>
  <w:style w:type="character" w:customStyle="1" w:styleId="KommentarerChar">
    <w:name w:val="Kommentarer Char"/>
    <w:basedOn w:val="Standardstycketeckensnitt"/>
    <w:link w:val="Kommentarer"/>
    <w:uiPriority w:val="99"/>
    <w:semiHidden/>
    <w:rsid w:val="00A35D5D"/>
  </w:style>
  <w:style w:type="paragraph" w:styleId="Kommentarsmne">
    <w:name w:val="annotation subject"/>
    <w:basedOn w:val="Kommentarer"/>
    <w:next w:val="Kommentarer"/>
    <w:link w:val="KommentarsmneChar"/>
    <w:uiPriority w:val="99"/>
    <w:semiHidden/>
    <w:unhideWhenUsed/>
    <w:rsid w:val="00A35D5D"/>
    <w:rPr>
      <w:b/>
      <w:bCs/>
    </w:rPr>
  </w:style>
  <w:style w:type="character" w:customStyle="1" w:styleId="KommentarsmneChar">
    <w:name w:val="Kommentarsämne Char"/>
    <w:basedOn w:val="KommentarerChar"/>
    <w:link w:val="Kommentarsmne"/>
    <w:uiPriority w:val="99"/>
    <w:semiHidden/>
    <w:rsid w:val="00A35D5D"/>
    <w:rPr>
      <w:b/>
      <w:bCs/>
    </w:rPr>
  </w:style>
  <w:style w:type="character" w:styleId="AnvndHyperlnk">
    <w:name w:val="FollowedHyperlink"/>
    <w:basedOn w:val="Standardstycketeckensnitt"/>
    <w:uiPriority w:val="99"/>
    <w:semiHidden/>
    <w:unhideWhenUsed/>
    <w:rsid w:val="00301692"/>
    <w:rPr>
      <w:color w:val="9EA2A2" w:themeColor="followedHyperlink"/>
      <w:u w:val="single"/>
    </w:rPr>
  </w:style>
  <w:style w:type="paragraph" w:styleId="Revision">
    <w:name w:val="Revision"/>
    <w:hidden/>
    <w:uiPriority w:val="99"/>
    <w:semiHidden/>
    <w:rsid w:val="000951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59/SURROGATE/HLR%20-%20Genomf%c3%b6rande%20vid%20S%c3%84S.pdf" TargetMode="External" Id="rId13"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9642-738863596-259/SURROGATE/HLR%20-%20Genomf%c3%b6rande%20vid%20S%c3%84S.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as467-1574791863-405/surrogate/Checklista%20Akutvagnen.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59/SURROGATE/HLR%20-%20Genomf%c3%b6rande%20vid%20S%c3%84S.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55</TotalTime>
  <Pages>5</Pages>
  <Words>1386</Words>
  <Characters>7352</Characters>
  <Application>Microsoft Office Word</Application>
  <DocSecurity>0</DocSecurity>
  <Lines>61</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8721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Akutläkemedel för HLR respektive anafylaxi, SÄS</dc:title>
  <dc:subject/>
  <dc:creator>patrik.jens.johansson@vgregion.se</dc:creator>
  <keywords/>
  <lastModifiedBy>Karin Åhlin</lastModifiedBy>
  <revision>55</revision>
  <lastPrinted>2016-03-31T10:56:00.0000000Z</lastPrinted>
  <dcterms:created xsi:type="dcterms:W3CDTF">2022-03-30T09:55:00.0000000Z</dcterms:created>
  <dcterms:modified xsi:type="dcterms:W3CDTF">2024-03-13T08:09:00.0000000Z</dcterms:modified>
</coreProperties>
</file>