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DD98ED" w14:textId="77777777" w:rsidR="00DD67E0" w:rsidRDefault="00DD67E0" w:rsidP="00F35B05">
      <w:pPr>
        <w:pStyle w:val="Heading2"/>
        <w:sectPr w:rsidR="00DD67E0" w:rsidSect="00DD67E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4406AC8" w14:textId="77777777" w:rsidR="00DD67E0" w:rsidRPr="00DD67E0" w:rsidRDefault="00DD67E0" w:rsidP="00DD67E0">
      <w:pPr>
        <w:tabs>
          <w:tab w:val="center" w:pos="6409"/>
        </w:tabs>
        <w:spacing w:before="720" w:after="360" w:line="240" w:lineRule="auto"/>
        <w:ind w:left="2676" w:right="0"/>
        <w:outlineLvl w:val="5"/>
        <w:rPr>
          <w:rFonts w:ascii="Arial" w:hAnsi="Arial"/>
          <w:bCs/>
          <w:sz w:val="36"/>
          <w:szCs w:val="20"/>
        </w:rPr>
      </w:pPr>
      <w:r w:rsidRPr="00DD67E0">
        <w:rPr>
          <w:rFonts w:ascii="Arial" w:hAnsi="Arial"/>
          <w:bCs/>
          <w:sz w:val="36"/>
          <w:szCs w:val="20"/>
        </w:rPr>
        <w:t xml:space="preserve">Antibiotikaval vid brist på piperacillin-tazobactam, SÄS </w:t>
      </w:r>
    </w:p>
    <w:p w14:paraId="064D345B" w14:textId="77777777" w:rsidR="00DD67E0" w:rsidRPr="00DD67E0" w:rsidRDefault="00DD67E0" w:rsidP="00DD67E0">
      <w:pPr>
        <w:keepNext/>
        <w:spacing w:line="240" w:lineRule="auto"/>
        <w:ind w:left="2676" w:right="0"/>
        <w:outlineLvl w:val="0"/>
        <w:rPr>
          <w:rFonts w:ascii="Arial" w:hAnsi="Arial"/>
          <w:kern w:val="32"/>
          <w:sz w:val="32"/>
          <w:szCs w:val="20"/>
        </w:rPr>
      </w:pPr>
      <w:bookmarkStart w:id="1" w:name="_Toc313447579"/>
      <w:bookmarkStart w:id="2" w:name="_Toc419881174"/>
      <w:bookmarkStart w:id="3" w:name="_Toc523410947"/>
      <w:bookmarkStart w:id="4" w:name="_Toc256000000"/>
      <w:bookmarkStart w:id="5" w:name="_Toc256000015"/>
      <w:bookmarkStart w:id="6" w:name="_Toc256000030"/>
      <w:bookmarkStart w:id="7" w:name="_Toc256000045"/>
      <w:r w:rsidRPr="00DD67E0">
        <w:rPr>
          <w:rFonts w:ascii="Arial" w:hAnsi="Arial"/>
          <w:kern w:val="32"/>
          <w:sz w:val="32"/>
          <w:szCs w:val="20"/>
        </w:rPr>
        <w:t>Sammanfattning</w:t>
      </w:r>
      <w:bookmarkEnd w:id="1"/>
      <w:bookmarkEnd w:id="2"/>
      <w:bookmarkEnd w:id="3"/>
      <w:bookmarkEnd w:id="4"/>
      <w:bookmarkEnd w:id="5"/>
      <w:bookmarkEnd w:id="6"/>
      <w:bookmarkEnd w:id="7"/>
    </w:p>
    <w:p w14:paraId="5ADE354A" w14:textId="77777777" w:rsidR="00DD67E0" w:rsidRPr="00DD67E0" w:rsidRDefault="00DD67E0" w:rsidP="00DD67E0">
      <w:pPr>
        <w:suppressAutoHyphens/>
        <w:spacing w:after="160" w:line="240" w:lineRule="auto"/>
        <w:ind w:left="2676" w:right="0"/>
        <w:rPr>
          <w:szCs w:val="20"/>
        </w:rPr>
      </w:pPr>
      <w:r w:rsidRPr="00DD67E0">
        <w:rPr>
          <w:szCs w:val="20"/>
        </w:rPr>
        <w:t>Riktlinje ger råd om hur vi ska hushålla med piperacillin-tazobactam när det föreligger en bristsituation.</w:t>
      </w:r>
      <w:r w:rsidRPr="00DD67E0">
        <w:rPr>
          <w:szCs w:val="20"/>
        </w:rPr>
        <w:br/>
      </w:r>
    </w:p>
    <w:p w14:paraId="19AF347F" w14:textId="77777777" w:rsidR="00DD67E0" w:rsidRPr="00DD67E0" w:rsidRDefault="00DD67E0" w:rsidP="00DD67E0">
      <w:pPr>
        <w:spacing w:before="240" w:after="60" w:line="240" w:lineRule="auto"/>
        <w:ind w:left="2676" w:right="0"/>
        <w:outlineLvl w:val="6"/>
        <w:rPr>
          <w:rFonts w:ascii="Arial" w:hAnsi="Arial"/>
          <w:sz w:val="26"/>
        </w:rPr>
      </w:pPr>
      <w:r w:rsidRPr="00DD67E0">
        <w:rPr>
          <w:rFonts w:ascii="Arial" w:hAnsi="Arial"/>
          <w:sz w:val="26"/>
        </w:rPr>
        <w:t>Innehållsförteckning</w:t>
      </w:r>
    </w:p>
    <w:p w14:paraId="717DB317" w14:textId="77777777" w:rsidR="00DD67E0" w:rsidRPr="00DD67E0" w:rsidRDefault="00DD67E0" w:rsidP="00DD67E0">
      <w:pPr>
        <w:tabs>
          <w:tab w:val="right" w:leader="dot" w:pos="10132"/>
        </w:tabs>
        <w:spacing w:before="40" w:after="20" w:line="240" w:lineRule="auto"/>
        <w:ind w:left="2676" w:right="0"/>
        <w:rPr>
          <w:rFonts w:ascii="Calibri" w:hAnsi="Calibri"/>
          <w:noProof/>
          <w:sz w:val="22"/>
          <w:szCs w:val="32"/>
        </w:rPr>
      </w:pPr>
      <w:r w:rsidRPr="00DD67E0">
        <w:rPr>
          <w:rFonts w:ascii="Arial" w:hAnsi="Arial"/>
          <w:noProof/>
          <w:color w:val="0000FF"/>
          <w:sz w:val="22"/>
          <w:szCs w:val="32"/>
          <w:u w:val="single"/>
        </w:rPr>
        <w:fldChar w:fldCharType="begin"/>
      </w:r>
      <w:r w:rsidRPr="00DD67E0">
        <w:rPr>
          <w:rFonts w:ascii="Arial" w:hAnsi="Arial"/>
          <w:noProof/>
          <w:color w:val="0000FF"/>
          <w:sz w:val="22"/>
          <w:szCs w:val="32"/>
          <w:u w:val="single"/>
        </w:rPr>
        <w:instrText xml:space="preserve"> TOC \o "1-3" \h \z </w:instrText>
      </w:r>
      <w:r w:rsidRPr="00DD67E0">
        <w:rPr>
          <w:rFonts w:ascii="Arial" w:hAnsi="Arial"/>
          <w:noProof/>
          <w:color w:val="0000FF"/>
          <w:sz w:val="22"/>
          <w:szCs w:val="32"/>
          <w:u w:val="single"/>
        </w:rPr>
        <w:fldChar w:fldCharType="separate"/>
      </w:r>
      <w:hyperlink w:anchor="_Toc256000045" w:history="1">
        <w:r w:rsidRPr="00DD67E0">
          <w:rPr>
            <w:rFonts w:ascii="Arial" w:hAnsi="Arial"/>
            <w:noProof/>
            <w:color w:val="0000FF"/>
            <w:sz w:val="22"/>
            <w:szCs w:val="32"/>
            <w:u w:val="single"/>
          </w:rPr>
          <w:t>Sammanfattning</w:t>
        </w:r>
        <w:r w:rsidRPr="00DD67E0">
          <w:rPr>
            <w:rFonts w:ascii="Arial" w:hAnsi="Arial"/>
            <w:noProof/>
            <w:sz w:val="22"/>
            <w:szCs w:val="32"/>
          </w:rPr>
          <w:tab/>
        </w:r>
        <w:r w:rsidRPr="00DD67E0">
          <w:rPr>
            <w:rFonts w:ascii="Arial" w:hAnsi="Arial"/>
            <w:noProof/>
            <w:sz w:val="22"/>
            <w:szCs w:val="32"/>
          </w:rPr>
          <w:fldChar w:fldCharType="begin"/>
        </w:r>
        <w:r w:rsidRPr="00DD67E0">
          <w:rPr>
            <w:rFonts w:ascii="Arial" w:hAnsi="Arial"/>
            <w:noProof/>
            <w:sz w:val="22"/>
            <w:szCs w:val="32"/>
          </w:rPr>
          <w:instrText xml:space="preserve"> PAGEREF _Toc256000045 \h </w:instrText>
        </w:r>
        <w:r w:rsidRPr="00DD67E0">
          <w:rPr>
            <w:rFonts w:ascii="Arial" w:hAnsi="Arial"/>
            <w:noProof/>
            <w:sz w:val="22"/>
            <w:szCs w:val="32"/>
          </w:rPr>
        </w:r>
        <w:r w:rsidRPr="00DD67E0">
          <w:rPr>
            <w:rFonts w:ascii="Arial" w:hAnsi="Arial"/>
            <w:noProof/>
            <w:sz w:val="22"/>
            <w:szCs w:val="32"/>
          </w:rPr>
          <w:fldChar w:fldCharType="separate"/>
        </w:r>
        <w:r w:rsidRPr="00DD67E0">
          <w:rPr>
            <w:rFonts w:ascii="Arial" w:hAnsi="Arial"/>
            <w:noProof/>
            <w:sz w:val="22"/>
            <w:szCs w:val="32"/>
          </w:rPr>
          <w:t>1</w:t>
        </w:r>
        <w:r w:rsidRPr="00DD67E0">
          <w:rPr>
            <w:rFonts w:ascii="Arial" w:hAnsi="Arial"/>
            <w:noProof/>
            <w:sz w:val="22"/>
            <w:szCs w:val="32"/>
          </w:rPr>
          <w:fldChar w:fldCharType="end"/>
        </w:r>
      </w:hyperlink>
    </w:p>
    <w:p w14:paraId="7E4C7A14" w14:textId="77777777" w:rsidR="00DD67E0" w:rsidRPr="00DD67E0" w:rsidRDefault="00DD67E0" w:rsidP="00DD67E0">
      <w:pPr>
        <w:tabs>
          <w:tab w:val="right" w:leader="dot" w:pos="10132"/>
        </w:tabs>
        <w:spacing w:before="40" w:after="20" w:line="240" w:lineRule="auto"/>
        <w:ind w:left="2676" w:right="0"/>
        <w:rPr>
          <w:rFonts w:ascii="Calibri" w:hAnsi="Calibri"/>
          <w:noProof/>
          <w:sz w:val="22"/>
          <w:szCs w:val="32"/>
        </w:rPr>
      </w:pPr>
      <w:hyperlink w:anchor="_Toc256000046" w:history="1">
        <w:r w:rsidRPr="00DD67E0">
          <w:rPr>
            <w:rFonts w:ascii="Arial" w:hAnsi="Arial"/>
            <w:noProof/>
            <w:color w:val="0000FF"/>
            <w:sz w:val="22"/>
            <w:szCs w:val="32"/>
            <w:u w:val="single"/>
          </w:rPr>
          <w:t>Bakgrund</w:t>
        </w:r>
        <w:r w:rsidRPr="00DD67E0">
          <w:rPr>
            <w:rFonts w:ascii="Arial" w:hAnsi="Arial"/>
            <w:noProof/>
            <w:sz w:val="22"/>
            <w:szCs w:val="32"/>
          </w:rPr>
          <w:tab/>
        </w:r>
        <w:r w:rsidRPr="00DD67E0">
          <w:rPr>
            <w:rFonts w:ascii="Arial" w:hAnsi="Arial"/>
            <w:noProof/>
            <w:sz w:val="22"/>
            <w:szCs w:val="32"/>
          </w:rPr>
          <w:fldChar w:fldCharType="begin"/>
        </w:r>
        <w:r w:rsidRPr="00DD67E0">
          <w:rPr>
            <w:rFonts w:ascii="Arial" w:hAnsi="Arial"/>
            <w:noProof/>
            <w:sz w:val="22"/>
            <w:szCs w:val="32"/>
          </w:rPr>
          <w:instrText xml:space="preserve"> PAGEREF _Toc256000046 \h </w:instrText>
        </w:r>
        <w:r w:rsidRPr="00DD67E0">
          <w:rPr>
            <w:rFonts w:ascii="Arial" w:hAnsi="Arial"/>
            <w:noProof/>
            <w:sz w:val="22"/>
            <w:szCs w:val="32"/>
          </w:rPr>
        </w:r>
        <w:r w:rsidRPr="00DD67E0">
          <w:rPr>
            <w:rFonts w:ascii="Arial" w:hAnsi="Arial"/>
            <w:noProof/>
            <w:sz w:val="22"/>
            <w:szCs w:val="32"/>
          </w:rPr>
          <w:fldChar w:fldCharType="separate"/>
        </w:r>
        <w:r w:rsidRPr="00DD67E0">
          <w:rPr>
            <w:rFonts w:ascii="Arial" w:hAnsi="Arial"/>
            <w:noProof/>
            <w:sz w:val="22"/>
            <w:szCs w:val="32"/>
          </w:rPr>
          <w:t>1</w:t>
        </w:r>
        <w:r w:rsidRPr="00DD67E0">
          <w:rPr>
            <w:rFonts w:ascii="Arial" w:hAnsi="Arial"/>
            <w:noProof/>
            <w:sz w:val="22"/>
            <w:szCs w:val="32"/>
          </w:rPr>
          <w:fldChar w:fldCharType="end"/>
        </w:r>
      </w:hyperlink>
    </w:p>
    <w:p w14:paraId="56F453DD" w14:textId="77777777" w:rsidR="00DD67E0" w:rsidRPr="00DD67E0" w:rsidRDefault="00DD67E0" w:rsidP="00DD67E0">
      <w:pPr>
        <w:tabs>
          <w:tab w:val="right" w:leader="dot" w:pos="10132"/>
        </w:tabs>
        <w:spacing w:before="40" w:after="20" w:line="240" w:lineRule="auto"/>
        <w:ind w:left="2676" w:right="0"/>
        <w:rPr>
          <w:rFonts w:ascii="Calibri" w:hAnsi="Calibri"/>
          <w:noProof/>
          <w:sz w:val="22"/>
          <w:szCs w:val="32"/>
        </w:rPr>
      </w:pPr>
      <w:hyperlink w:anchor="_Toc256000047" w:history="1">
        <w:r w:rsidRPr="00DD67E0">
          <w:rPr>
            <w:rFonts w:ascii="Arial" w:hAnsi="Arial"/>
            <w:noProof/>
            <w:color w:val="0000FF"/>
            <w:sz w:val="22"/>
            <w:szCs w:val="32"/>
            <w:u w:val="single"/>
          </w:rPr>
          <w:t>Förutsättningar</w:t>
        </w:r>
        <w:r w:rsidRPr="00DD67E0">
          <w:rPr>
            <w:rFonts w:ascii="Arial" w:hAnsi="Arial"/>
            <w:noProof/>
            <w:sz w:val="22"/>
            <w:szCs w:val="32"/>
          </w:rPr>
          <w:tab/>
        </w:r>
        <w:r w:rsidRPr="00DD67E0">
          <w:rPr>
            <w:rFonts w:ascii="Arial" w:hAnsi="Arial"/>
            <w:noProof/>
            <w:sz w:val="22"/>
            <w:szCs w:val="32"/>
          </w:rPr>
          <w:fldChar w:fldCharType="begin"/>
        </w:r>
        <w:r w:rsidRPr="00DD67E0">
          <w:rPr>
            <w:rFonts w:ascii="Arial" w:hAnsi="Arial"/>
            <w:noProof/>
            <w:sz w:val="22"/>
            <w:szCs w:val="32"/>
          </w:rPr>
          <w:instrText xml:space="preserve"> PAGEREF _Toc256000047 \h </w:instrText>
        </w:r>
        <w:r w:rsidRPr="00DD67E0">
          <w:rPr>
            <w:rFonts w:ascii="Arial" w:hAnsi="Arial"/>
            <w:noProof/>
            <w:sz w:val="22"/>
            <w:szCs w:val="32"/>
          </w:rPr>
        </w:r>
        <w:r w:rsidRPr="00DD67E0">
          <w:rPr>
            <w:rFonts w:ascii="Arial" w:hAnsi="Arial"/>
            <w:noProof/>
            <w:sz w:val="22"/>
            <w:szCs w:val="32"/>
          </w:rPr>
          <w:fldChar w:fldCharType="separate"/>
        </w:r>
        <w:r w:rsidRPr="00DD67E0">
          <w:rPr>
            <w:rFonts w:ascii="Arial" w:hAnsi="Arial"/>
            <w:noProof/>
            <w:sz w:val="22"/>
            <w:szCs w:val="32"/>
          </w:rPr>
          <w:t>2</w:t>
        </w:r>
        <w:r w:rsidRPr="00DD67E0">
          <w:rPr>
            <w:rFonts w:ascii="Arial" w:hAnsi="Arial"/>
            <w:noProof/>
            <w:sz w:val="22"/>
            <w:szCs w:val="32"/>
          </w:rPr>
          <w:fldChar w:fldCharType="end"/>
        </w:r>
      </w:hyperlink>
    </w:p>
    <w:p w14:paraId="76423633" w14:textId="77777777" w:rsidR="00DD67E0" w:rsidRPr="00DD67E0" w:rsidRDefault="00DD67E0" w:rsidP="00DD67E0">
      <w:pPr>
        <w:tabs>
          <w:tab w:val="right" w:leader="dot" w:pos="10132"/>
        </w:tabs>
        <w:spacing w:before="40" w:after="20" w:line="240" w:lineRule="auto"/>
        <w:ind w:left="2676" w:right="0"/>
        <w:rPr>
          <w:rFonts w:ascii="Calibri" w:hAnsi="Calibri"/>
          <w:noProof/>
          <w:sz w:val="22"/>
          <w:szCs w:val="32"/>
        </w:rPr>
      </w:pPr>
      <w:hyperlink w:anchor="_Toc256000048" w:history="1">
        <w:r w:rsidRPr="00DD67E0">
          <w:rPr>
            <w:rFonts w:ascii="Arial" w:hAnsi="Arial"/>
            <w:noProof/>
            <w:color w:val="0000FF"/>
            <w:sz w:val="22"/>
            <w:szCs w:val="32"/>
            <w:u w:val="single"/>
          </w:rPr>
          <w:t>Genomförande</w:t>
        </w:r>
        <w:r w:rsidRPr="00DD67E0">
          <w:rPr>
            <w:rFonts w:ascii="Arial" w:hAnsi="Arial"/>
            <w:noProof/>
            <w:sz w:val="22"/>
            <w:szCs w:val="32"/>
          </w:rPr>
          <w:tab/>
        </w:r>
        <w:r w:rsidRPr="00DD67E0">
          <w:rPr>
            <w:rFonts w:ascii="Arial" w:hAnsi="Arial"/>
            <w:noProof/>
            <w:sz w:val="22"/>
            <w:szCs w:val="32"/>
          </w:rPr>
          <w:fldChar w:fldCharType="begin"/>
        </w:r>
        <w:r w:rsidRPr="00DD67E0">
          <w:rPr>
            <w:rFonts w:ascii="Arial" w:hAnsi="Arial"/>
            <w:noProof/>
            <w:sz w:val="22"/>
            <w:szCs w:val="32"/>
          </w:rPr>
          <w:instrText xml:space="preserve"> PAGEREF _Toc256000048 \h </w:instrText>
        </w:r>
        <w:r w:rsidRPr="00DD67E0">
          <w:rPr>
            <w:rFonts w:ascii="Arial" w:hAnsi="Arial"/>
            <w:noProof/>
            <w:sz w:val="22"/>
            <w:szCs w:val="32"/>
          </w:rPr>
        </w:r>
        <w:r w:rsidRPr="00DD67E0">
          <w:rPr>
            <w:rFonts w:ascii="Arial" w:hAnsi="Arial"/>
            <w:noProof/>
            <w:sz w:val="22"/>
            <w:szCs w:val="32"/>
          </w:rPr>
          <w:fldChar w:fldCharType="separate"/>
        </w:r>
        <w:r w:rsidRPr="00DD67E0">
          <w:rPr>
            <w:rFonts w:ascii="Arial" w:hAnsi="Arial"/>
            <w:noProof/>
            <w:sz w:val="22"/>
            <w:szCs w:val="32"/>
          </w:rPr>
          <w:t>2</w:t>
        </w:r>
        <w:r w:rsidRPr="00DD67E0">
          <w:rPr>
            <w:rFonts w:ascii="Arial" w:hAnsi="Arial"/>
            <w:noProof/>
            <w:sz w:val="22"/>
            <w:szCs w:val="32"/>
          </w:rPr>
          <w:fldChar w:fldCharType="end"/>
        </w:r>
      </w:hyperlink>
    </w:p>
    <w:p w14:paraId="65263876" w14:textId="77777777" w:rsidR="00DD67E0" w:rsidRPr="00DD67E0" w:rsidRDefault="00DD67E0" w:rsidP="00DD67E0">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anchor="_Toc256000049" w:history="1">
        <w:r w:rsidRPr="00DD67E0">
          <w:rPr>
            <w:rFonts w:ascii="Arial" w:hAnsi="Arial"/>
            <w:color w:val="0000FF"/>
            <w:sz w:val="22"/>
            <w:szCs w:val="20"/>
            <w:u w:val="single"/>
          </w:rPr>
          <w:t>Grundprinciper</w:t>
        </w:r>
        <w:r w:rsidRPr="00DD67E0">
          <w:rPr>
            <w:rFonts w:ascii="Arial" w:hAnsi="Arial"/>
            <w:sz w:val="22"/>
            <w:szCs w:val="20"/>
          </w:rPr>
          <w:tab/>
        </w:r>
        <w:r w:rsidRPr="00DD67E0">
          <w:rPr>
            <w:rFonts w:ascii="Arial" w:hAnsi="Arial"/>
            <w:sz w:val="22"/>
            <w:szCs w:val="20"/>
          </w:rPr>
          <w:fldChar w:fldCharType="begin"/>
        </w:r>
        <w:r w:rsidRPr="00DD67E0">
          <w:rPr>
            <w:rFonts w:ascii="Arial" w:hAnsi="Arial"/>
            <w:sz w:val="22"/>
            <w:szCs w:val="20"/>
          </w:rPr>
          <w:instrText xml:space="preserve"> PAGEREF _Toc256000049 \h </w:instrText>
        </w:r>
        <w:r w:rsidRPr="00DD67E0">
          <w:rPr>
            <w:rFonts w:ascii="Arial" w:hAnsi="Arial"/>
            <w:sz w:val="22"/>
            <w:szCs w:val="20"/>
          </w:rPr>
        </w:r>
        <w:r w:rsidRPr="00DD67E0">
          <w:rPr>
            <w:rFonts w:ascii="Arial" w:hAnsi="Arial"/>
            <w:sz w:val="22"/>
            <w:szCs w:val="20"/>
          </w:rPr>
          <w:fldChar w:fldCharType="separate"/>
        </w:r>
        <w:r w:rsidRPr="00DD67E0">
          <w:rPr>
            <w:rFonts w:ascii="Arial" w:hAnsi="Arial"/>
            <w:sz w:val="22"/>
            <w:szCs w:val="20"/>
          </w:rPr>
          <w:t>2</w:t>
        </w:r>
        <w:r w:rsidRPr="00DD67E0">
          <w:rPr>
            <w:rFonts w:ascii="Arial" w:hAnsi="Arial"/>
            <w:sz w:val="22"/>
            <w:szCs w:val="20"/>
          </w:rPr>
          <w:fldChar w:fldCharType="end"/>
        </w:r>
      </w:hyperlink>
    </w:p>
    <w:p w14:paraId="0651037A" w14:textId="77777777" w:rsidR="00DD67E0" w:rsidRPr="00DD67E0" w:rsidRDefault="00DD67E0" w:rsidP="00DD67E0">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anchor="_Toc256000050" w:history="1">
        <w:r w:rsidRPr="00DD67E0">
          <w:rPr>
            <w:rFonts w:ascii="Arial" w:hAnsi="Arial"/>
            <w:color w:val="0000FF"/>
            <w:sz w:val="22"/>
            <w:szCs w:val="20"/>
            <w:u w:val="single"/>
          </w:rPr>
          <w:t>Rekommenderade preparatval vid brist på piptaz</w:t>
        </w:r>
        <w:r w:rsidRPr="00DD67E0">
          <w:rPr>
            <w:rFonts w:ascii="Arial" w:hAnsi="Arial"/>
            <w:sz w:val="22"/>
            <w:szCs w:val="20"/>
          </w:rPr>
          <w:tab/>
        </w:r>
        <w:r w:rsidRPr="00DD67E0">
          <w:rPr>
            <w:rFonts w:ascii="Arial" w:hAnsi="Arial"/>
            <w:sz w:val="22"/>
            <w:szCs w:val="20"/>
          </w:rPr>
          <w:fldChar w:fldCharType="begin"/>
        </w:r>
        <w:r w:rsidRPr="00DD67E0">
          <w:rPr>
            <w:rFonts w:ascii="Arial" w:hAnsi="Arial"/>
            <w:sz w:val="22"/>
            <w:szCs w:val="20"/>
          </w:rPr>
          <w:instrText xml:space="preserve"> PAGEREF _Toc256000050 \h </w:instrText>
        </w:r>
        <w:r w:rsidRPr="00DD67E0">
          <w:rPr>
            <w:rFonts w:ascii="Arial" w:hAnsi="Arial"/>
            <w:sz w:val="22"/>
            <w:szCs w:val="20"/>
          </w:rPr>
        </w:r>
        <w:r w:rsidRPr="00DD67E0">
          <w:rPr>
            <w:rFonts w:ascii="Arial" w:hAnsi="Arial"/>
            <w:sz w:val="22"/>
            <w:szCs w:val="20"/>
          </w:rPr>
          <w:fldChar w:fldCharType="separate"/>
        </w:r>
        <w:r w:rsidRPr="00DD67E0">
          <w:rPr>
            <w:rFonts w:ascii="Arial" w:hAnsi="Arial"/>
            <w:sz w:val="22"/>
            <w:szCs w:val="20"/>
          </w:rPr>
          <w:t>2</w:t>
        </w:r>
        <w:r w:rsidRPr="00DD67E0">
          <w:rPr>
            <w:rFonts w:ascii="Arial" w:hAnsi="Arial"/>
            <w:sz w:val="22"/>
            <w:szCs w:val="20"/>
          </w:rPr>
          <w:fldChar w:fldCharType="end"/>
        </w:r>
      </w:hyperlink>
    </w:p>
    <w:p w14:paraId="6CFF156B" w14:textId="77777777" w:rsidR="00DD67E0" w:rsidRPr="00DD67E0" w:rsidRDefault="00DD67E0" w:rsidP="00DD67E0">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anchor="_Toc256000051" w:history="1">
        <w:r w:rsidRPr="00DD67E0">
          <w:rPr>
            <w:rFonts w:ascii="Arial" w:hAnsi="Arial"/>
            <w:noProof/>
            <w:color w:val="0000FF"/>
            <w:sz w:val="22"/>
            <w:szCs w:val="32"/>
            <w:u w:val="single"/>
          </w:rPr>
          <w:t>Sepsis med okänt fokus men inte svår sepsis/ septisk chock</w:t>
        </w:r>
        <w:r w:rsidRPr="00DD67E0">
          <w:rPr>
            <w:rFonts w:ascii="Arial" w:hAnsi="Arial"/>
            <w:noProof/>
            <w:sz w:val="22"/>
            <w:szCs w:val="32"/>
          </w:rPr>
          <w:tab/>
        </w:r>
        <w:r w:rsidRPr="00DD67E0">
          <w:rPr>
            <w:rFonts w:ascii="Arial" w:hAnsi="Arial"/>
            <w:noProof/>
            <w:sz w:val="22"/>
            <w:szCs w:val="32"/>
          </w:rPr>
          <w:fldChar w:fldCharType="begin"/>
        </w:r>
        <w:r w:rsidRPr="00DD67E0">
          <w:rPr>
            <w:rFonts w:ascii="Arial" w:hAnsi="Arial"/>
            <w:noProof/>
            <w:sz w:val="22"/>
            <w:szCs w:val="32"/>
          </w:rPr>
          <w:instrText xml:space="preserve"> PAGEREF _Toc256000051 \h </w:instrText>
        </w:r>
        <w:r w:rsidRPr="00DD67E0">
          <w:rPr>
            <w:rFonts w:ascii="Arial" w:hAnsi="Arial"/>
            <w:noProof/>
            <w:sz w:val="22"/>
            <w:szCs w:val="32"/>
          </w:rPr>
        </w:r>
        <w:r w:rsidRPr="00DD67E0">
          <w:rPr>
            <w:rFonts w:ascii="Arial" w:hAnsi="Arial"/>
            <w:noProof/>
            <w:sz w:val="22"/>
            <w:szCs w:val="32"/>
          </w:rPr>
          <w:fldChar w:fldCharType="separate"/>
        </w:r>
        <w:r w:rsidRPr="00DD67E0">
          <w:rPr>
            <w:rFonts w:ascii="Arial" w:hAnsi="Arial"/>
            <w:noProof/>
            <w:sz w:val="22"/>
            <w:szCs w:val="32"/>
          </w:rPr>
          <w:t>2</w:t>
        </w:r>
        <w:r w:rsidRPr="00DD67E0">
          <w:rPr>
            <w:rFonts w:ascii="Arial" w:hAnsi="Arial"/>
            <w:noProof/>
            <w:sz w:val="22"/>
            <w:szCs w:val="32"/>
          </w:rPr>
          <w:fldChar w:fldCharType="end"/>
        </w:r>
      </w:hyperlink>
    </w:p>
    <w:p w14:paraId="10E58942" w14:textId="77777777" w:rsidR="00DD67E0" w:rsidRPr="00DD67E0" w:rsidRDefault="00DD67E0" w:rsidP="00DD67E0">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anchor="_Toc256000052" w:history="1">
        <w:r w:rsidRPr="00DD67E0">
          <w:rPr>
            <w:rFonts w:ascii="Arial" w:hAnsi="Arial"/>
            <w:noProof/>
            <w:color w:val="0000FF"/>
            <w:sz w:val="22"/>
            <w:szCs w:val="32"/>
            <w:u w:val="single"/>
          </w:rPr>
          <w:t>Septisk chock</w:t>
        </w:r>
        <w:r w:rsidRPr="00DD67E0">
          <w:rPr>
            <w:rFonts w:ascii="Arial" w:hAnsi="Arial"/>
            <w:noProof/>
            <w:sz w:val="22"/>
            <w:szCs w:val="32"/>
          </w:rPr>
          <w:tab/>
        </w:r>
        <w:r w:rsidRPr="00DD67E0">
          <w:rPr>
            <w:rFonts w:ascii="Arial" w:hAnsi="Arial"/>
            <w:noProof/>
            <w:sz w:val="22"/>
            <w:szCs w:val="32"/>
          </w:rPr>
          <w:fldChar w:fldCharType="begin"/>
        </w:r>
        <w:r w:rsidRPr="00DD67E0">
          <w:rPr>
            <w:rFonts w:ascii="Arial" w:hAnsi="Arial"/>
            <w:noProof/>
            <w:sz w:val="22"/>
            <w:szCs w:val="32"/>
          </w:rPr>
          <w:instrText xml:space="preserve"> PAGEREF _Toc256000052 \h </w:instrText>
        </w:r>
        <w:r w:rsidRPr="00DD67E0">
          <w:rPr>
            <w:rFonts w:ascii="Arial" w:hAnsi="Arial"/>
            <w:noProof/>
            <w:sz w:val="22"/>
            <w:szCs w:val="32"/>
          </w:rPr>
        </w:r>
        <w:r w:rsidRPr="00DD67E0">
          <w:rPr>
            <w:rFonts w:ascii="Arial" w:hAnsi="Arial"/>
            <w:noProof/>
            <w:sz w:val="22"/>
            <w:szCs w:val="32"/>
          </w:rPr>
          <w:fldChar w:fldCharType="separate"/>
        </w:r>
        <w:r w:rsidRPr="00DD67E0">
          <w:rPr>
            <w:rFonts w:ascii="Arial" w:hAnsi="Arial"/>
            <w:noProof/>
            <w:sz w:val="22"/>
            <w:szCs w:val="32"/>
          </w:rPr>
          <w:t>2</w:t>
        </w:r>
        <w:r w:rsidRPr="00DD67E0">
          <w:rPr>
            <w:rFonts w:ascii="Arial" w:hAnsi="Arial"/>
            <w:noProof/>
            <w:sz w:val="22"/>
            <w:szCs w:val="32"/>
          </w:rPr>
          <w:fldChar w:fldCharType="end"/>
        </w:r>
      </w:hyperlink>
    </w:p>
    <w:p w14:paraId="50CF654B" w14:textId="77777777" w:rsidR="00DD67E0" w:rsidRPr="00DD67E0" w:rsidRDefault="00DD67E0" w:rsidP="00DD67E0">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anchor="_Toc256000053" w:history="1">
        <w:r w:rsidRPr="00DD67E0">
          <w:rPr>
            <w:rFonts w:ascii="Arial" w:hAnsi="Arial"/>
            <w:noProof/>
            <w:color w:val="0000FF"/>
            <w:sz w:val="22"/>
            <w:szCs w:val="32"/>
            <w:u w:val="single"/>
          </w:rPr>
          <w:t>Svår sepsis</w:t>
        </w:r>
        <w:r w:rsidRPr="00DD67E0">
          <w:rPr>
            <w:rFonts w:ascii="Arial" w:hAnsi="Arial"/>
            <w:noProof/>
            <w:sz w:val="22"/>
            <w:szCs w:val="32"/>
          </w:rPr>
          <w:tab/>
        </w:r>
        <w:r w:rsidRPr="00DD67E0">
          <w:rPr>
            <w:rFonts w:ascii="Arial" w:hAnsi="Arial"/>
            <w:noProof/>
            <w:sz w:val="22"/>
            <w:szCs w:val="32"/>
          </w:rPr>
          <w:fldChar w:fldCharType="begin"/>
        </w:r>
        <w:r w:rsidRPr="00DD67E0">
          <w:rPr>
            <w:rFonts w:ascii="Arial" w:hAnsi="Arial"/>
            <w:noProof/>
            <w:sz w:val="22"/>
            <w:szCs w:val="32"/>
          </w:rPr>
          <w:instrText xml:space="preserve"> PAGEREF _Toc256000053 \h </w:instrText>
        </w:r>
        <w:r w:rsidRPr="00DD67E0">
          <w:rPr>
            <w:rFonts w:ascii="Arial" w:hAnsi="Arial"/>
            <w:noProof/>
            <w:sz w:val="22"/>
            <w:szCs w:val="32"/>
          </w:rPr>
        </w:r>
        <w:r w:rsidRPr="00DD67E0">
          <w:rPr>
            <w:rFonts w:ascii="Arial" w:hAnsi="Arial"/>
            <w:noProof/>
            <w:sz w:val="22"/>
            <w:szCs w:val="32"/>
          </w:rPr>
          <w:fldChar w:fldCharType="separate"/>
        </w:r>
        <w:r w:rsidRPr="00DD67E0">
          <w:rPr>
            <w:rFonts w:ascii="Arial" w:hAnsi="Arial"/>
            <w:noProof/>
            <w:sz w:val="22"/>
            <w:szCs w:val="32"/>
          </w:rPr>
          <w:t>3</w:t>
        </w:r>
        <w:r w:rsidRPr="00DD67E0">
          <w:rPr>
            <w:rFonts w:ascii="Arial" w:hAnsi="Arial"/>
            <w:noProof/>
            <w:sz w:val="22"/>
            <w:szCs w:val="32"/>
          </w:rPr>
          <w:fldChar w:fldCharType="end"/>
        </w:r>
      </w:hyperlink>
    </w:p>
    <w:p w14:paraId="3F6DD08D" w14:textId="77777777" w:rsidR="00DD67E0" w:rsidRPr="00DD67E0" w:rsidRDefault="00DD67E0" w:rsidP="00DD67E0">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anchor="_Toc256000054" w:history="1">
        <w:r w:rsidRPr="00DD67E0">
          <w:rPr>
            <w:rFonts w:ascii="Arial" w:hAnsi="Arial"/>
            <w:noProof/>
            <w:color w:val="0000FF"/>
            <w:sz w:val="22"/>
            <w:szCs w:val="32"/>
            <w:u w:val="single"/>
          </w:rPr>
          <w:t>Febril urinvägsinfektion</w:t>
        </w:r>
        <w:r w:rsidRPr="00DD67E0">
          <w:rPr>
            <w:rFonts w:ascii="Arial" w:hAnsi="Arial"/>
            <w:noProof/>
            <w:sz w:val="22"/>
            <w:szCs w:val="32"/>
          </w:rPr>
          <w:tab/>
        </w:r>
        <w:r w:rsidRPr="00DD67E0">
          <w:rPr>
            <w:rFonts w:ascii="Arial" w:hAnsi="Arial"/>
            <w:noProof/>
            <w:sz w:val="22"/>
            <w:szCs w:val="32"/>
          </w:rPr>
          <w:fldChar w:fldCharType="begin"/>
        </w:r>
        <w:r w:rsidRPr="00DD67E0">
          <w:rPr>
            <w:rFonts w:ascii="Arial" w:hAnsi="Arial"/>
            <w:noProof/>
            <w:sz w:val="22"/>
            <w:szCs w:val="32"/>
          </w:rPr>
          <w:instrText xml:space="preserve"> PAGEREF _Toc256000054 \h </w:instrText>
        </w:r>
        <w:r w:rsidRPr="00DD67E0">
          <w:rPr>
            <w:rFonts w:ascii="Arial" w:hAnsi="Arial"/>
            <w:noProof/>
            <w:sz w:val="22"/>
            <w:szCs w:val="32"/>
          </w:rPr>
        </w:r>
        <w:r w:rsidRPr="00DD67E0">
          <w:rPr>
            <w:rFonts w:ascii="Arial" w:hAnsi="Arial"/>
            <w:noProof/>
            <w:sz w:val="22"/>
            <w:szCs w:val="32"/>
          </w:rPr>
          <w:fldChar w:fldCharType="separate"/>
        </w:r>
        <w:r w:rsidRPr="00DD67E0">
          <w:rPr>
            <w:rFonts w:ascii="Arial" w:hAnsi="Arial"/>
            <w:noProof/>
            <w:sz w:val="22"/>
            <w:szCs w:val="32"/>
          </w:rPr>
          <w:t>3</w:t>
        </w:r>
        <w:r w:rsidRPr="00DD67E0">
          <w:rPr>
            <w:rFonts w:ascii="Arial" w:hAnsi="Arial"/>
            <w:noProof/>
            <w:sz w:val="22"/>
            <w:szCs w:val="32"/>
          </w:rPr>
          <w:fldChar w:fldCharType="end"/>
        </w:r>
      </w:hyperlink>
    </w:p>
    <w:p w14:paraId="72E6970C" w14:textId="77777777" w:rsidR="00DD67E0" w:rsidRPr="00DD67E0" w:rsidRDefault="00DD67E0" w:rsidP="00DD67E0">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anchor="_Toc256000055" w:history="1">
        <w:r w:rsidRPr="00DD67E0">
          <w:rPr>
            <w:rFonts w:ascii="Arial" w:hAnsi="Arial"/>
            <w:noProof/>
            <w:color w:val="0000FF"/>
            <w:sz w:val="22"/>
            <w:szCs w:val="32"/>
            <w:u w:val="single"/>
          </w:rPr>
          <w:t>Bukinfektion</w:t>
        </w:r>
        <w:r w:rsidRPr="00DD67E0">
          <w:rPr>
            <w:rFonts w:ascii="Arial" w:hAnsi="Arial"/>
            <w:noProof/>
            <w:sz w:val="22"/>
            <w:szCs w:val="32"/>
          </w:rPr>
          <w:tab/>
        </w:r>
        <w:r w:rsidRPr="00DD67E0">
          <w:rPr>
            <w:rFonts w:ascii="Arial" w:hAnsi="Arial"/>
            <w:noProof/>
            <w:sz w:val="22"/>
            <w:szCs w:val="32"/>
          </w:rPr>
          <w:fldChar w:fldCharType="begin"/>
        </w:r>
        <w:r w:rsidRPr="00DD67E0">
          <w:rPr>
            <w:rFonts w:ascii="Arial" w:hAnsi="Arial"/>
            <w:noProof/>
            <w:sz w:val="22"/>
            <w:szCs w:val="32"/>
          </w:rPr>
          <w:instrText xml:space="preserve"> PAGEREF _Toc256000055 \h </w:instrText>
        </w:r>
        <w:r w:rsidRPr="00DD67E0">
          <w:rPr>
            <w:rFonts w:ascii="Arial" w:hAnsi="Arial"/>
            <w:noProof/>
            <w:sz w:val="22"/>
            <w:szCs w:val="32"/>
          </w:rPr>
        </w:r>
        <w:r w:rsidRPr="00DD67E0">
          <w:rPr>
            <w:rFonts w:ascii="Arial" w:hAnsi="Arial"/>
            <w:noProof/>
            <w:sz w:val="22"/>
            <w:szCs w:val="32"/>
          </w:rPr>
          <w:fldChar w:fldCharType="separate"/>
        </w:r>
        <w:r w:rsidRPr="00DD67E0">
          <w:rPr>
            <w:rFonts w:ascii="Arial" w:hAnsi="Arial"/>
            <w:noProof/>
            <w:sz w:val="22"/>
            <w:szCs w:val="32"/>
          </w:rPr>
          <w:t>3</w:t>
        </w:r>
        <w:r w:rsidRPr="00DD67E0">
          <w:rPr>
            <w:rFonts w:ascii="Arial" w:hAnsi="Arial"/>
            <w:noProof/>
            <w:sz w:val="22"/>
            <w:szCs w:val="32"/>
          </w:rPr>
          <w:fldChar w:fldCharType="end"/>
        </w:r>
      </w:hyperlink>
    </w:p>
    <w:p w14:paraId="133DA1CC" w14:textId="77777777" w:rsidR="00DD67E0" w:rsidRPr="00DD67E0" w:rsidRDefault="00DD67E0" w:rsidP="00DD67E0">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anchor="_Toc256000056" w:history="1">
        <w:r w:rsidRPr="00DD67E0">
          <w:rPr>
            <w:rFonts w:ascii="Arial" w:hAnsi="Arial"/>
            <w:noProof/>
            <w:color w:val="0000FF"/>
            <w:sz w:val="22"/>
            <w:szCs w:val="32"/>
            <w:u w:val="single"/>
          </w:rPr>
          <w:t>Pneumoni</w:t>
        </w:r>
        <w:r w:rsidRPr="00DD67E0">
          <w:rPr>
            <w:rFonts w:ascii="Arial" w:hAnsi="Arial"/>
            <w:noProof/>
            <w:sz w:val="22"/>
            <w:szCs w:val="32"/>
          </w:rPr>
          <w:tab/>
        </w:r>
        <w:r w:rsidRPr="00DD67E0">
          <w:rPr>
            <w:rFonts w:ascii="Arial" w:hAnsi="Arial"/>
            <w:noProof/>
            <w:sz w:val="22"/>
            <w:szCs w:val="32"/>
          </w:rPr>
          <w:fldChar w:fldCharType="begin"/>
        </w:r>
        <w:r w:rsidRPr="00DD67E0">
          <w:rPr>
            <w:rFonts w:ascii="Arial" w:hAnsi="Arial"/>
            <w:noProof/>
            <w:sz w:val="22"/>
            <w:szCs w:val="32"/>
          </w:rPr>
          <w:instrText xml:space="preserve"> PAGEREF _Toc256000056 \h </w:instrText>
        </w:r>
        <w:r w:rsidRPr="00DD67E0">
          <w:rPr>
            <w:rFonts w:ascii="Arial" w:hAnsi="Arial"/>
            <w:noProof/>
            <w:sz w:val="22"/>
            <w:szCs w:val="32"/>
          </w:rPr>
        </w:r>
        <w:r w:rsidRPr="00DD67E0">
          <w:rPr>
            <w:rFonts w:ascii="Arial" w:hAnsi="Arial"/>
            <w:noProof/>
            <w:sz w:val="22"/>
            <w:szCs w:val="32"/>
          </w:rPr>
          <w:fldChar w:fldCharType="separate"/>
        </w:r>
        <w:r w:rsidRPr="00DD67E0">
          <w:rPr>
            <w:rFonts w:ascii="Arial" w:hAnsi="Arial"/>
            <w:noProof/>
            <w:sz w:val="22"/>
            <w:szCs w:val="32"/>
          </w:rPr>
          <w:t>4</w:t>
        </w:r>
        <w:r w:rsidRPr="00DD67E0">
          <w:rPr>
            <w:rFonts w:ascii="Arial" w:hAnsi="Arial"/>
            <w:noProof/>
            <w:sz w:val="22"/>
            <w:szCs w:val="32"/>
          </w:rPr>
          <w:fldChar w:fldCharType="end"/>
        </w:r>
      </w:hyperlink>
    </w:p>
    <w:p w14:paraId="3E74BB18" w14:textId="77777777" w:rsidR="00DD67E0" w:rsidRPr="00DD67E0" w:rsidRDefault="00DD67E0" w:rsidP="00DD67E0">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anchor="_Toc256000057" w:history="1">
        <w:r w:rsidRPr="00DD67E0">
          <w:rPr>
            <w:rFonts w:ascii="Arial" w:hAnsi="Arial"/>
            <w:color w:val="0000FF"/>
            <w:sz w:val="22"/>
            <w:szCs w:val="20"/>
            <w:u w:val="single"/>
          </w:rPr>
          <w:t>Uppföljning</w:t>
        </w:r>
        <w:r w:rsidRPr="00DD67E0">
          <w:rPr>
            <w:rFonts w:ascii="Arial" w:hAnsi="Arial"/>
            <w:sz w:val="22"/>
            <w:szCs w:val="20"/>
          </w:rPr>
          <w:tab/>
        </w:r>
        <w:r w:rsidRPr="00DD67E0">
          <w:rPr>
            <w:rFonts w:ascii="Arial" w:hAnsi="Arial"/>
            <w:sz w:val="22"/>
            <w:szCs w:val="20"/>
          </w:rPr>
          <w:fldChar w:fldCharType="begin"/>
        </w:r>
        <w:r w:rsidRPr="00DD67E0">
          <w:rPr>
            <w:rFonts w:ascii="Arial" w:hAnsi="Arial"/>
            <w:sz w:val="22"/>
            <w:szCs w:val="20"/>
          </w:rPr>
          <w:instrText xml:space="preserve"> PAGEREF _Toc256000057 \h </w:instrText>
        </w:r>
        <w:r w:rsidRPr="00DD67E0">
          <w:rPr>
            <w:rFonts w:ascii="Arial" w:hAnsi="Arial"/>
            <w:sz w:val="22"/>
            <w:szCs w:val="20"/>
          </w:rPr>
        </w:r>
        <w:r w:rsidRPr="00DD67E0">
          <w:rPr>
            <w:rFonts w:ascii="Arial" w:hAnsi="Arial"/>
            <w:sz w:val="22"/>
            <w:szCs w:val="20"/>
          </w:rPr>
          <w:fldChar w:fldCharType="separate"/>
        </w:r>
        <w:r w:rsidRPr="00DD67E0">
          <w:rPr>
            <w:rFonts w:ascii="Arial" w:hAnsi="Arial"/>
            <w:sz w:val="22"/>
            <w:szCs w:val="20"/>
          </w:rPr>
          <w:t>4</w:t>
        </w:r>
        <w:r w:rsidRPr="00DD67E0">
          <w:rPr>
            <w:rFonts w:ascii="Arial" w:hAnsi="Arial"/>
            <w:sz w:val="22"/>
            <w:szCs w:val="20"/>
          </w:rPr>
          <w:fldChar w:fldCharType="end"/>
        </w:r>
      </w:hyperlink>
    </w:p>
    <w:p w14:paraId="1F3A5319" w14:textId="77777777" w:rsidR="00DD67E0" w:rsidRPr="00DD67E0" w:rsidRDefault="00DD67E0" w:rsidP="00DD67E0">
      <w:pPr>
        <w:tabs>
          <w:tab w:val="right" w:leader="dot" w:pos="10132"/>
        </w:tabs>
        <w:spacing w:before="40" w:after="20" w:line="240" w:lineRule="auto"/>
        <w:ind w:left="2676" w:right="0"/>
        <w:rPr>
          <w:rFonts w:ascii="Calibri" w:hAnsi="Calibri"/>
          <w:noProof/>
          <w:sz w:val="22"/>
          <w:szCs w:val="32"/>
        </w:rPr>
      </w:pPr>
      <w:hyperlink w:anchor="_Toc256000058" w:history="1">
        <w:r w:rsidRPr="00DD67E0">
          <w:rPr>
            <w:rFonts w:ascii="Arial" w:hAnsi="Arial"/>
            <w:noProof/>
            <w:color w:val="0000FF"/>
            <w:sz w:val="22"/>
            <w:szCs w:val="32"/>
            <w:u w:val="single"/>
          </w:rPr>
          <w:t>Dokumentinformation</w:t>
        </w:r>
        <w:r w:rsidRPr="00DD67E0">
          <w:rPr>
            <w:rFonts w:ascii="Arial" w:hAnsi="Arial"/>
            <w:noProof/>
            <w:sz w:val="22"/>
            <w:szCs w:val="32"/>
          </w:rPr>
          <w:tab/>
        </w:r>
        <w:r w:rsidRPr="00DD67E0">
          <w:rPr>
            <w:rFonts w:ascii="Arial" w:hAnsi="Arial"/>
            <w:noProof/>
            <w:sz w:val="22"/>
            <w:szCs w:val="32"/>
          </w:rPr>
          <w:fldChar w:fldCharType="begin"/>
        </w:r>
        <w:r w:rsidRPr="00DD67E0">
          <w:rPr>
            <w:rFonts w:ascii="Arial" w:hAnsi="Arial"/>
            <w:noProof/>
            <w:sz w:val="22"/>
            <w:szCs w:val="32"/>
          </w:rPr>
          <w:instrText xml:space="preserve"> PAGEREF _Toc256000058 \h </w:instrText>
        </w:r>
        <w:r w:rsidRPr="00DD67E0">
          <w:rPr>
            <w:rFonts w:ascii="Arial" w:hAnsi="Arial"/>
            <w:noProof/>
            <w:sz w:val="22"/>
            <w:szCs w:val="32"/>
          </w:rPr>
        </w:r>
        <w:r w:rsidRPr="00DD67E0">
          <w:rPr>
            <w:rFonts w:ascii="Arial" w:hAnsi="Arial"/>
            <w:noProof/>
            <w:sz w:val="22"/>
            <w:szCs w:val="32"/>
          </w:rPr>
          <w:fldChar w:fldCharType="separate"/>
        </w:r>
        <w:r w:rsidRPr="00DD67E0">
          <w:rPr>
            <w:rFonts w:ascii="Arial" w:hAnsi="Arial"/>
            <w:noProof/>
            <w:sz w:val="22"/>
            <w:szCs w:val="32"/>
          </w:rPr>
          <w:t>5</w:t>
        </w:r>
        <w:r w:rsidRPr="00DD67E0">
          <w:rPr>
            <w:rFonts w:ascii="Arial" w:hAnsi="Arial"/>
            <w:noProof/>
            <w:sz w:val="22"/>
            <w:szCs w:val="32"/>
          </w:rPr>
          <w:fldChar w:fldCharType="end"/>
        </w:r>
      </w:hyperlink>
    </w:p>
    <w:p w14:paraId="1B92B595" w14:textId="77777777" w:rsidR="00DD67E0" w:rsidRPr="00DD67E0" w:rsidRDefault="00DD67E0" w:rsidP="00DD67E0">
      <w:pPr>
        <w:spacing w:after="160" w:line="240" w:lineRule="auto"/>
        <w:ind w:left="2676" w:right="0"/>
        <w:rPr>
          <w:color w:val="0000FF"/>
          <w:szCs w:val="20"/>
          <w:u w:val="single"/>
        </w:rPr>
      </w:pPr>
      <w:r w:rsidRPr="00DD67E0">
        <w:rPr>
          <w:color w:val="0000FF"/>
          <w:szCs w:val="20"/>
          <w:u w:val="single"/>
        </w:rPr>
        <w:fldChar w:fldCharType="end"/>
      </w:r>
    </w:p>
    <w:p w14:paraId="664CE440" w14:textId="77777777" w:rsidR="00DD67E0" w:rsidRPr="00DD67E0" w:rsidRDefault="00DD67E0" w:rsidP="00DD67E0">
      <w:pPr>
        <w:spacing w:after="160" w:line="240" w:lineRule="auto"/>
        <w:ind w:left="2676" w:right="0"/>
        <w:rPr>
          <w:szCs w:val="20"/>
        </w:rPr>
      </w:pPr>
    </w:p>
    <w:p w14:paraId="2EDD6443" w14:textId="77777777" w:rsidR="00DD67E0" w:rsidRPr="00DD67E0" w:rsidRDefault="00DD67E0" w:rsidP="00DD67E0">
      <w:pPr>
        <w:keepNext/>
        <w:spacing w:line="240" w:lineRule="auto"/>
        <w:ind w:left="2676" w:right="0"/>
        <w:outlineLvl w:val="0"/>
        <w:rPr>
          <w:rFonts w:ascii="Arial" w:hAnsi="Arial"/>
          <w:kern w:val="32"/>
          <w:sz w:val="32"/>
          <w:szCs w:val="20"/>
        </w:rPr>
      </w:pPr>
      <w:bookmarkStart w:id="8" w:name="_Toc419881175"/>
      <w:bookmarkStart w:id="9" w:name="_Toc523410948"/>
      <w:bookmarkStart w:id="10" w:name="_Toc256000001"/>
      <w:bookmarkStart w:id="11" w:name="_Toc256000016"/>
      <w:bookmarkStart w:id="12" w:name="_Toc256000031"/>
      <w:bookmarkStart w:id="13" w:name="_Toc256000046"/>
      <w:r w:rsidRPr="00DD67E0">
        <w:rPr>
          <w:rFonts w:ascii="Arial" w:hAnsi="Arial"/>
          <w:kern w:val="32"/>
          <w:sz w:val="32"/>
          <w:szCs w:val="20"/>
        </w:rPr>
        <w:t>Bakgrund</w:t>
      </w:r>
      <w:bookmarkEnd w:id="8"/>
      <w:bookmarkEnd w:id="9"/>
      <w:bookmarkEnd w:id="10"/>
      <w:bookmarkEnd w:id="11"/>
      <w:bookmarkEnd w:id="12"/>
      <w:bookmarkEnd w:id="13"/>
    </w:p>
    <w:p w14:paraId="7E5C1F39" w14:textId="77777777" w:rsidR="00DD67E0" w:rsidRPr="00DD67E0" w:rsidRDefault="00DD67E0" w:rsidP="00DD67E0">
      <w:pPr>
        <w:suppressAutoHyphens/>
        <w:spacing w:after="160" w:line="240" w:lineRule="auto"/>
        <w:ind w:left="2676" w:right="0"/>
        <w:rPr>
          <w:szCs w:val="20"/>
        </w:rPr>
      </w:pPr>
      <w:r w:rsidRPr="00DD67E0">
        <w:rPr>
          <w:szCs w:val="20"/>
        </w:rPr>
        <w:t xml:space="preserve">Under 2017 uppkom en bristsituation på piperacillin-tazobactam (piptaz) p.g.a. att preparatet är restnoterat på det regiongemensamma lagret. Orsaken är en explosion i en fabrik i Kina under hösten 2016; en fabrik som står för en stor andel av produktionen av läkemedlet i världen. Trots detta har leveranserna fungerat relativt väl senaste året, men under </w:t>
      </w:r>
      <w:r w:rsidRPr="00DD67E0">
        <w:rPr>
          <w:szCs w:val="20"/>
        </w:rPr>
        <w:lastRenderedPageBreak/>
        <w:t>sommaren 2018 har situationen förvärrats, och under augusti månad blivit akut.</w:t>
      </w:r>
    </w:p>
    <w:p w14:paraId="2F26D973" w14:textId="77777777" w:rsidR="00DD67E0" w:rsidRPr="00DD67E0" w:rsidRDefault="00DD67E0" w:rsidP="00DD67E0">
      <w:pPr>
        <w:keepNext/>
        <w:keepLines/>
        <w:spacing w:line="240" w:lineRule="auto"/>
        <w:ind w:left="2676" w:right="0"/>
        <w:outlineLvl w:val="0"/>
        <w:rPr>
          <w:rFonts w:ascii="Arial" w:hAnsi="Arial"/>
          <w:kern w:val="32"/>
          <w:sz w:val="32"/>
          <w:szCs w:val="20"/>
        </w:rPr>
      </w:pPr>
      <w:bookmarkStart w:id="14" w:name="_Toc419881176"/>
      <w:bookmarkStart w:id="15" w:name="_Toc523410949"/>
      <w:bookmarkStart w:id="16" w:name="_Toc256000002"/>
      <w:bookmarkStart w:id="17" w:name="_Toc256000017"/>
      <w:bookmarkStart w:id="18" w:name="_Toc256000032"/>
      <w:bookmarkStart w:id="19" w:name="_Toc256000047"/>
      <w:r w:rsidRPr="00DD67E0">
        <w:rPr>
          <w:rFonts w:ascii="Arial" w:hAnsi="Arial"/>
          <w:kern w:val="32"/>
          <w:sz w:val="32"/>
          <w:szCs w:val="20"/>
        </w:rPr>
        <w:t>Förutsättningar</w:t>
      </w:r>
      <w:bookmarkEnd w:id="14"/>
      <w:bookmarkEnd w:id="15"/>
      <w:bookmarkEnd w:id="16"/>
      <w:bookmarkEnd w:id="17"/>
      <w:bookmarkEnd w:id="18"/>
      <w:bookmarkEnd w:id="19"/>
    </w:p>
    <w:p w14:paraId="0070E17B" w14:textId="77777777" w:rsidR="00DD67E0" w:rsidRPr="00DD67E0" w:rsidRDefault="00DD67E0" w:rsidP="00DD67E0">
      <w:pPr>
        <w:keepNext/>
        <w:keepLines/>
        <w:spacing w:after="160" w:line="240" w:lineRule="auto"/>
        <w:ind w:left="2676" w:right="0"/>
        <w:rPr>
          <w:szCs w:val="20"/>
        </w:rPr>
      </w:pPr>
      <w:r w:rsidRPr="00DD67E0">
        <w:rPr>
          <w:szCs w:val="20"/>
        </w:rPr>
        <w:t>Piptaz är ett viktigt preparat vid behandling av allvarliga bakteriella infektioner i SÄS riktlinje ”</w:t>
      </w:r>
      <w:hyperlink r:id="rId17" w:history="1">
        <w:r w:rsidRPr="00DD67E0">
          <w:rPr>
            <w:color w:val="0000FF"/>
            <w:szCs w:val="20"/>
            <w:u w:val="single"/>
          </w:rPr>
          <w:t>Antibiotikabehandling till vuxna</w:t>
        </w:r>
      </w:hyperlink>
      <w:r w:rsidRPr="00DD67E0">
        <w:rPr>
          <w:szCs w:val="20"/>
        </w:rPr>
        <w:t>” och situationen är därför allvarlig. Den långsiktiga prognosen är osäker och det finns risk att bristen kommer att bestå under hela 2018. En återhållsam användning av piptaz är därför nödvändig. Ersättningspreparatet cefotaxim täcker inte infektioner med anaerober eller enterokocker och meropenem har sämre effekt än pipaz på enterokocker, vilket är av värde att veta vid terapisvikt.</w:t>
      </w:r>
    </w:p>
    <w:p w14:paraId="0586D0DA" w14:textId="77777777" w:rsidR="00DD67E0" w:rsidRPr="00DD67E0" w:rsidRDefault="00DD67E0" w:rsidP="00DD67E0">
      <w:pPr>
        <w:spacing w:after="160" w:line="240" w:lineRule="auto"/>
        <w:ind w:left="2676" w:right="0"/>
        <w:rPr>
          <w:szCs w:val="20"/>
        </w:rPr>
      </w:pPr>
    </w:p>
    <w:p w14:paraId="2006F245" w14:textId="77777777" w:rsidR="00DD67E0" w:rsidRPr="00DD67E0" w:rsidRDefault="00DD67E0" w:rsidP="00DD67E0">
      <w:pPr>
        <w:keepNext/>
        <w:spacing w:line="240" w:lineRule="auto"/>
        <w:ind w:left="2676" w:right="0"/>
        <w:outlineLvl w:val="0"/>
        <w:rPr>
          <w:rFonts w:ascii="Arial" w:hAnsi="Arial"/>
          <w:kern w:val="32"/>
          <w:sz w:val="32"/>
          <w:szCs w:val="20"/>
        </w:rPr>
      </w:pPr>
      <w:bookmarkStart w:id="20" w:name="_Toc419881177"/>
      <w:bookmarkStart w:id="21" w:name="_Toc523410950"/>
      <w:bookmarkStart w:id="22" w:name="_Toc256000003"/>
      <w:bookmarkStart w:id="23" w:name="_Toc256000018"/>
      <w:bookmarkStart w:id="24" w:name="_Toc256000033"/>
      <w:bookmarkStart w:id="25" w:name="_Toc256000048"/>
      <w:r w:rsidRPr="00DD67E0">
        <w:rPr>
          <w:rFonts w:ascii="Arial" w:hAnsi="Arial"/>
          <w:kern w:val="32"/>
          <w:sz w:val="32"/>
          <w:szCs w:val="20"/>
        </w:rPr>
        <w:t>Genomförande</w:t>
      </w:r>
      <w:bookmarkEnd w:id="20"/>
      <w:bookmarkEnd w:id="21"/>
      <w:bookmarkEnd w:id="22"/>
      <w:bookmarkEnd w:id="23"/>
      <w:bookmarkEnd w:id="24"/>
      <w:bookmarkEnd w:id="25"/>
    </w:p>
    <w:p w14:paraId="45891372" w14:textId="77777777" w:rsidR="00DD67E0" w:rsidRPr="00DD67E0" w:rsidRDefault="00DD67E0" w:rsidP="00DD67E0">
      <w:pPr>
        <w:keepNext/>
        <w:spacing w:before="320" w:after="60" w:line="240" w:lineRule="auto"/>
        <w:ind w:left="2676" w:right="0"/>
        <w:outlineLvl w:val="1"/>
        <w:rPr>
          <w:rFonts w:ascii="Arial" w:hAnsi="Arial" w:cs="Arial"/>
          <w:bCs/>
          <w:iCs/>
          <w:sz w:val="28"/>
          <w:szCs w:val="28"/>
        </w:rPr>
      </w:pPr>
      <w:bookmarkStart w:id="26" w:name="_Toc523410951"/>
      <w:bookmarkStart w:id="27" w:name="_Toc256000004"/>
      <w:bookmarkStart w:id="28" w:name="_Toc256000019"/>
      <w:bookmarkStart w:id="29" w:name="_Toc256000034"/>
      <w:bookmarkStart w:id="30" w:name="_Toc256000049"/>
      <w:r w:rsidRPr="00DD67E0">
        <w:rPr>
          <w:rFonts w:ascii="Arial" w:hAnsi="Arial" w:cs="Arial"/>
          <w:bCs/>
          <w:iCs/>
          <w:sz w:val="28"/>
          <w:szCs w:val="28"/>
        </w:rPr>
        <w:t>Grundprinciper</w:t>
      </w:r>
      <w:bookmarkEnd w:id="26"/>
      <w:bookmarkEnd w:id="27"/>
      <w:bookmarkEnd w:id="28"/>
      <w:bookmarkEnd w:id="29"/>
      <w:bookmarkEnd w:id="30"/>
    </w:p>
    <w:p w14:paraId="36BBD6D1" w14:textId="77777777" w:rsidR="00DD67E0" w:rsidRPr="00DD67E0" w:rsidRDefault="00DD67E0" w:rsidP="00DD67E0">
      <w:pPr>
        <w:tabs>
          <w:tab w:val="num" w:pos="3036"/>
        </w:tabs>
        <w:spacing w:after="80" w:line="240" w:lineRule="auto"/>
        <w:ind w:left="3036" w:right="0" w:hanging="360"/>
        <w:rPr>
          <w:szCs w:val="20"/>
        </w:rPr>
      </w:pPr>
      <w:r w:rsidRPr="00DD67E0">
        <w:rPr>
          <w:szCs w:val="20"/>
        </w:rPr>
        <w:t>Allvarlighetsgraden styr hur brett preparat som ska användas.</w:t>
      </w:r>
    </w:p>
    <w:p w14:paraId="5F2CDC5A" w14:textId="77777777" w:rsidR="00DD67E0" w:rsidRPr="00DD67E0" w:rsidRDefault="00DD67E0" w:rsidP="00DD67E0">
      <w:pPr>
        <w:tabs>
          <w:tab w:val="num" w:pos="3036"/>
        </w:tabs>
        <w:spacing w:after="80" w:line="240" w:lineRule="auto"/>
        <w:ind w:left="3036" w:right="0" w:hanging="360"/>
        <w:rPr>
          <w:szCs w:val="20"/>
        </w:rPr>
      </w:pPr>
      <w:r w:rsidRPr="00DD67E0">
        <w:rPr>
          <w:szCs w:val="20"/>
        </w:rPr>
        <w:t>Piptaz ska reserveras till patienter med allvarlig sjukdomsbild.</w:t>
      </w:r>
    </w:p>
    <w:p w14:paraId="570E4D06" w14:textId="77777777" w:rsidR="00DD67E0" w:rsidRPr="00DD67E0" w:rsidRDefault="00DD67E0" w:rsidP="00DD67E0">
      <w:pPr>
        <w:tabs>
          <w:tab w:val="num" w:pos="3036"/>
        </w:tabs>
        <w:spacing w:after="80" w:line="240" w:lineRule="auto"/>
        <w:ind w:left="3036" w:right="0" w:hanging="360"/>
        <w:rPr>
          <w:szCs w:val="20"/>
        </w:rPr>
      </w:pPr>
      <w:r w:rsidRPr="00DD67E0">
        <w:rPr>
          <w:szCs w:val="20"/>
        </w:rPr>
        <w:t>Piptaz ska användas vid svår sepsis och septisk chock och pneumoni på IVA, men bör i övrigt undvikas.</w:t>
      </w:r>
    </w:p>
    <w:p w14:paraId="5AADC156" w14:textId="77777777" w:rsidR="00DD67E0" w:rsidRPr="00DD67E0" w:rsidRDefault="00DD67E0" w:rsidP="00DD67E0">
      <w:pPr>
        <w:tabs>
          <w:tab w:val="num" w:pos="3036"/>
        </w:tabs>
        <w:spacing w:after="80" w:line="240" w:lineRule="auto"/>
        <w:ind w:left="3036" w:right="0" w:hanging="360"/>
        <w:rPr>
          <w:szCs w:val="20"/>
        </w:rPr>
      </w:pPr>
      <w:r w:rsidRPr="00DD67E0">
        <w:rPr>
          <w:szCs w:val="20"/>
        </w:rPr>
        <w:t>SÄS riktlinjer gällande sepsis, pneumoni och antibiotika gäller men piptaz-ordinationerna begränsas enligt nedanstående rekommendationer.</w:t>
      </w:r>
    </w:p>
    <w:p w14:paraId="56DED822" w14:textId="77777777" w:rsidR="00DD67E0" w:rsidRPr="00DD67E0" w:rsidRDefault="00DD67E0" w:rsidP="00DD67E0">
      <w:pPr>
        <w:tabs>
          <w:tab w:val="num" w:pos="3036"/>
        </w:tabs>
        <w:spacing w:after="80" w:line="240" w:lineRule="auto"/>
        <w:ind w:left="3036" w:right="0" w:hanging="360"/>
        <w:rPr>
          <w:szCs w:val="20"/>
        </w:rPr>
      </w:pPr>
      <w:r w:rsidRPr="00DD67E0">
        <w:rPr>
          <w:szCs w:val="20"/>
        </w:rPr>
        <w:t>Infektionskonsult ska tillfrågas frikostigt.</w:t>
      </w:r>
    </w:p>
    <w:p w14:paraId="3E166CAA" w14:textId="77777777" w:rsidR="00DD67E0" w:rsidRPr="00DD67E0" w:rsidRDefault="00DD67E0" w:rsidP="00DD67E0">
      <w:pPr>
        <w:keepNext/>
        <w:spacing w:before="320" w:after="60" w:line="240" w:lineRule="auto"/>
        <w:ind w:left="2676" w:right="0"/>
        <w:outlineLvl w:val="1"/>
        <w:rPr>
          <w:rFonts w:ascii="Arial" w:hAnsi="Arial" w:cs="Arial"/>
          <w:bCs/>
          <w:iCs/>
          <w:sz w:val="28"/>
          <w:szCs w:val="28"/>
        </w:rPr>
      </w:pPr>
      <w:bookmarkStart w:id="31" w:name="_Toc523410952"/>
      <w:bookmarkStart w:id="32" w:name="_Toc256000005"/>
      <w:bookmarkStart w:id="33" w:name="_Toc256000020"/>
      <w:bookmarkStart w:id="34" w:name="_Toc256000035"/>
      <w:bookmarkStart w:id="35" w:name="_Toc256000050"/>
      <w:r w:rsidRPr="00DD67E0">
        <w:rPr>
          <w:rFonts w:ascii="Arial" w:hAnsi="Arial" w:cs="Arial"/>
          <w:bCs/>
          <w:iCs/>
          <w:sz w:val="28"/>
          <w:szCs w:val="28"/>
        </w:rPr>
        <w:t>Rekommenderade preparatval vid brist på piptaz</w:t>
      </w:r>
      <w:bookmarkEnd w:id="31"/>
      <w:bookmarkEnd w:id="32"/>
      <w:bookmarkEnd w:id="33"/>
      <w:bookmarkEnd w:id="34"/>
      <w:bookmarkEnd w:id="35"/>
    </w:p>
    <w:p w14:paraId="7D538734" w14:textId="77777777" w:rsidR="00DD67E0" w:rsidRPr="00DD67E0" w:rsidRDefault="00DD67E0" w:rsidP="00DD67E0">
      <w:pPr>
        <w:keepNext/>
        <w:spacing w:before="200" w:after="60" w:line="240" w:lineRule="auto"/>
        <w:ind w:left="2676" w:right="0"/>
        <w:outlineLvl w:val="2"/>
        <w:rPr>
          <w:rFonts w:ascii="Arial" w:hAnsi="Arial" w:cs="Arial"/>
          <w:b/>
          <w:szCs w:val="26"/>
        </w:rPr>
      </w:pPr>
      <w:bookmarkStart w:id="36" w:name="_Toc523410953"/>
      <w:bookmarkStart w:id="37" w:name="_Toc256000006"/>
      <w:bookmarkStart w:id="38" w:name="_Toc256000021"/>
      <w:bookmarkStart w:id="39" w:name="_Toc256000036"/>
      <w:bookmarkStart w:id="40" w:name="_Toc256000051"/>
      <w:r w:rsidRPr="00DD67E0">
        <w:rPr>
          <w:rFonts w:ascii="Arial" w:hAnsi="Arial" w:cs="Arial"/>
          <w:b/>
          <w:szCs w:val="26"/>
        </w:rPr>
        <w:t>Sepsis med okänt fokus men inte svår sepsis/ septisk chock</w:t>
      </w:r>
      <w:bookmarkEnd w:id="36"/>
      <w:bookmarkEnd w:id="37"/>
      <w:bookmarkEnd w:id="38"/>
      <w:bookmarkEnd w:id="39"/>
      <w:bookmarkEnd w:id="40"/>
    </w:p>
    <w:p w14:paraId="0876C0BE" w14:textId="77777777" w:rsidR="00DD67E0" w:rsidRPr="00DD67E0" w:rsidRDefault="00DD67E0" w:rsidP="00DD67E0">
      <w:pPr>
        <w:tabs>
          <w:tab w:val="num" w:pos="3036"/>
        </w:tabs>
        <w:spacing w:after="80" w:line="240" w:lineRule="auto"/>
        <w:ind w:left="3036" w:right="0" w:hanging="360"/>
        <w:rPr>
          <w:szCs w:val="20"/>
        </w:rPr>
      </w:pPr>
      <w:r w:rsidRPr="00DD67E0">
        <w:rPr>
          <w:szCs w:val="20"/>
        </w:rPr>
        <w:t>Bensylpc 3gx3 + Nebcina 4,5 mg/kg (som tidigare).</w:t>
      </w:r>
      <w:r w:rsidRPr="00DD67E0">
        <w:rPr>
          <w:szCs w:val="20"/>
        </w:rPr>
        <w:br/>
      </w:r>
    </w:p>
    <w:p w14:paraId="4ECCED66" w14:textId="77777777" w:rsidR="00DD67E0" w:rsidRPr="00DD67E0" w:rsidRDefault="00DD67E0" w:rsidP="00DD67E0">
      <w:pPr>
        <w:keepNext/>
        <w:spacing w:before="200" w:after="60" w:line="240" w:lineRule="auto"/>
        <w:ind w:left="2676" w:right="0"/>
        <w:outlineLvl w:val="2"/>
        <w:rPr>
          <w:rFonts w:ascii="Arial" w:hAnsi="Arial" w:cs="Arial"/>
          <w:b/>
          <w:szCs w:val="26"/>
        </w:rPr>
      </w:pPr>
      <w:bookmarkStart w:id="41" w:name="_Toc523410954"/>
      <w:bookmarkStart w:id="42" w:name="_Toc256000007"/>
      <w:bookmarkStart w:id="43" w:name="_Toc256000022"/>
      <w:bookmarkStart w:id="44" w:name="_Toc256000037"/>
      <w:bookmarkStart w:id="45" w:name="_Toc256000052"/>
      <w:r w:rsidRPr="00DD67E0">
        <w:rPr>
          <w:rFonts w:ascii="Arial" w:hAnsi="Arial" w:cs="Arial"/>
          <w:b/>
          <w:szCs w:val="26"/>
        </w:rPr>
        <w:t>Septisk chock</w:t>
      </w:r>
      <w:bookmarkEnd w:id="41"/>
      <w:bookmarkEnd w:id="42"/>
      <w:bookmarkEnd w:id="43"/>
      <w:bookmarkEnd w:id="44"/>
      <w:bookmarkEnd w:id="45"/>
    </w:p>
    <w:p w14:paraId="26BC3A9F" w14:textId="77777777" w:rsidR="00DD67E0" w:rsidRPr="00DD67E0" w:rsidRDefault="00DD67E0" w:rsidP="00DD67E0">
      <w:pPr>
        <w:tabs>
          <w:tab w:val="num" w:pos="3036"/>
        </w:tabs>
        <w:spacing w:after="80" w:line="240" w:lineRule="auto"/>
        <w:ind w:left="3036" w:right="0" w:hanging="360"/>
        <w:rPr>
          <w:szCs w:val="20"/>
        </w:rPr>
      </w:pPr>
      <w:r w:rsidRPr="00DD67E0">
        <w:rPr>
          <w:szCs w:val="20"/>
        </w:rPr>
        <w:t>Piptaz 4gx4 + Nebcina 7 mg/kg dag 1</w:t>
      </w:r>
    </w:p>
    <w:p w14:paraId="1E21B410" w14:textId="77777777" w:rsidR="00DD67E0" w:rsidRPr="00DD67E0" w:rsidRDefault="00DD67E0" w:rsidP="00DD67E0">
      <w:pPr>
        <w:overflowPunct w:val="0"/>
        <w:autoSpaceDE w:val="0"/>
        <w:autoSpaceDN w:val="0"/>
        <w:adjustRightInd w:val="0"/>
        <w:spacing w:before="120" w:line="240" w:lineRule="auto"/>
        <w:ind w:left="3033" w:right="0"/>
        <w:textAlignment w:val="baseline"/>
        <w:rPr>
          <w:szCs w:val="20"/>
        </w:rPr>
      </w:pPr>
      <w:r w:rsidRPr="00DD67E0">
        <w:rPr>
          <w:szCs w:val="20"/>
        </w:rPr>
        <w:t>Extrados av piptaz mitt i första intervallet.</w:t>
      </w:r>
      <w:r w:rsidRPr="00DD67E0">
        <w:rPr>
          <w:szCs w:val="20"/>
        </w:rPr>
        <w:br/>
        <w:t>Nebcinados dag två efter individuell bedömning.</w:t>
      </w:r>
    </w:p>
    <w:p w14:paraId="0E059C89" w14:textId="77777777" w:rsidR="00DD67E0" w:rsidRPr="00DD67E0" w:rsidRDefault="00DD67E0" w:rsidP="00DD67E0">
      <w:pPr>
        <w:spacing w:before="160" w:after="160" w:line="240" w:lineRule="auto"/>
        <w:ind w:left="2676" w:right="0"/>
        <w:rPr>
          <w:szCs w:val="20"/>
        </w:rPr>
      </w:pPr>
      <w:r w:rsidRPr="00DD67E0">
        <w:rPr>
          <w:szCs w:val="20"/>
        </w:rPr>
        <w:t>ELLER (Om piperacillin-tazobactam ej finns att tillgå)</w:t>
      </w:r>
    </w:p>
    <w:p w14:paraId="0852FBA1" w14:textId="77777777" w:rsidR="00DD67E0" w:rsidRPr="00DD67E0" w:rsidRDefault="00DD67E0" w:rsidP="00DD67E0">
      <w:pPr>
        <w:tabs>
          <w:tab w:val="num" w:pos="3036"/>
        </w:tabs>
        <w:spacing w:after="80" w:line="240" w:lineRule="auto"/>
        <w:ind w:left="3036" w:right="0" w:hanging="360"/>
        <w:rPr>
          <w:szCs w:val="20"/>
        </w:rPr>
      </w:pPr>
      <w:r w:rsidRPr="00DD67E0">
        <w:rPr>
          <w:szCs w:val="20"/>
        </w:rPr>
        <w:lastRenderedPageBreak/>
        <w:t>Meropenem 1gx3+ Nebcina 7 mg/kg dag 1.</w:t>
      </w:r>
    </w:p>
    <w:p w14:paraId="728C0A61" w14:textId="77777777" w:rsidR="00DD67E0" w:rsidRPr="00DD67E0" w:rsidRDefault="00DD67E0" w:rsidP="00DD67E0">
      <w:pPr>
        <w:overflowPunct w:val="0"/>
        <w:autoSpaceDE w:val="0"/>
        <w:autoSpaceDN w:val="0"/>
        <w:adjustRightInd w:val="0"/>
        <w:spacing w:before="120" w:line="240" w:lineRule="auto"/>
        <w:ind w:left="3033" w:right="0"/>
        <w:textAlignment w:val="baseline"/>
        <w:rPr>
          <w:szCs w:val="20"/>
        </w:rPr>
      </w:pPr>
      <w:r w:rsidRPr="00DD67E0">
        <w:rPr>
          <w:szCs w:val="20"/>
        </w:rPr>
        <w:t>Extrados av meropenem mitt i första intervallet.</w:t>
      </w:r>
      <w:r w:rsidRPr="00DD67E0">
        <w:rPr>
          <w:szCs w:val="20"/>
        </w:rPr>
        <w:br/>
        <w:t>Nebcinados dag två efter individuell bedömning.</w:t>
      </w:r>
    </w:p>
    <w:p w14:paraId="0177229A" w14:textId="77777777" w:rsidR="00DD67E0" w:rsidRPr="00DD67E0" w:rsidRDefault="00DD67E0" w:rsidP="00DD67E0">
      <w:pPr>
        <w:keepNext/>
        <w:keepLines/>
        <w:spacing w:before="200" w:after="60" w:line="240" w:lineRule="auto"/>
        <w:ind w:left="2676" w:right="0"/>
        <w:outlineLvl w:val="2"/>
        <w:rPr>
          <w:rFonts w:ascii="Arial" w:hAnsi="Arial" w:cs="Arial"/>
          <w:b/>
          <w:szCs w:val="26"/>
        </w:rPr>
      </w:pPr>
      <w:bookmarkStart w:id="46" w:name="_Toc523410955"/>
      <w:bookmarkStart w:id="47" w:name="_Toc256000008"/>
      <w:bookmarkStart w:id="48" w:name="_Toc256000023"/>
      <w:bookmarkStart w:id="49" w:name="_Toc256000038"/>
      <w:bookmarkStart w:id="50" w:name="_Toc256000053"/>
      <w:r w:rsidRPr="00DD67E0">
        <w:rPr>
          <w:rFonts w:ascii="Arial" w:hAnsi="Arial" w:cs="Arial"/>
          <w:b/>
          <w:szCs w:val="26"/>
        </w:rPr>
        <w:t>Svår sepsis</w:t>
      </w:r>
      <w:bookmarkEnd w:id="46"/>
      <w:bookmarkEnd w:id="47"/>
      <w:bookmarkEnd w:id="48"/>
      <w:bookmarkEnd w:id="49"/>
      <w:bookmarkEnd w:id="50"/>
    </w:p>
    <w:p w14:paraId="52772F0F" w14:textId="77777777" w:rsidR="00DD67E0" w:rsidRPr="00DD67E0" w:rsidRDefault="00DD67E0" w:rsidP="00DD67E0">
      <w:pPr>
        <w:keepNext/>
        <w:keepLines/>
        <w:overflowPunct w:val="0"/>
        <w:autoSpaceDE w:val="0"/>
        <w:autoSpaceDN w:val="0"/>
        <w:adjustRightInd w:val="0"/>
        <w:spacing w:after="160" w:line="240" w:lineRule="auto"/>
        <w:ind w:left="2676" w:right="0"/>
        <w:textAlignment w:val="baseline"/>
        <w:rPr>
          <w:szCs w:val="20"/>
        </w:rPr>
      </w:pPr>
      <w:r w:rsidRPr="00DD67E0">
        <w:rPr>
          <w:szCs w:val="20"/>
        </w:rPr>
        <w:t>Individuell bedömning i samråd med infektionskonsult.</w:t>
      </w:r>
    </w:p>
    <w:p w14:paraId="4155265F" w14:textId="77777777" w:rsidR="00DD67E0" w:rsidRPr="00DD67E0" w:rsidRDefault="00DD67E0" w:rsidP="00DD67E0">
      <w:pPr>
        <w:keepNext/>
        <w:keepLines/>
        <w:overflowPunct w:val="0"/>
        <w:autoSpaceDE w:val="0"/>
        <w:autoSpaceDN w:val="0"/>
        <w:adjustRightInd w:val="0"/>
        <w:spacing w:after="160" w:line="240" w:lineRule="auto"/>
        <w:ind w:left="2676" w:right="0"/>
        <w:textAlignment w:val="baseline"/>
        <w:rPr>
          <w:szCs w:val="20"/>
        </w:rPr>
      </w:pPr>
      <w:r w:rsidRPr="00DD67E0">
        <w:rPr>
          <w:szCs w:val="20"/>
        </w:rPr>
        <w:t>Allvarlighetsgraden styr. Vid lindrigare sjukdomsbild kan andra alternativ än piptaz respektive meropenem övervägas t.ex.</w:t>
      </w:r>
    </w:p>
    <w:p w14:paraId="7AADDA3B" w14:textId="77777777" w:rsidR="00DD67E0" w:rsidRPr="00DD67E0" w:rsidRDefault="00DD67E0" w:rsidP="00DD67E0">
      <w:pPr>
        <w:keepNext/>
        <w:keepLines/>
        <w:tabs>
          <w:tab w:val="num" w:pos="3036"/>
        </w:tabs>
        <w:spacing w:after="80" w:line="240" w:lineRule="auto"/>
        <w:ind w:left="3036" w:right="0" w:hanging="360"/>
        <w:rPr>
          <w:szCs w:val="20"/>
        </w:rPr>
      </w:pPr>
      <w:r w:rsidRPr="00DD67E0">
        <w:rPr>
          <w:szCs w:val="20"/>
        </w:rPr>
        <w:t>Bensylpc 3gx3 + Nebcina (4,5 -7 mg/kg, individuell bedömning)</w:t>
      </w:r>
    </w:p>
    <w:p w14:paraId="7A9A13D3" w14:textId="77777777" w:rsidR="00DD67E0" w:rsidRPr="00DD67E0" w:rsidRDefault="00DD67E0" w:rsidP="00DD67E0">
      <w:pPr>
        <w:keepNext/>
        <w:keepLines/>
        <w:tabs>
          <w:tab w:val="num" w:pos="3036"/>
        </w:tabs>
        <w:spacing w:after="80" w:line="240" w:lineRule="auto"/>
        <w:ind w:left="3036" w:right="0" w:hanging="360"/>
        <w:rPr>
          <w:szCs w:val="20"/>
        </w:rPr>
      </w:pPr>
      <w:r w:rsidRPr="00DD67E0">
        <w:rPr>
          <w:szCs w:val="20"/>
        </w:rPr>
        <w:t>Doktacillin 2gx3 + Nebcina (4,5 -7 mg/kg, individuell bedömning)</w:t>
      </w:r>
    </w:p>
    <w:p w14:paraId="03F77261" w14:textId="77777777" w:rsidR="00DD67E0" w:rsidRPr="00DD67E0" w:rsidRDefault="00DD67E0" w:rsidP="00DD67E0">
      <w:pPr>
        <w:keepNext/>
        <w:keepLines/>
        <w:overflowPunct w:val="0"/>
        <w:autoSpaceDE w:val="0"/>
        <w:autoSpaceDN w:val="0"/>
        <w:adjustRightInd w:val="0"/>
        <w:spacing w:before="120" w:line="240" w:lineRule="auto"/>
        <w:ind w:left="3033" w:right="0"/>
        <w:textAlignment w:val="baseline"/>
        <w:rPr>
          <w:szCs w:val="20"/>
        </w:rPr>
      </w:pPr>
      <w:r w:rsidRPr="00DD67E0">
        <w:rPr>
          <w:szCs w:val="20"/>
        </w:rPr>
        <w:t xml:space="preserve">Extrados av bensylpc/ doktacillin mitt i första intervallet. </w:t>
      </w:r>
      <w:r w:rsidRPr="00DD67E0">
        <w:rPr>
          <w:szCs w:val="20"/>
        </w:rPr>
        <w:br/>
        <w:t>Nebcinados dag två efter individuell bedömning.</w:t>
      </w:r>
      <w:r w:rsidRPr="00DD67E0">
        <w:rPr>
          <w:szCs w:val="20"/>
        </w:rPr>
        <w:br/>
      </w:r>
    </w:p>
    <w:p w14:paraId="46EB95EE" w14:textId="77777777" w:rsidR="00DD67E0" w:rsidRPr="00DD67E0" w:rsidRDefault="00DD67E0" w:rsidP="00DD67E0">
      <w:pPr>
        <w:keepNext/>
        <w:spacing w:before="200" w:after="60" w:line="240" w:lineRule="auto"/>
        <w:ind w:left="2676" w:right="0"/>
        <w:outlineLvl w:val="2"/>
        <w:rPr>
          <w:rFonts w:ascii="Arial" w:hAnsi="Arial" w:cs="Arial"/>
          <w:b/>
          <w:szCs w:val="26"/>
        </w:rPr>
      </w:pPr>
      <w:bookmarkStart w:id="51" w:name="_Toc523410956"/>
      <w:bookmarkStart w:id="52" w:name="_Toc256000009"/>
      <w:bookmarkStart w:id="53" w:name="_Toc256000024"/>
      <w:bookmarkStart w:id="54" w:name="_Toc256000039"/>
      <w:bookmarkStart w:id="55" w:name="_Toc256000054"/>
      <w:r w:rsidRPr="00DD67E0">
        <w:rPr>
          <w:rFonts w:ascii="Arial" w:hAnsi="Arial" w:cs="Arial"/>
          <w:b/>
          <w:szCs w:val="26"/>
        </w:rPr>
        <w:t>Febril urinvägsinfektion</w:t>
      </w:r>
      <w:bookmarkEnd w:id="51"/>
      <w:bookmarkEnd w:id="52"/>
      <w:bookmarkEnd w:id="53"/>
      <w:bookmarkEnd w:id="54"/>
      <w:bookmarkEnd w:id="55"/>
    </w:p>
    <w:p w14:paraId="56E3A91F" w14:textId="77777777" w:rsidR="00DD67E0" w:rsidRPr="00DD67E0" w:rsidRDefault="00DD67E0" w:rsidP="00DD67E0">
      <w:pPr>
        <w:tabs>
          <w:tab w:val="num" w:pos="3036"/>
        </w:tabs>
        <w:spacing w:after="80" w:line="240" w:lineRule="auto"/>
        <w:ind w:left="3036" w:right="0" w:hanging="360"/>
        <w:rPr>
          <w:szCs w:val="20"/>
        </w:rPr>
      </w:pPr>
      <w:r w:rsidRPr="00DD67E0">
        <w:rPr>
          <w:szCs w:val="20"/>
        </w:rPr>
        <w:t>Nebcina 4,5mg/kg x1</w:t>
      </w:r>
    </w:p>
    <w:p w14:paraId="76DBE60C" w14:textId="77777777" w:rsidR="00DD67E0" w:rsidRPr="00DD67E0" w:rsidRDefault="00DD67E0" w:rsidP="00DD67E0">
      <w:pPr>
        <w:tabs>
          <w:tab w:val="num" w:pos="3036"/>
        </w:tabs>
        <w:spacing w:after="80" w:line="240" w:lineRule="auto"/>
        <w:ind w:left="3036" w:right="0" w:hanging="360"/>
        <w:rPr>
          <w:szCs w:val="20"/>
        </w:rPr>
      </w:pPr>
      <w:r w:rsidRPr="00DD67E0">
        <w:rPr>
          <w:szCs w:val="20"/>
        </w:rPr>
        <w:t>Cefotaxim 1gx3 vid kontraindikation mot Nebcina</w:t>
      </w:r>
      <w:r w:rsidRPr="00DD67E0">
        <w:rPr>
          <w:szCs w:val="20"/>
        </w:rPr>
        <w:br/>
      </w:r>
    </w:p>
    <w:p w14:paraId="6D1547C1" w14:textId="77777777" w:rsidR="00DD67E0" w:rsidRPr="00DD67E0" w:rsidRDefault="00DD67E0" w:rsidP="00DD67E0">
      <w:pPr>
        <w:keepNext/>
        <w:spacing w:before="200" w:after="60" w:line="240" w:lineRule="auto"/>
        <w:ind w:left="2676" w:right="0"/>
        <w:outlineLvl w:val="2"/>
        <w:rPr>
          <w:rFonts w:ascii="Arial" w:hAnsi="Arial" w:cs="Arial"/>
          <w:b/>
          <w:szCs w:val="26"/>
        </w:rPr>
      </w:pPr>
      <w:bookmarkStart w:id="56" w:name="_Toc523410957"/>
      <w:bookmarkStart w:id="57" w:name="_Toc256000010"/>
      <w:bookmarkStart w:id="58" w:name="_Toc256000025"/>
      <w:bookmarkStart w:id="59" w:name="_Toc256000040"/>
      <w:bookmarkStart w:id="60" w:name="_Toc256000055"/>
      <w:r w:rsidRPr="00DD67E0">
        <w:rPr>
          <w:rFonts w:ascii="Arial" w:hAnsi="Arial" w:cs="Arial"/>
          <w:b/>
          <w:szCs w:val="26"/>
        </w:rPr>
        <w:t>Bukinfektion</w:t>
      </w:r>
      <w:bookmarkEnd w:id="56"/>
      <w:bookmarkEnd w:id="57"/>
      <w:bookmarkEnd w:id="58"/>
      <w:bookmarkEnd w:id="59"/>
      <w:bookmarkEnd w:id="60"/>
    </w:p>
    <w:p w14:paraId="646E9871" w14:textId="77777777" w:rsidR="00DD67E0" w:rsidRPr="00DD67E0" w:rsidRDefault="00DD67E0" w:rsidP="00DD67E0">
      <w:pPr>
        <w:keepNext/>
        <w:spacing w:before="120" w:after="20" w:line="240" w:lineRule="auto"/>
        <w:ind w:left="2676" w:right="0"/>
        <w:jc w:val="both"/>
        <w:outlineLvl w:val="3"/>
        <w:rPr>
          <w:rFonts w:ascii="Arial" w:hAnsi="Arial" w:cs="Arial"/>
          <w:b/>
          <w:sz w:val="22"/>
          <w:szCs w:val="20"/>
        </w:rPr>
      </w:pPr>
      <w:r w:rsidRPr="00DD67E0">
        <w:rPr>
          <w:rFonts w:ascii="Arial" w:hAnsi="Arial" w:cs="Arial"/>
          <w:b/>
          <w:sz w:val="22"/>
          <w:szCs w:val="20"/>
        </w:rPr>
        <w:t>Peroperativ profylax</w:t>
      </w:r>
    </w:p>
    <w:p w14:paraId="01DB2575" w14:textId="77777777" w:rsidR="00DD67E0" w:rsidRPr="00DD67E0" w:rsidRDefault="00DD67E0" w:rsidP="00DD67E0">
      <w:pPr>
        <w:tabs>
          <w:tab w:val="num" w:pos="3036"/>
        </w:tabs>
        <w:spacing w:after="80" w:line="240" w:lineRule="auto"/>
        <w:ind w:left="3036" w:right="0" w:hanging="360"/>
        <w:rPr>
          <w:szCs w:val="20"/>
        </w:rPr>
      </w:pPr>
      <w:r w:rsidRPr="00DD67E0">
        <w:rPr>
          <w:szCs w:val="20"/>
        </w:rPr>
        <w:t>Piptaz ska inte användas</w:t>
      </w:r>
    </w:p>
    <w:p w14:paraId="4F38BD63" w14:textId="77777777" w:rsidR="00DD67E0" w:rsidRPr="00DD67E0" w:rsidRDefault="00DD67E0" w:rsidP="00DD67E0">
      <w:pPr>
        <w:keepNext/>
        <w:spacing w:before="260" w:after="20" w:line="240" w:lineRule="auto"/>
        <w:ind w:left="2676" w:right="0"/>
        <w:jc w:val="both"/>
        <w:outlineLvl w:val="3"/>
        <w:rPr>
          <w:rFonts w:ascii="Arial" w:hAnsi="Arial" w:cs="Arial"/>
          <w:b/>
          <w:sz w:val="22"/>
          <w:szCs w:val="20"/>
        </w:rPr>
      </w:pPr>
      <w:r w:rsidRPr="00DD67E0">
        <w:rPr>
          <w:rFonts w:ascii="Arial" w:hAnsi="Arial" w:cs="Arial"/>
          <w:b/>
          <w:sz w:val="22"/>
          <w:szCs w:val="20"/>
        </w:rPr>
        <w:t>Akut cholecystit</w:t>
      </w:r>
    </w:p>
    <w:p w14:paraId="4EC66E89" w14:textId="77777777" w:rsidR="00DD67E0" w:rsidRPr="00DD67E0" w:rsidRDefault="00DD67E0" w:rsidP="00DD67E0">
      <w:pPr>
        <w:overflowPunct w:val="0"/>
        <w:autoSpaceDE w:val="0"/>
        <w:autoSpaceDN w:val="0"/>
        <w:adjustRightInd w:val="0"/>
        <w:spacing w:after="160" w:line="240" w:lineRule="auto"/>
        <w:ind w:left="2676" w:right="0"/>
        <w:textAlignment w:val="baseline"/>
        <w:rPr>
          <w:szCs w:val="20"/>
        </w:rPr>
      </w:pPr>
      <w:r w:rsidRPr="00DD67E0">
        <w:rPr>
          <w:szCs w:val="20"/>
        </w:rPr>
        <w:t>Akut cholecystit är inte alltid bakteriell men peroperativ profylax rekommenderas i allmänhet.</w:t>
      </w:r>
    </w:p>
    <w:p w14:paraId="2D8B5A02" w14:textId="77777777" w:rsidR="00DD67E0" w:rsidRPr="00DD67E0" w:rsidRDefault="00DD67E0" w:rsidP="00DD67E0">
      <w:pPr>
        <w:tabs>
          <w:tab w:val="num" w:pos="3036"/>
        </w:tabs>
        <w:spacing w:after="80" w:line="240" w:lineRule="auto"/>
        <w:ind w:left="3036" w:right="0" w:hanging="360"/>
        <w:rPr>
          <w:szCs w:val="20"/>
        </w:rPr>
      </w:pPr>
      <w:r w:rsidRPr="00DD67E0">
        <w:rPr>
          <w:szCs w:val="20"/>
        </w:rPr>
        <w:t>Eusaprim 10 ml kan vara tillfyllest och ibland med tillägg av metro</w:t>
      </w:r>
      <w:r w:rsidRPr="00DD67E0">
        <w:rPr>
          <w:szCs w:val="20"/>
        </w:rPr>
        <w:softHyphen/>
        <w:t>nidazol 1,5 g vid komplicerad sjukdomsbild och misstanke om anaerob infektion</w:t>
      </w:r>
    </w:p>
    <w:p w14:paraId="5608C934" w14:textId="77777777" w:rsidR="00DD67E0" w:rsidRPr="00DD67E0" w:rsidRDefault="00DD67E0" w:rsidP="00DD67E0">
      <w:pPr>
        <w:keepNext/>
        <w:spacing w:before="260" w:after="20" w:line="240" w:lineRule="auto"/>
        <w:ind w:left="2676" w:right="0"/>
        <w:jc w:val="both"/>
        <w:outlineLvl w:val="3"/>
        <w:rPr>
          <w:rFonts w:ascii="Arial" w:hAnsi="Arial" w:cs="Arial"/>
          <w:b/>
          <w:sz w:val="22"/>
          <w:szCs w:val="20"/>
        </w:rPr>
      </w:pPr>
      <w:r w:rsidRPr="00DD67E0">
        <w:rPr>
          <w:rFonts w:ascii="Arial" w:hAnsi="Arial" w:cs="Arial"/>
          <w:b/>
          <w:sz w:val="22"/>
          <w:szCs w:val="20"/>
        </w:rPr>
        <w:t>Komplicerad infektion i gallvägar/cholangit</w:t>
      </w:r>
    </w:p>
    <w:p w14:paraId="2A1BBEDC" w14:textId="77777777" w:rsidR="00DD67E0" w:rsidRPr="00DD67E0" w:rsidRDefault="00DD67E0" w:rsidP="00DD67E0">
      <w:pPr>
        <w:tabs>
          <w:tab w:val="num" w:pos="3036"/>
        </w:tabs>
        <w:spacing w:after="80" w:line="240" w:lineRule="auto"/>
        <w:ind w:left="3036" w:right="0" w:hanging="360"/>
        <w:rPr>
          <w:szCs w:val="20"/>
        </w:rPr>
      </w:pPr>
      <w:r w:rsidRPr="00DD67E0">
        <w:rPr>
          <w:szCs w:val="20"/>
        </w:rPr>
        <w:t>Cefotaxim 1-2gx3 + metronidazol 1,5 g dag 1, sedan 1gx1</w:t>
      </w:r>
    </w:p>
    <w:p w14:paraId="0575D824" w14:textId="77777777" w:rsidR="00DD67E0" w:rsidRPr="00DD67E0" w:rsidRDefault="00DD67E0" w:rsidP="00DD67E0">
      <w:pPr>
        <w:tabs>
          <w:tab w:val="num" w:pos="3036"/>
        </w:tabs>
        <w:spacing w:after="80" w:line="240" w:lineRule="auto"/>
        <w:ind w:left="3036" w:right="0" w:hanging="360"/>
        <w:rPr>
          <w:szCs w:val="20"/>
        </w:rPr>
      </w:pPr>
      <w:r w:rsidRPr="00DD67E0">
        <w:rPr>
          <w:szCs w:val="20"/>
        </w:rPr>
        <w:t>Meropenem 1gx3 vid allvarlig sjukdomsbild</w:t>
      </w:r>
    </w:p>
    <w:p w14:paraId="14F184DE" w14:textId="77777777" w:rsidR="00DD67E0" w:rsidRPr="00DD67E0" w:rsidRDefault="00DD67E0" w:rsidP="00DD67E0">
      <w:pPr>
        <w:keepNext/>
        <w:spacing w:before="260" w:after="20" w:line="240" w:lineRule="auto"/>
        <w:ind w:left="2676" w:right="0"/>
        <w:jc w:val="both"/>
        <w:outlineLvl w:val="3"/>
        <w:rPr>
          <w:rFonts w:ascii="Arial" w:hAnsi="Arial" w:cs="Arial"/>
          <w:b/>
          <w:sz w:val="22"/>
          <w:szCs w:val="20"/>
        </w:rPr>
      </w:pPr>
      <w:r w:rsidRPr="00DD67E0">
        <w:rPr>
          <w:rFonts w:ascii="Arial" w:hAnsi="Arial" w:cs="Arial"/>
          <w:b/>
          <w:sz w:val="22"/>
          <w:szCs w:val="20"/>
        </w:rPr>
        <w:t>Divertikulit; opåverkad patient utan abscess</w:t>
      </w:r>
    </w:p>
    <w:p w14:paraId="1082FD70" w14:textId="77777777" w:rsidR="00DD67E0" w:rsidRPr="00DD67E0" w:rsidRDefault="00DD67E0" w:rsidP="00DD67E0">
      <w:pPr>
        <w:tabs>
          <w:tab w:val="num" w:pos="3036"/>
        </w:tabs>
        <w:spacing w:after="80" w:line="240" w:lineRule="auto"/>
        <w:ind w:left="3036" w:right="0" w:hanging="360"/>
        <w:rPr>
          <w:szCs w:val="20"/>
        </w:rPr>
      </w:pPr>
      <w:r w:rsidRPr="00DD67E0">
        <w:rPr>
          <w:szCs w:val="20"/>
        </w:rPr>
        <w:t>Ingen antibiotikabehandling</w:t>
      </w:r>
    </w:p>
    <w:p w14:paraId="0C415B6D" w14:textId="77777777" w:rsidR="00DD67E0" w:rsidRPr="00DD67E0" w:rsidRDefault="00DD67E0" w:rsidP="00DD67E0">
      <w:pPr>
        <w:keepNext/>
        <w:spacing w:before="260" w:after="20" w:line="240" w:lineRule="auto"/>
        <w:ind w:left="2676" w:right="0"/>
        <w:jc w:val="both"/>
        <w:outlineLvl w:val="3"/>
        <w:rPr>
          <w:rFonts w:ascii="Arial" w:hAnsi="Arial" w:cs="Arial"/>
          <w:b/>
          <w:sz w:val="22"/>
          <w:szCs w:val="20"/>
        </w:rPr>
      </w:pPr>
      <w:r w:rsidRPr="00DD67E0">
        <w:rPr>
          <w:rFonts w:ascii="Arial" w:hAnsi="Arial" w:cs="Arial"/>
          <w:b/>
          <w:sz w:val="22"/>
          <w:szCs w:val="20"/>
        </w:rPr>
        <w:lastRenderedPageBreak/>
        <w:t>Divertikulit med bukabscess eller annan akut bukinfektion med behov av intravenös antibiotikabehandling</w:t>
      </w:r>
    </w:p>
    <w:p w14:paraId="425D1EBE" w14:textId="77777777" w:rsidR="00DD67E0" w:rsidRPr="00DD67E0" w:rsidRDefault="00DD67E0" w:rsidP="00DD67E0">
      <w:pPr>
        <w:overflowPunct w:val="0"/>
        <w:autoSpaceDE w:val="0"/>
        <w:autoSpaceDN w:val="0"/>
        <w:adjustRightInd w:val="0"/>
        <w:spacing w:after="160" w:line="240" w:lineRule="auto"/>
        <w:ind w:left="2676" w:right="0"/>
        <w:textAlignment w:val="baseline"/>
        <w:rPr>
          <w:szCs w:val="20"/>
        </w:rPr>
      </w:pPr>
      <w:r w:rsidRPr="00DD67E0">
        <w:rPr>
          <w:szCs w:val="20"/>
        </w:rPr>
        <w:t>Individuell bedömning i beroende på allvarlighetsgrad.</w:t>
      </w:r>
    </w:p>
    <w:p w14:paraId="09713711" w14:textId="77777777" w:rsidR="00DD67E0" w:rsidRPr="00DD67E0" w:rsidRDefault="00DD67E0" w:rsidP="00DD67E0">
      <w:pPr>
        <w:tabs>
          <w:tab w:val="num" w:pos="3036"/>
        </w:tabs>
        <w:spacing w:after="80" w:line="240" w:lineRule="auto"/>
        <w:ind w:left="3036" w:right="0" w:hanging="360"/>
        <w:rPr>
          <w:szCs w:val="20"/>
        </w:rPr>
      </w:pPr>
      <w:r w:rsidRPr="00DD67E0">
        <w:rPr>
          <w:szCs w:val="20"/>
        </w:rPr>
        <w:t>Cefotaxim 1-2gx3 + metronidazol 1,5 g dag 1, sedan 1gx1</w:t>
      </w:r>
    </w:p>
    <w:p w14:paraId="575A4B0F" w14:textId="77777777" w:rsidR="00DD67E0" w:rsidRPr="00DD67E0" w:rsidRDefault="00DD67E0" w:rsidP="00DD67E0">
      <w:pPr>
        <w:tabs>
          <w:tab w:val="num" w:pos="3036"/>
        </w:tabs>
        <w:spacing w:after="80" w:line="240" w:lineRule="auto"/>
        <w:ind w:left="3036" w:right="0" w:hanging="360"/>
        <w:rPr>
          <w:szCs w:val="20"/>
        </w:rPr>
      </w:pPr>
      <w:r w:rsidRPr="00DD67E0">
        <w:rPr>
          <w:szCs w:val="20"/>
        </w:rPr>
        <w:t>Meropenem 1gx3 vid allvarlig sjukdomsbild</w:t>
      </w:r>
    </w:p>
    <w:p w14:paraId="3DFE6E05" w14:textId="77777777" w:rsidR="00DD67E0" w:rsidRPr="00DD67E0" w:rsidRDefault="00DD67E0" w:rsidP="00DD67E0">
      <w:pPr>
        <w:keepNext/>
        <w:keepLines/>
        <w:spacing w:before="200" w:after="60" w:line="240" w:lineRule="auto"/>
        <w:ind w:left="2676" w:right="0"/>
        <w:outlineLvl w:val="2"/>
        <w:rPr>
          <w:rFonts w:ascii="Arial" w:hAnsi="Arial" w:cs="Arial"/>
          <w:b/>
          <w:szCs w:val="26"/>
        </w:rPr>
      </w:pPr>
      <w:bookmarkStart w:id="61" w:name="_Toc523410958"/>
      <w:bookmarkStart w:id="62" w:name="_Toc256000011"/>
      <w:bookmarkStart w:id="63" w:name="_Toc256000026"/>
      <w:bookmarkStart w:id="64" w:name="_Toc256000041"/>
      <w:bookmarkStart w:id="65" w:name="_Toc256000056"/>
      <w:r w:rsidRPr="00DD67E0">
        <w:rPr>
          <w:rFonts w:ascii="Arial" w:hAnsi="Arial" w:cs="Arial"/>
          <w:b/>
          <w:szCs w:val="26"/>
        </w:rPr>
        <w:t>Pneumoni</w:t>
      </w:r>
      <w:bookmarkEnd w:id="61"/>
      <w:bookmarkEnd w:id="62"/>
      <w:bookmarkEnd w:id="63"/>
      <w:bookmarkEnd w:id="64"/>
      <w:bookmarkEnd w:id="65"/>
    </w:p>
    <w:p w14:paraId="64CF7B0C" w14:textId="77777777" w:rsidR="00DD67E0" w:rsidRPr="00DD67E0" w:rsidRDefault="00DD67E0" w:rsidP="00DD67E0">
      <w:pPr>
        <w:keepNext/>
        <w:keepLines/>
        <w:spacing w:before="120" w:after="20" w:line="240" w:lineRule="auto"/>
        <w:ind w:left="2676" w:right="0"/>
        <w:jc w:val="both"/>
        <w:outlineLvl w:val="3"/>
        <w:rPr>
          <w:rFonts w:ascii="Arial" w:hAnsi="Arial" w:cs="Arial"/>
          <w:b/>
          <w:sz w:val="22"/>
          <w:szCs w:val="20"/>
        </w:rPr>
      </w:pPr>
      <w:r w:rsidRPr="00DD67E0">
        <w:rPr>
          <w:rFonts w:ascii="Arial" w:hAnsi="Arial" w:cs="Arial"/>
          <w:b/>
          <w:sz w:val="22"/>
          <w:szCs w:val="20"/>
        </w:rPr>
        <w:t>Samhällsförvärvad pneumoni på IVA</w:t>
      </w:r>
    </w:p>
    <w:p w14:paraId="06B07546" w14:textId="77777777" w:rsidR="00DD67E0" w:rsidRPr="00DD67E0" w:rsidRDefault="00DD67E0" w:rsidP="00DD67E0">
      <w:pPr>
        <w:keepNext/>
        <w:keepLines/>
        <w:tabs>
          <w:tab w:val="num" w:pos="3036"/>
        </w:tabs>
        <w:spacing w:after="80" w:line="240" w:lineRule="auto"/>
        <w:ind w:left="3036" w:right="0" w:hanging="360"/>
        <w:rPr>
          <w:szCs w:val="20"/>
        </w:rPr>
      </w:pPr>
      <w:r w:rsidRPr="00DD67E0">
        <w:rPr>
          <w:szCs w:val="20"/>
        </w:rPr>
        <w:t xml:space="preserve">Piptaz 4gx4 </w:t>
      </w:r>
    </w:p>
    <w:p w14:paraId="3A8F9FD9" w14:textId="77777777" w:rsidR="00DD67E0" w:rsidRPr="00DD67E0" w:rsidRDefault="00DD67E0" w:rsidP="00DD67E0">
      <w:pPr>
        <w:keepNext/>
        <w:keepLines/>
        <w:spacing w:before="60" w:after="60" w:line="240" w:lineRule="auto"/>
        <w:ind w:left="3033" w:right="0"/>
        <w:rPr>
          <w:szCs w:val="20"/>
        </w:rPr>
      </w:pPr>
      <w:r w:rsidRPr="00DD67E0">
        <w:rPr>
          <w:szCs w:val="20"/>
        </w:rPr>
        <w:t>+</w:t>
      </w:r>
    </w:p>
    <w:p w14:paraId="32F4221F" w14:textId="77777777" w:rsidR="00DD67E0" w:rsidRPr="00DD67E0" w:rsidRDefault="00DD67E0" w:rsidP="00DD67E0">
      <w:pPr>
        <w:keepNext/>
        <w:keepLines/>
        <w:tabs>
          <w:tab w:val="num" w:pos="3036"/>
        </w:tabs>
        <w:spacing w:after="80" w:line="240" w:lineRule="auto"/>
        <w:ind w:left="3036" w:right="0" w:hanging="360"/>
        <w:rPr>
          <w:szCs w:val="20"/>
        </w:rPr>
      </w:pPr>
      <w:r w:rsidRPr="00DD67E0">
        <w:rPr>
          <w:szCs w:val="20"/>
        </w:rPr>
        <w:t>Abboticin 1gx3</w:t>
      </w:r>
    </w:p>
    <w:p w14:paraId="5ACDD461" w14:textId="77777777" w:rsidR="00DD67E0" w:rsidRPr="00DD67E0" w:rsidRDefault="00DD67E0" w:rsidP="00DD67E0">
      <w:pPr>
        <w:spacing w:before="160" w:after="160" w:line="240" w:lineRule="auto"/>
        <w:ind w:left="2676" w:right="0"/>
        <w:rPr>
          <w:szCs w:val="20"/>
        </w:rPr>
      </w:pPr>
      <w:r w:rsidRPr="00DD67E0">
        <w:rPr>
          <w:szCs w:val="20"/>
        </w:rPr>
        <w:t>ELLER (om piptaz ej finns att tillgå)</w:t>
      </w:r>
    </w:p>
    <w:p w14:paraId="25597444" w14:textId="77777777" w:rsidR="00DD67E0" w:rsidRPr="00DD67E0" w:rsidRDefault="00DD67E0" w:rsidP="00DD67E0">
      <w:pPr>
        <w:keepNext/>
        <w:keepLines/>
        <w:tabs>
          <w:tab w:val="num" w:pos="3036"/>
        </w:tabs>
        <w:spacing w:after="80" w:line="240" w:lineRule="auto"/>
        <w:ind w:left="3036" w:right="0" w:hanging="360"/>
        <w:rPr>
          <w:szCs w:val="20"/>
        </w:rPr>
      </w:pPr>
      <w:r w:rsidRPr="00DD67E0">
        <w:rPr>
          <w:szCs w:val="20"/>
        </w:rPr>
        <w:t xml:space="preserve">Bensylpc 3gx4 </w:t>
      </w:r>
    </w:p>
    <w:p w14:paraId="73CE252C" w14:textId="77777777" w:rsidR="00DD67E0" w:rsidRPr="00DD67E0" w:rsidRDefault="00DD67E0" w:rsidP="00DD67E0">
      <w:pPr>
        <w:keepNext/>
        <w:keepLines/>
        <w:spacing w:before="60" w:after="60" w:line="240" w:lineRule="auto"/>
        <w:ind w:left="3033" w:right="0"/>
        <w:rPr>
          <w:szCs w:val="20"/>
        </w:rPr>
      </w:pPr>
      <w:r w:rsidRPr="00DD67E0">
        <w:rPr>
          <w:szCs w:val="20"/>
        </w:rPr>
        <w:t>+</w:t>
      </w:r>
    </w:p>
    <w:p w14:paraId="46750C55" w14:textId="77777777" w:rsidR="00DD67E0" w:rsidRPr="00DD67E0" w:rsidRDefault="00DD67E0" w:rsidP="00DD67E0">
      <w:pPr>
        <w:keepNext/>
        <w:keepLines/>
        <w:tabs>
          <w:tab w:val="num" w:pos="3036"/>
        </w:tabs>
        <w:spacing w:after="80" w:line="240" w:lineRule="auto"/>
        <w:ind w:left="3036" w:right="0" w:hanging="360"/>
        <w:rPr>
          <w:szCs w:val="20"/>
        </w:rPr>
      </w:pPr>
      <w:r w:rsidRPr="00DD67E0">
        <w:rPr>
          <w:szCs w:val="20"/>
        </w:rPr>
        <w:t>Avelox 400 mgx1</w:t>
      </w:r>
    </w:p>
    <w:p w14:paraId="136702C1" w14:textId="77777777" w:rsidR="00DD67E0" w:rsidRPr="00DD67E0" w:rsidRDefault="00DD67E0" w:rsidP="00DD67E0">
      <w:pPr>
        <w:spacing w:before="160" w:after="160" w:line="240" w:lineRule="auto"/>
        <w:ind w:left="2676" w:right="0"/>
        <w:rPr>
          <w:szCs w:val="20"/>
        </w:rPr>
      </w:pPr>
      <w:r w:rsidRPr="00DD67E0">
        <w:rPr>
          <w:szCs w:val="20"/>
        </w:rPr>
        <w:t>ELLER</w:t>
      </w:r>
    </w:p>
    <w:p w14:paraId="71E172D6" w14:textId="77777777" w:rsidR="00DD67E0" w:rsidRPr="00DD67E0" w:rsidRDefault="00DD67E0" w:rsidP="00DD67E0">
      <w:pPr>
        <w:keepNext/>
        <w:keepLines/>
        <w:tabs>
          <w:tab w:val="num" w:pos="3036"/>
        </w:tabs>
        <w:spacing w:after="80" w:line="240" w:lineRule="auto"/>
        <w:ind w:left="3036" w:right="0" w:hanging="360"/>
        <w:rPr>
          <w:szCs w:val="20"/>
        </w:rPr>
      </w:pPr>
      <w:r w:rsidRPr="00DD67E0">
        <w:rPr>
          <w:szCs w:val="20"/>
        </w:rPr>
        <w:t xml:space="preserve">Meropenem 1gx3 </w:t>
      </w:r>
    </w:p>
    <w:p w14:paraId="70FF7BF1" w14:textId="77777777" w:rsidR="00DD67E0" w:rsidRPr="00DD67E0" w:rsidRDefault="00DD67E0" w:rsidP="00DD67E0">
      <w:pPr>
        <w:keepNext/>
        <w:keepLines/>
        <w:spacing w:before="60" w:after="60" w:line="240" w:lineRule="auto"/>
        <w:ind w:left="3033" w:right="0"/>
        <w:rPr>
          <w:szCs w:val="20"/>
        </w:rPr>
      </w:pPr>
      <w:r w:rsidRPr="00DD67E0">
        <w:rPr>
          <w:szCs w:val="20"/>
        </w:rPr>
        <w:t>+</w:t>
      </w:r>
    </w:p>
    <w:p w14:paraId="1442C4AA" w14:textId="77777777" w:rsidR="00DD67E0" w:rsidRPr="00DD67E0" w:rsidRDefault="00DD67E0" w:rsidP="00DD67E0">
      <w:pPr>
        <w:keepNext/>
        <w:keepLines/>
        <w:tabs>
          <w:tab w:val="num" w:pos="3036"/>
        </w:tabs>
        <w:spacing w:after="80" w:line="240" w:lineRule="auto"/>
        <w:ind w:left="3036" w:right="0" w:hanging="360"/>
        <w:rPr>
          <w:szCs w:val="20"/>
        </w:rPr>
      </w:pPr>
      <w:r w:rsidRPr="00DD67E0">
        <w:rPr>
          <w:szCs w:val="20"/>
        </w:rPr>
        <w:t>Abboticin 1gx3</w:t>
      </w:r>
    </w:p>
    <w:p w14:paraId="607F67D3" w14:textId="77777777" w:rsidR="00DD67E0" w:rsidRPr="00DD67E0" w:rsidRDefault="00DD67E0" w:rsidP="00DD67E0">
      <w:pPr>
        <w:spacing w:before="160" w:after="160" w:line="240" w:lineRule="auto"/>
        <w:ind w:left="2676" w:right="0"/>
        <w:rPr>
          <w:szCs w:val="20"/>
        </w:rPr>
      </w:pPr>
      <w:r w:rsidRPr="00DD67E0">
        <w:rPr>
          <w:szCs w:val="20"/>
        </w:rPr>
        <w:t>Extrados av piptaz/ meropenem mitt i första intervallet.</w:t>
      </w:r>
    </w:p>
    <w:p w14:paraId="12BF0117" w14:textId="77777777" w:rsidR="00DD67E0" w:rsidRPr="00DD67E0" w:rsidRDefault="00DD67E0" w:rsidP="00DD67E0">
      <w:pPr>
        <w:keepNext/>
        <w:spacing w:before="260" w:after="20" w:line="240" w:lineRule="auto"/>
        <w:ind w:left="2676" w:right="0"/>
        <w:jc w:val="both"/>
        <w:outlineLvl w:val="3"/>
        <w:rPr>
          <w:rFonts w:ascii="Arial" w:hAnsi="Arial" w:cs="Arial"/>
          <w:b/>
          <w:sz w:val="22"/>
          <w:szCs w:val="20"/>
        </w:rPr>
      </w:pPr>
      <w:r w:rsidRPr="00DD67E0">
        <w:rPr>
          <w:rFonts w:ascii="Arial" w:hAnsi="Arial" w:cs="Arial"/>
          <w:b/>
          <w:sz w:val="22"/>
          <w:szCs w:val="20"/>
        </w:rPr>
        <w:t>Vårdrelaterad pneumoni på vårdavdelning</w:t>
      </w:r>
    </w:p>
    <w:p w14:paraId="4499975D" w14:textId="77777777" w:rsidR="00DD67E0" w:rsidRPr="00DD67E0" w:rsidRDefault="00DD67E0" w:rsidP="00DD67E0">
      <w:pPr>
        <w:overflowPunct w:val="0"/>
        <w:autoSpaceDE w:val="0"/>
        <w:autoSpaceDN w:val="0"/>
        <w:adjustRightInd w:val="0"/>
        <w:spacing w:after="160" w:line="240" w:lineRule="auto"/>
        <w:ind w:left="2676" w:right="0"/>
        <w:textAlignment w:val="baseline"/>
        <w:rPr>
          <w:szCs w:val="20"/>
        </w:rPr>
      </w:pPr>
      <w:r w:rsidRPr="00DD67E0">
        <w:rPr>
          <w:szCs w:val="20"/>
        </w:rPr>
        <w:t>Individuell bedömning i beroende på allvarlighetsgrad.</w:t>
      </w:r>
    </w:p>
    <w:p w14:paraId="5350939D" w14:textId="77777777" w:rsidR="00DD67E0" w:rsidRPr="00DD67E0" w:rsidRDefault="00DD67E0" w:rsidP="00DD67E0">
      <w:pPr>
        <w:tabs>
          <w:tab w:val="num" w:pos="3036"/>
        </w:tabs>
        <w:spacing w:after="80" w:line="240" w:lineRule="auto"/>
        <w:ind w:left="3036" w:right="0" w:hanging="360"/>
        <w:rPr>
          <w:szCs w:val="20"/>
        </w:rPr>
      </w:pPr>
      <w:r w:rsidRPr="00DD67E0">
        <w:rPr>
          <w:szCs w:val="20"/>
        </w:rPr>
        <w:t xml:space="preserve">Cefotaxim 1-2gx3 </w:t>
      </w:r>
    </w:p>
    <w:p w14:paraId="553BDD27" w14:textId="77777777" w:rsidR="00DD67E0" w:rsidRPr="00DD67E0" w:rsidRDefault="00DD67E0" w:rsidP="00DD67E0">
      <w:pPr>
        <w:tabs>
          <w:tab w:val="num" w:pos="3036"/>
        </w:tabs>
        <w:spacing w:after="80" w:line="240" w:lineRule="auto"/>
        <w:ind w:left="3036" w:right="0" w:hanging="360"/>
        <w:rPr>
          <w:szCs w:val="20"/>
        </w:rPr>
      </w:pPr>
      <w:r w:rsidRPr="00DD67E0">
        <w:rPr>
          <w:szCs w:val="20"/>
        </w:rPr>
        <w:t>Meropenem 1gx3 vid allvarlig sjukdomsbild</w:t>
      </w:r>
    </w:p>
    <w:p w14:paraId="74A00951" w14:textId="77777777" w:rsidR="00DD67E0" w:rsidRPr="00DD67E0" w:rsidRDefault="00DD67E0" w:rsidP="00DD67E0">
      <w:pPr>
        <w:keepNext/>
        <w:spacing w:before="260" w:after="20" w:line="240" w:lineRule="auto"/>
        <w:ind w:left="2676" w:right="0"/>
        <w:jc w:val="both"/>
        <w:outlineLvl w:val="3"/>
        <w:rPr>
          <w:rFonts w:ascii="Arial" w:hAnsi="Arial" w:cs="Arial"/>
          <w:b/>
          <w:sz w:val="22"/>
          <w:szCs w:val="20"/>
        </w:rPr>
      </w:pPr>
      <w:r w:rsidRPr="00DD67E0">
        <w:rPr>
          <w:rFonts w:ascii="Arial" w:hAnsi="Arial" w:cs="Arial"/>
          <w:b/>
          <w:sz w:val="22"/>
          <w:szCs w:val="20"/>
        </w:rPr>
        <w:t>Vårdrelaterad pneumoni på IVA</w:t>
      </w:r>
    </w:p>
    <w:p w14:paraId="3A9254B3" w14:textId="77777777" w:rsidR="00DD67E0" w:rsidRPr="00DD67E0" w:rsidRDefault="00DD67E0" w:rsidP="00DD67E0">
      <w:pPr>
        <w:tabs>
          <w:tab w:val="num" w:pos="3036"/>
        </w:tabs>
        <w:spacing w:after="80" w:line="240" w:lineRule="auto"/>
        <w:ind w:left="3036" w:right="0" w:hanging="360"/>
        <w:rPr>
          <w:szCs w:val="20"/>
        </w:rPr>
      </w:pPr>
      <w:r w:rsidRPr="00DD67E0">
        <w:rPr>
          <w:szCs w:val="20"/>
        </w:rPr>
        <w:t>Meropenem 1gx3</w:t>
      </w:r>
      <w:r w:rsidRPr="00DD67E0">
        <w:rPr>
          <w:szCs w:val="20"/>
        </w:rPr>
        <w:br/>
      </w:r>
    </w:p>
    <w:p w14:paraId="1AC81CA3" w14:textId="77777777" w:rsidR="00DD67E0" w:rsidRPr="00DD67E0" w:rsidRDefault="00DD67E0" w:rsidP="00DD67E0">
      <w:pPr>
        <w:keepNext/>
        <w:spacing w:before="320" w:after="60" w:line="240" w:lineRule="auto"/>
        <w:ind w:left="2676" w:right="0"/>
        <w:outlineLvl w:val="1"/>
        <w:rPr>
          <w:rFonts w:ascii="Arial" w:hAnsi="Arial" w:cs="Arial"/>
          <w:bCs/>
          <w:iCs/>
          <w:sz w:val="28"/>
          <w:szCs w:val="28"/>
        </w:rPr>
      </w:pPr>
      <w:bookmarkStart w:id="66" w:name="_Toc419881178"/>
      <w:bookmarkStart w:id="67" w:name="_Toc523410959"/>
      <w:bookmarkStart w:id="68" w:name="_Toc256000012"/>
      <w:bookmarkStart w:id="69" w:name="_Toc256000027"/>
      <w:bookmarkStart w:id="70" w:name="_Toc256000042"/>
      <w:bookmarkStart w:id="71" w:name="_Toc256000057"/>
      <w:r w:rsidRPr="00DD67E0">
        <w:rPr>
          <w:rFonts w:ascii="Arial" w:hAnsi="Arial" w:cs="Arial"/>
          <w:bCs/>
          <w:iCs/>
          <w:sz w:val="28"/>
          <w:szCs w:val="28"/>
        </w:rPr>
        <w:t>Uppföljning</w:t>
      </w:r>
      <w:bookmarkEnd w:id="66"/>
      <w:bookmarkEnd w:id="67"/>
      <w:bookmarkEnd w:id="68"/>
      <w:bookmarkEnd w:id="69"/>
      <w:bookmarkEnd w:id="70"/>
      <w:bookmarkEnd w:id="71"/>
    </w:p>
    <w:p w14:paraId="09FF693E" w14:textId="77777777" w:rsidR="00DD67E0" w:rsidRPr="00DD67E0" w:rsidRDefault="00DD67E0" w:rsidP="00DD67E0">
      <w:pPr>
        <w:tabs>
          <w:tab w:val="left" w:pos="7619"/>
        </w:tabs>
        <w:spacing w:after="160" w:line="240" w:lineRule="auto"/>
        <w:ind w:left="2676" w:right="0"/>
        <w:rPr>
          <w:szCs w:val="20"/>
        </w:rPr>
      </w:pPr>
      <w:r w:rsidRPr="00DD67E0">
        <w:rPr>
          <w:szCs w:val="20"/>
        </w:rPr>
        <w:t>Sjukhusapoteket ansvarar för kontinuerlig uppföljning av leveransläget och Strama-läkare Anders Lundqvist för revision av rekommendationer vid behov vid förändrad tillgång på antibiotika.</w:t>
      </w:r>
      <w:bookmarkStart w:id="72" w:name="_Toc182366122"/>
      <w:bookmarkStart w:id="73" w:name="_Toc419881179"/>
    </w:p>
    <w:p w14:paraId="267522B4" w14:textId="77777777" w:rsidR="00DD67E0" w:rsidRPr="00DD67E0" w:rsidRDefault="00DD67E0" w:rsidP="00DD67E0">
      <w:pPr>
        <w:keepNext/>
        <w:keepLines/>
        <w:spacing w:line="240" w:lineRule="auto"/>
        <w:ind w:left="2676" w:right="0"/>
        <w:outlineLvl w:val="0"/>
        <w:rPr>
          <w:rFonts w:ascii="Arial" w:hAnsi="Arial"/>
          <w:kern w:val="32"/>
          <w:sz w:val="32"/>
          <w:szCs w:val="20"/>
        </w:rPr>
      </w:pPr>
      <w:bookmarkStart w:id="74" w:name="_Toc523410960"/>
      <w:bookmarkStart w:id="75" w:name="_Toc256000013"/>
      <w:bookmarkStart w:id="76" w:name="_Toc256000028"/>
      <w:bookmarkStart w:id="77" w:name="_Toc256000043"/>
      <w:bookmarkStart w:id="78" w:name="_Toc256000058"/>
      <w:r w:rsidRPr="00DD67E0">
        <w:rPr>
          <w:rFonts w:ascii="Arial" w:hAnsi="Arial"/>
          <w:kern w:val="32"/>
          <w:sz w:val="32"/>
          <w:szCs w:val="20"/>
        </w:rPr>
        <w:lastRenderedPageBreak/>
        <w:t>Dokumentinformation</w:t>
      </w:r>
      <w:bookmarkEnd w:id="72"/>
      <w:bookmarkEnd w:id="73"/>
      <w:bookmarkEnd w:id="74"/>
      <w:bookmarkEnd w:id="75"/>
      <w:bookmarkEnd w:id="76"/>
      <w:bookmarkEnd w:id="77"/>
      <w:bookmarkEnd w:id="78"/>
    </w:p>
    <w:p w14:paraId="76C10930" w14:textId="77777777" w:rsidR="00DD67E0" w:rsidRPr="00DD67E0" w:rsidRDefault="00DD67E0" w:rsidP="00DD67E0">
      <w:pPr>
        <w:keepNext/>
        <w:keepLines/>
        <w:spacing w:before="20" w:after="20" w:line="240" w:lineRule="auto"/>
        <w:ind w:left="2676" w:right="0"/>
        <w:outlineLvl w:val="8"/>
        <w:rPr>
          <w:rFonts w:ascii="Arial" w:hAnsi="Arial" w:cs="Arial"/>
          <w:sz w:val="22"/>
        </w:rPr>
      </w:pPr>
      <w:r w:rsidRPr="00DD67E0">
        <w:rPr>
          <w:rFonts w:ascii="Arial" w:hAnsi="Arial" w:cs="Arial"/>
          <w:sz w:val="22"/>
          <w:szCs w:val="22"/>
        </w:rPr>
        <w:t>För innehållet svarar</w:t>
      </w:r>
    </w:p>
    <w:p w14:paraId="668A604F" w14:textId="77777777" w:rsidR="00DD67E0" w:rsidRPr="00DD67E0" w:rsidRDefault="00DD67E0" w:rsidP="00DD67E0">
      <w:pPr>
        <w:keepNext/>
        <w:keepLines/>
        <w:spacing w:after="160" w:line="240" w:lineRule="auto"/>
        <w:ind w:left="2676" w:right="0"/>
        <w:rPr>
          <w:szCs w:val="20"/>
        </w:rPr>
      </w:pPr>
      <w:bookmarkStart w:id="79" w:name="_Toc149035757"/>
      <w:bookmarkStart w:id="80" w:name="_Toc149978547"/>
      <w:r w:rsidRPr="00DD67E0">
        <w:rPr>
          <w:szCs w:val="20"/>
        </w:rPr>
        <w:t>Anders Lundqvist, överläkare/Stramaläkare, SÄS</w:t>
      </w:r>
    </w:p>
    <w:p w14:paraId="659DA9DD" w14:textId="77777777" w:rsidR="00DD67E0" w:rsidRPr="00DD67E0" w:rsidRDefault="00DD67E0" w:rsidP="00DD67E0">
      <w:pPr>
        <w:keepNext/>
        <w:keepLines/>
        <w:spacing w:before="20" w:after="20" w:line="240" w:lineRule="auto"/>
        <w:ind w:left="2676" w:right="0"/>
        <w:outlineLvl w:val="8"/>
        <w:rPr>
          <w:rFonts w:ascii="Arial" w:hAnsi="Arial" w:cs="Arial"/>
          <w:sz w:val="22"/>
          <w:szCs w:val="22"/>
        </w:rPr>
      </w:pPr>
      <w:r w:rsidRPr="00DD67E0">
        <w:rPr>
          <w:rFonts w:ascii="Arial" w:hAnsi="Arial" w:cs="Arial"/>
          <w:sz w:val="22"/>
          <w:szCs w:val="22"/>
        </w:rPr>
        <w:t>Remissinstanser</w:t>
      </w:r>
      <w:bookmarkEnd w:id="79"/>
      <w:bookmarkEnd w:id="80"/>
    </w:p>
    <w:p w14:paraId="6C8A6417" w14:textId="77777777" w:rsidR="00DD67E0" w:rsidRPr="00DD67E0" w:rsidRDefault="00DD67E0" w:rsidP="00DD67E0">
      <w:pPr>
        <w:keepNext/>
        <w:keepLines/>
        <w:tabs>
          <w:tab w:val="num" w:pos="3036"/>
        </w:tabs>
        <w:spacing w:after="80" w:line="240" w:lineRule="auto"/>
        <w:ind w:left="3036" w:right="0" w:hanging="360"/>
        <w:rPr>
          <w:szCs w:val="20"/>
        </w:rPr>
      </w:pPr>
      <w:r w:rsidRPr="00DD67E0">
        <w:rPr>
          <w:szCs w:val="20"/>
        </w:rPr>
        <w:t>Rolf Jungnelius, verksamhetschef, klinik för hud, infektion, vårdhygien och ögon. SÄS</w:t>
      </w:r>
    </w:p>
    <w:p w14:paraId="142EBA46" w14:textId="77777777" w:rsidR="00DD67E0" w:rsidRPr="00DD67E0" w:rsidRDefault="00DD67E0" w:rsidP="00DD67E0">
      <w:pPr>
        <w:keepNext/>
        <w:keepLines/>
        <w:tabs>
          <w:tab w:val="num" w:pos="3036"/>
        </w:tabs>
        <w:spacing w:after="80" w:line="240" w:lineRule="auto"/>
        <w:ind w:left="3036" w:right="0" w:hanging="360"/>
        <w:rPr>
          <w:szCs w:val="20"/>
        </w:rPr>
      </w:pPr>
      <w:r w:rsidRPr="00DD67E0">
        <w:rPr>
          <w:szCs w:val="20"/>
        </w:rPr>
        <w:t>Michael Stofkoper, processledare, sepsisprocessen, SÄS</w:t>
      </w:r>
    </w:p>
    <w:p w14:paraId="5FACC2E7" w14:textId="77777777" w:rsidR="00DD67E0" w:rsidRPr="00DD67E0" w:rsidRDefault="00DD67E0" w:rsidP="00DD67E0">
      <w:pPr>
        <w:keepNext/>
        <w:keepLines/>
        <w:spacing w:before="140" w:after="20" w:line="240" w:lineRule="auto"/>
        <w:ind w:left="2676" w:right="0"/>
        <w:outlineLvl w:val="8"/>
        <w:rPr>
          <w:rFonts w:ascii="Arial" w:hAnsi="Arial" w:cs="Arial"/>
          <w:sz w:val="22"/>
          <w:szCs w:val="22"/>
        </w:rPr>
      </w:pPr>
      <w:r w:rsidRPr="00DD67E0">
        <w:rPr>
          <w:rFonts w:ascii="Arial" w:hAnsi="Arial" w:cs="Arial"/>
          <w:sz w:val="22"/>
          <w:szCs w:val="22"/>
        </w:rPr>
        <w:t>Fastställt av</w:t>
      </w:r>
    </w:p>
    <w:p w14:paraId="01BE0FF5" w14:textId="77777777" w:rsidR="00DD67E0" w:rsidRPr="00DD67E0" w:rsidRDefault="00DD67E0" w:rsidP="00DD67E0">
      <w:pPr>
        <w:keepNext/>
        <w:keepLines/>
        <w:spacing w:after="160" w:line="240" w:lineRule="auto"/>
        <w:ind w:left="2676" w:right="0"/>
        <w:rPr>
          <w:szCs w:val="20"/>
        </w:rPr>
      </w:pPr>
      <w:r w:rsidRPr="00DD67E0">
        <w:rPr>
          <w:szCs w:val="20"/>
        </w:rPr>
        <w:t>Sara Degerman Carlsson, chefläkare, SÄS</w:t>
      </w:r>
    </w:p>
    <w:p w14:paraId="7376DD07" w14:textId="77777777" w:rsidR="00DD67E0" w:rsidRPr="00DD67E0" w:rsidRDefault="00DD67E0" w:rsidP="00DD67E0">
      <w:pPr>
        <w:keepNext/>
        <w:keepLines/>
        <w:spacing w:before="20" w:after="20" w:line="240" w:lineRule="auto"/>
        <w:ind w:left="2676" w:right="0"/>
        <w:outlineLvl w:val="8"/>
        <w:rPr>
          <w:rFonts w:ascii="Arial" w:hAnsi="Arial" w:cs="Arial"/>
          <w:sz w:val="22"/>
          <w:szCs w:val="22"/>
        </w:rPr>
      </w:pPr>
      <w:r w:rsidRPr="00DD67E0">
        <w:rPr>
          <w:rFonts w:ascii="Arial" w:hAnsi="Arial" w:cs="Arial"/>
          <w:sz w:val="22"/>
          <w:szCs w:val="22"/>
        </w:rPr>
        <w:t>Nyckelord</w:t>
      </w:r>
    </w:p>
    <w:p w14:paraId="320A4A23" w14:textId="77777777" w:rsidR="00DD67E0" w:rsidRPr="00DD67E0" w:rsidRDefault="00DD67E0" w:rsidP="00DD67E0">
      <w:pPr>
        <w:keepNext/>
        <w:keepLines/>
        <w:suppressAutoHyphens/>
        <w:spacing w:after="160" w:line="240" w:lineRule="auto"/>
        <w:ind w:left="2676" w:right="0"/>
        <w:rPr>
          <w:szCs w:val="20"/>
        </w:rPr>
      </w:pPr>
      <w:r w:rsidRPr="00DD67E0">
        <w:rPr>
          <w:sz w:val="23"/>
          <w:szCs w:val="23"/>
        </w:rPr>
        <w:t>Antibiotika, piperacillin-tazobactam, meropenem, karbapenem, Strama, läkemedel, läkemedelsordinationer</w:t>
      </w:r>
    </w:p>
    <w:p w14:paraId="4FCADD2E" w14:textId="77777777" w:rsidR="00DD67E0" w:rsidRPr="00DD67E0" w:rsidRDefault="00DD67E0" w:rsidP="00DD67E0">
      <w:pPr>
        <w:keepNext/>
        <w:keepLines/>
        <w:spacing w:after="160" w:line="240" w:lineRule="auto"/>
        <w:ind w:left="2676" w:right="0"/>
        <w:rPr>
          <w:szCs w:val="20"/>
        </w:rPr>
      </w:pPr>
    </w:p>
    <w:p w14:paraId="34941DF4" w14:textId="77777777" w:rsidR="00DD67E0" w:rsidRPr="00DD67E0" w:rsidRDefault="00DD67E0" w:rsidP="00DD67E0">
      <w:pPr>
        <w:keepNext/>
        <w:spacing w:line="240" w:lineRule="auto"/>
        <w:ind w:left="2676" w:right="0"/>
        <w:outlineLvl w:val="0"/>
        <w:rPr>
          <w:rFonts w:ascii="Arial" w:hAnsi="Arial"/>
          <w:kern w:val="32"/>
          <w:sz w:val="32"/>
          <w:szCs w:val="20"/>
        </w:rPr>
      </w:pPr>
      <w:bookmarkStart w:id="81" w:name="_Toc481760370"/>
      <w:bookmarkStart w:id="82" w:name="_Toc256000014"/>
      <w:bookmarkStart w:id="83" w:name="_Toc256000029"/>
      <w:bookmarkStart w:id="84" w:name="_Toc256000044"/>
      <w:bookmarkStart w:id="85" w:name="_Toc256000059"/>
      <w:bookmarkStart w:id="86" w:name="_Toc256000074"/>
      <w:bookmarkStart w:id="87" w:name="_Toc256000089"/>
      <w:bookmarkStart w:id="88" w:name="_Toc256000104"/>
      <w:bookmarkStart w:id="89" w:name="_Toc256000119"/>
      <w:bookmarkStart w:id="90" w:name="_Toc256000134"/>
      <w:r w:rsidRPr="00DD67E0">
        <w:rPr>
          <w:rFonts w:ascii="Arial" w:hAnsi="Arial"/>
          <w:kern w:val="32"/>
          <w:sz w:val="32"/>
          <w:szCs w:val="20"/>
        </w:rPr>
        <w:t>Länkförteckning</w:t>
      </w:r>
      <w:bookmarkEnd w:id="81"/>
      <w:bookmarkEnd w:id="82"/>
      <w:bookmarkEnd w:id="83"/>
      <w:bookmarkEnd w:id="84"/>
      <w:bookmarkEnd w:id="85"/>
      <w:bookmarkEnd w:id="86"/>
      <w:bookmarkEnd w:id="87"/>
      <w:bookmarkEnd w:id="88"/>
      <w:bookmarkEnd w:id="89"/>
      <w:bookmarkEnd w:id="90"/>
    </w:p>
    <w:p w14:paraId="314DF73A" w14:textId="77777777" w:rsidR="00DD67E0" w:rsidRPr="00DD67E0" w:rsidRDefault="00DD67E0" w:rsidP="00DD67E0">
      <w:pPr>
        <w:numPr>
          <w:ilvl w:val="0"/>
          <w:numId w:val="20"/>
        </w:numPr>
        <w:overflowPunct w:val="0"/>
        <w:autoSpaceDE w:val="0"/>
        <w:autoSpaceDN w:val="0"/>
        <w:adjustRightInd w:val="0"/>
        <w:spacing w:after="80" w:line="240" w:lineRule="auto"/>
        <w:ind w:right="0"/>
        <w:textAlignment w:val="baseline"/>
        <w:rPr>
          <w:szCs w:val="20"/>
        </w:rPr>
      </w:pPr>
      <w:r w:rsidRPr="00DD67E0">
        <w:rPr>
          <w:szCs w:val="20"/>
        </w:rPr>
        <w:t>Antibiotikabehandling till vuxna. Sjukhusövergripande riktlinje, SÄS</w:t>
      </w:r>
      <w:r w:rsidRPr="00DD67E0">
        <w:rPr>
          <w:szCs w:val="20"/>
        </w:rPr>
        <w:br/>
      </w:r>
      <w:hyperlink r:id="rId18" w:history="1">
        <w:r w:rsidRPr="00DD67E0">
          <w:rPr>
            <w:color w:val="0000FF"/>
            <w:szCs w:val="20"/>
            <w:u w:val="single"/>
          </w:rPr>
          <w:t>http://intrasas.vgregion.se</w:t>
        </w:r>
      </w:hyperlink>
      <w:r w:rsidRPr="00DD67E0">
        <w:rPr>
          <w:szCs w:val="20"/>
        </w:rPr>
        <w:t xml:space="preserve"> under rubrik </w:t>
      </w:r>
      <w:r w:rsidRPr="00DD67E0">
        <w:rPr>
          <w:i/>
          <w:szCs w:val="20"/>
        </w:rPr>
        <w:t>Sök styrdokument</w:t>
      </w:r>
    </w:p>
    <w:bookmarkEnd w:id="0"/>
    <w:p w14:paraId="76B9F95B" w14:textId="24513497" w:rsidR="00536A5A" w:rsidRPr="00536A5A" w:rsidRDefault="00536A5A" w:rsidP="00536A5A">
      <w:pPr>
        <w:spacing w:after="0" w:line="240" w:lineRule="auto"/>
        <w:ind w:left="0" w:right="0"/>
      </w:pPr>
    </w:p>
    <w:sectPr w:rsidR="00536A5A" w:rsidRPr="00536A5A" w:rsidSect="00DD67E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A22CEA08"/>
    <w:lvl w:ilvl="0">
      <w:start w:val="1"/>
      <w:numFmt w:val="bullet"/>
      <w:pStyle w:val="Punktlista1"/>
      <w:lvlText w:val=""/>
      <w:lvlJc w:val="left"/>
      <w:pPr>
        <w:tabs>
          <w:tab w:val="num" w:pos="3036"/>
        </w:tabs>
        <w:ind w:left="3036" w:hanging="360"/>
      </w:pPr>
      <w:rPr>
        <w:rFonts w:ascii="Wingdings" w:hAnsi="Wingdings" w:hint="default"/>
        <w:outline w:val="0"/>
        <w:shadow w:val="0"/>
        <w:emboss w:val="0"/>
        <w:imprint w:val="0"/>
        <w:color w:val="auto"/>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8"/>
  </w:num>
  <w:num w:numId="2">
    <w:abstractNumId w:val="15"/>
  </w:num>
  <w:num w:numId="3">
    <w:abstractNumId w:val="0"/>
  </w:num>
  <w:num w:numId="4">
    <w:abstractNumId w:val="7"/>
  </w:num>
  <w:num w:numId="5">
    <w:abstractNumId w:val="16"/>
  </w:num>
  <w:num w:numId="6">
    <w:abstractNumId w:val="3"/>
  </w:num>
  <w:num w:numId="7">
    <w:abstractNumId w:val="12"/>
  </w:num>
  <w:num w:numId="8">
    <w:abstractNumId w:val="9"/>
  </w:num>
  <w:num w:numId="9">
    <w:abstractNumId w:val="2"/>
  </w:num>
  <w:num w:numId="10">
    <w:abstractNumId w:val="2"/>
  </w:num>
  <w:num w:numId="11">
    <w:abstractNumId w:val="4"/>
  </w:num>
  <w:num w:numId="12">
    <w:abstractNumId w:val="5"/>
  </w:num>
  <w:num w:numId="13">
    <w:abstractNumId w:val="14"/>
  </w:num>
  <w:num w:numId="14">
    <w:abstractNumId w:val="10"/>
  </w:num>
  <w:num w:numId="15">
    <w:abstractNumId w:val="8"/>
  </w:num>
  <w:num w:numId="16">
    <w:abstractNumId w:val="13"/>
  </w:num>
  <w:num w:numId="17">
    <w:abstractNumId w:val="6"/>
  </w:num>
  <w:num w:numId="18">
    <w:abstractNumId w:val="11"/>
  </w:num>
  <w:num w:numId="19">
    <w:abstractNumId w:val="17"/>
  </w:num>
  <w:num w:numId="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D67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6">
    <w:name w:val="heading 6"/>
    <w:basedOn w:val="Normal"/>
    <w:next w:val="Normal"/>
    <w:link w:val="Heading6Char"/>
    <w:uiPriority w:val="9"/>
    <w:semiHidden/>
    <w:unhideWhenUsed/>
    <w:qFormat/>
    <w:rsid w:val="00DD67E0"/>
    <w:pPr>
      <w:keepNext/>
      <w:keepLines/>
      <w:spacing w:before="40" w:after="0"/>
      <w:outlineLvl w:val="5"/>
    </w:pPr>
    <w:rPr>
      <w:rFonts w:asciiTheme="majorHAnsi" w:eastAsiaTheme="majorEastAsia" w:hAnsiTheme="majorHAnsi" w:cstheme="majorBidi"/>
      <w:color w:val="00304B" w:themeColor="accent1" w:themeShade="7F"/>
    </w:rPr>
  </w:style>
  <w:style w:type="paragraph" w:styleId="Heading7">
    <w:name w:val="heading 7"/>
    <w:basedOn w:val="Normal"/>
    <w:next w:val="Normal"/>
    <w:link w:val="Heading7Char"/>
    <w:uiPriority w:val="9"/>
    <w:semiHidden/>
    <w:unhideWhenUsed/>
    <w:qFormat/>
    <w:rsid w:val="00DD67E0"/>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Heading9">
    <w:name w:val="heading 9"/>
    <w:basedOn w:val="Normal"/>
    <w:next w:val="Normal"/>
    <w:link w:val="Heading9Char"/>
    <w:uiPriority w:val="9"/>
    <w:semiHidden/>
    <w:unhideWhenUsed/>
    <w:qFormat/>
    <w:rsid w:val="00DD67E0"/>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6Char">
    <w:name w:val="Heading 6 Char"/>
    <w:basedOn w:val="DefaultParagraphFont"/>
    <w:link w:val="Heading6"/>
    <w:uiPriority w:val="9"/>
    <w:semiHidden/>
    <w:rsid w:val="00DD67E0"/>
    <w:rPr>
      <w:rFonts w:asciiTheme="majorHAnsi" w:eastAsiaTheme="majorEastAsia" w:hAnsiTheme="majorHAnsi" w:cstheme="majorBidi"/>
      <w:color w:val="00304B" w:themeColor="accent1" w:themeShade="7F"/>
      <w:sz w:val="24"/>
      <w:szCs w:val="24"/>
    </w:rPr>
  </w:style>
  <w:style w:type="character" w:customStyle="1" w:styleId="Heading7Char">
    <w:name w:val="Heading 7 Char"/>
    <w:basedOn w:val="DefaultParagraphFont"/>
    <w:link w:val="Heading7"/>
    <w:uiPriority w:val="9"/>
    <w:semiHidden/>
    <w:rsid w:val="00DD67E0"/>
    <w:rPr>
      <w:rFonts w:asciiTheme="majorHAnsi" w:eastAsiaTheme="majorEastAsia" w:hAnsiTheme="majorHAnsi" w:cstheme="majorBidi"/>
      <w:i/>
      <w:iCs/>
      <w:color w:val="00304B" w:themeColor="accent1" w:themeShade="7F"/>
      <w:sz w:val="24"/>
      <w:szCs w:val="24"/>
    </w:rPr>
  </w:style>
  <w:style w:type="character" w:customStyle="1" w:styleId="Heading9Char">
    <w:name w:val="Heading 9 Char"/>
    <w:basedOn w:val="DefaultParagraphFont"/>
    <w:link w:val="Heading9"/>
    <w:uiPriority w:val="9"/>
    <w:semiHidden/>
    <w:rsid w:val="00DD67E0"/>
    <w:rPr>
      <w:rFonts w:asciiTheme="majorHAnsi" w:eastAsiaTheme="majorEastAsia" w:hAnsiTheme="majorHAnsi" w:cstheme="majorBidi"/>
      <w:i/>
      <w:iCs/>
      <w:color w:val="272727" w:themeColor="text1" w:themeTint="D8"/>
      <w:sz w:val="21"/>
      <w:szCs w:val="21"/>
    </w:rPr>
  </w:style>
  <w:style w:type="paragraph" w:customStyle="1" w:styleId="Punktlista1">
    <w:name w:val="Punktlista 1"/>
    <w:rsid w:val="00DD67E0"/>
    <w:pPr>
      <w:numPr>
        <w:numId w:val="20"/>
      </w:numPr>
      <w:spacing w:after="80"/>
      <w:ind w:left="3033" w:hanging="357"/>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9450?a=false&amp;guest=true"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9450?a=false&amp;guest=true"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5</Pages>
  <Words>964</Words>
  <Characters>5113</Characters>
  <Application>Microsoft Office Word</Application>
  <DocSecurity>0</DocSecurity>
  <Lines>42</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6065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Antibiotikaval vid brist på piperacillin-tazobactam, SÄS</dc:title>
  <dc:subject/>
  <dc:creator>patrik.jens.johansson@vgregion.se</dc:creator>
  <keywords/>
  <lastModifiedBy>TK.SpStyMigProd</lastModifiedBy>
  <revision>2</revision>
  <lastPrinted>2016-03-31T10:56:00.0000000Z</lastPrinted>
  <dcterms:created xsi:type="dcterms:W3CDTF">2022-03-28T05:06:00.0000000Z</dcterms:created>
  <dcterms:modified xsi:type="dcterms:W3CDTF">2022-03-28T05:06:00.0000000Z</dcterms:modified>
</coreProperties>
</file>