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F692" w14:textId="77777777" w:rsidR="00C05E73" w:rsidRDefault="00C05E73" w:rsidP="00F35B05">
      <w:pPr>
        <w:pStyle w:val="Rubrik2"/>
        <w:sectPr w:rsidR="00C05E73" w:rsidSect="00C05E7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3402" w:right="1979" w:bottom="1276" w:left="992" w:header="283" w:footer="737" w:gutter="0"/>
          <w:cols w:space="708"/>
          <w:noEndnote/>
          <w:titlePg/>
          <w:docGrid w:linePitch="326"/>
        </w:sectPr>
      </w:pPr>
      <w:bookmarkStart w:id="0" w:name="_Toc321146591"/>
    </w:p>
    <w:p w14:paraId="30763F2B" w14:textId="77777777" w:rsidR="00C05E73" w:rsidRPr="00C05E73" w:rsidRDefault="00C05E73" w:rsidP="001929EA">
      <w:pPr>
        <w:pStyle w:val="Rubrik1"/>
      </w:pPr>
      <w:r w:rsidRPr="00C05E73">
        <w:t>Angiografi +/- PTA/Stent, polikliniskt vid SÄS</w:t>
      </w:r>
    </w:p>
    <w:p w14:paraId="43621F79" w14:textId="77777777" w:rsidR="00C05E73" w:rsidRPr="00C05E73" w:rsidRDefault="00C05E73" w:rsidP="001929EA">
      <w:pPr>
        <w:pStyle w:val="Rubrik2"/>
      </w:pPr>
      <w:bookmarkStart w:id="1" w:name="_Toc314219394"/>
      <w:r w:rsidRPr="00C05E73">
        <w:t>Sammanfattning</w:t>
      </w:r>
      <w:bookmarkEnd w:id="1"/>
    </w:p>
    <w:p w14:paraId="686407CA" w14:textId="77777777" w:rsidR="001929EA" w:rsidRDefault="00C05E73" w:rsidP="001929EA">
      <w:r w:rsidRPr="00C05E73">
        <w:t>Rutiner vid radiologisk artärintervention (angiografi/PTA/stent). Detta görs som regel polikliniskt på SÄS.</w:t>
      </w:r>
    </w:p>
    <w:p w14:paraId="265E5068" w14:textId="608BC199" w:rsidR="00C05E73" w:rsidRDefault="001929EA" w:rsidP="001929EA">
      <w:pPr>
        <w:pStyle w:val="Rubrik2"/>
      </w:pPr>
      <w:r>
        <w:t>Förändringar sedan föregående version</w:t>
      </w:r>
    </w:p>
    <w:p w14:paraId="66C4447D" w14:textId="46E48047" w:rsidR="001929EA" w:rsidRPr="00C05E73" w:rsidRDefault="00663F6D" w:rsidP="001929EA">
      <w:r>
        <w:t xml:space="preserve">Ny punkt inlagd under rubrik </w:t>
      </w:r>
      <w:r w:rsidRPr="00663F6D">
        <w:rPr>
          <w:i/>
          <w:iCs/>
        </w:rPr>
        <w:t>Tryckförband och sängläge vid PTA/Stent</w:t>
      </w:r>
      <w:r w:rsidR="006B5C65">
        <w:t>.</w:t>
      </w:r>
    </w:p>
    <w:p w14:paraId="0B3F6B65" w14:textId="77777777" w:rsidR="00C05E73" w:rsidRPr="00C05E73" w:rsidRDefault="00C05E73" w:rsidP="001929EA">
      <w:pPr>
        <w:pStyle w:val="Rubrik2"/>
      </w:pPr>
      <w:bookmarkStart w:id="2" w:name="_Toc314219396"/>
      <w:r w:rsidRPr="00C05E73">
        <w:t>Förutsättningar</w:t>
      </w:r>
      <w:bookmarkEnd w:id="2"/>
    </w:p>
    <w:p w14:paraId="1B07AB5B" w14:textId="77777777" w:rsidR="00C05E73" w:rsidRPr="00C05E73" w:rsidRDefault="00C05E73" w:rsidP="001929EA">
      <w:pPr>
        <w:pStyle w:val="Rubrik3"/>
        <w:spacing w:before="120"/>
      </w:pPr>
      <w:r w:rsidRPr="00C05E73">
        <w:t>Avgränsningar</w:t>
      </w:r>
    </w:p>
    <w:p w14:paraId="1045753D" w14:textId="7652434D" w:rsidR="00C05E73" w:rsidRPr="00C05E73" w:rsidRDefault="00C05E73" w:rsidP="001929EA">
      <w:r w:rsidRPr="00C05E73">
        <w:t xml:space="preserve">Riktlinjen gäller kärlkirurgen, röntgen, kirurg-/öronavdelningen och </w:t>
      </w:r>
      <w:r w:rsidR="000D0EEA" w:rsidRPr="000D0EEA">
        <w:t>AnOpIVA</w:t>
      </w:r>
      <w:r w:rsidR="001348EC">
        <w:t>/postop</w:t>
      </w:r>
      <w:r w:rsidRPr="00C05E73">
        <w:t>.</w:t>
      </w:r>
    </w:p>
    <w:p w14:paraId="094152E2" w14:textId="77777777" w:rsidR="00C05E73" w:rsidRPr="00C05E73" w:rsidRDefault="00C05E73" w:rsidP="001929EA">
      <w:pPr>
        <w:pStyle w:val="Rubrik2"/>
      </w:pPr>
      <w:bookmarkStart w:id="3" w:name="_Toc314219397"/>
      <w:r w:rsidRPr="00C05E73">
        <w:t>Genomförande</w:t>
      </w:r>
      <w:bookmarkEnd w:id="3"/>
    </w:p>
    <w:p w14:paraId="2A154E77" w14:textId="77777777" w:rsidR="00C05E73" w:rsidRPr="00C05E73" w:rsidRDefault="00C05E73" w:rsidP="001929EA">
      <w:pPr>
        <w:pStyle w:val="Rubrik3"/>
        <w:spacing w:before="120"/>
      </w:pPr>
      <w:r w:rsidRPr="00C05E73">
        <w:t>Remiss till intervention</w:t>
      </w:r>
    </w:p>
    <w:p w14:paraId="0E700513" w14:textId="77777777" w:rsidR="00C05E73" w:rsidRPr="00C05E73" w:rsidRDefault="00C05E73" w:rsidP="001929EA">
      <w:r w:rsidRPr="00C05E73">
        <w:t>I samband med remissbesöket/angiografibeslutet tas följande prover:</w:t>
      </w:r>
    </w:p>
    <w:p w14:paraId="7A7F5535" w14:textId="77777777" w:rsidR="00C05E73" w:rsidRPr="00C05E73" w:rsidRDefault="00C05E73" w:rsidP="001929EA">
      <w:pPr>
        <w:pStyle w:val="Punktlista"/>
      </w:pPr>
      <w:r w:rsidRPr="00C05E73">
        <w:t>S-Kreatinin (får vara högst 2 månader gammalt vid intervention om det är inom referensområdet; vid förhöjt värde (se nedan), högst 2 veckor gammalt).</w:t>
      </w:r>
    </w:p>
    <w:p w14:paraId="01F4D203" w14:textId="77777777" w:rsidR="00C05E73" w:rsidRPr="00C05E73" w:rsidRDefault="00C05E73" w:rsidP="001929EA">
      <w:pPr>
        <w:pStyle w:val="Punktlista"/>
      </w:pPr>
      <w:r w:rsidRPr="00C05E73">
        <w:t>Längd och vikt.</w:t>
      </w:r>
    </w:p>
    <w:p w14:paraId="28296507" w14:textId="77777777" w:rsidR="00C05E73" w:rsidRPr="00C05E73" w:rsidRDefault="00C05E73" w:rsidP="001929EA">
      <w:pPr>
        <w:pStyle w:val="Punktlista"/>
      </w:pPr>
      <w:r w:rsidRPr="00C05E73">
        <w:t>Om angiografibeslut tas vid telefonkontakt skickas istället remiss till distriktssköterska för ovanstående provtagning.</w:t>
      </w:r>
    </w:p>
    <w:p w14:paraId="57159044" w14:textId="77777777" w:rsidR="00C05E73" w:rsidRPr="00C05E73" w:rsidRDefault="00C05E73" w:rsidP="001929EA">
      <w:pPr>
        <w:pStyle w:val="Punktlista"/>
      </w:pPr>
      <w:r w:rsidRPr="00C05E73">
        <w:t>Om patienten behöver assistans, bör närstående eller personal från äldreboende uppmanas att möta upp på operation 2, post op.</w:t>
      </w:r>
    </w:p>
    <w:p w14:paraId="714C5F8F" w14:textId="77777777" w:rsidR="00C05E73" w:rsidRPr="00C05E73" w:rsidRDefault="00C05E73" w:rsidP="00F25A9A">
      <w:pPr>
        <w:pStyle w:val="Rubrik3"/>
      </w:pPr>
      <w:bookmarkStart w:id="4" w:name="_Patient_med_S-kreatinin-förhöjning"/>
      <w:bookmarkEnd w:id="4"/>
      <w:r w:rsidRPr="00C05E73">
        <w:lastRenderedPageBreak/>
        <w:t>Patient med S-kreatinin-förhöjning (njurinsufficiens)</w:t>
      </w:r>
    </w:p>
    <w:tbl>
      <w:tblPr>
        <w:tblW w:w="7922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393"/>
        <w:gridCol w:w="3277"/>
      </w:tblGrid>
      <w:tr w:rsidR="00C05E73" w:rsidRPr="00C05E73" w14:paraId="2156EECB" w14:textId="77777777" w:rsidTr="00F25A9A">
        <w:tc>
          <w:tcPr>
            <w:tcW w:w="2252" w:type="dxa"/>
            <w:shd w:val="clear" w:color="auto" w:fill="E7E6E6"/>
          </w:tcPr>
          <w:p w14:paraId="19FAEF81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393" w:type="dxa"/>
            <w:shd w:val="clear" w:color="auto" w:fill="E7E6E6"/>
          </w:tcPr>
          <w:p w14:paraId="4AC2F9C2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S-Krea</w:t>
            </w:r>
          </w:p>
        </w:tc>
        <w:tc>
          <w:tcPr>
            <w:tcW w:w="3277" w:type="dxa"/>
            <w:shd w:val="clear" w:color="auto" w:fill="E7E6E6"/>
          </w:tcPr>
          <w:p w14:paraId="34F475C6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Anm</w:t>
            </w:r>
          </w:p>
        </w:tc>
      </w:tr>
      <w:tr w:rsidR="00C05E73" w:rsidRPr="00C05E73" w14:paraId="462CE274" w14:textId="77777777" w:rsidTr="00F25A9A">
        <w:tc>
          <w:tcPr>
            <w:tcW w:w="2252" w:type="dxa"/>
            <w:shd w:val="clear" w:color="auto" w:fill="auto"/>
          </w:tcPr>
          <w:p w14:paraId="1F13AEA0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Diabetespatienter</w:t>
            </w:r>
          </w:p>
        </w:tc>
        <w:tc>
          <w:tcPr>
            <w:tcW w:w="2393" w:type="dxa"/>
            <w:shd w:val="clear" w:color="auto" w:fill="auto"/>
          </w:tcPr>
          <w:p w14:paraId="511EF189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&gt;120 µm</w:t>
            </w:r>
          </w:p>
        </w:tc>
        <w:tc>
          <w:tcPr>
            <w:tcW w:w="3277" w:type="dxa"/>
            <w:shd w:val="clear" w:color="auto" w:fill="auto"/>
          </w:tcPr>
          <w:p w14:paraId="2B250490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Följ anvisningar nedan</w:t>
            </w:r>
          </w:p>
        </w:tc>
      </w:tr>
      <w:tr w:rsidR="00C05E73" w:rsidRPr="00C05E73" w14:paraId="14D9FF04" w14:textId="77777777" w:rsidTr="00F25A9A">
        <w:tc>
          <w:tcPr>
            <w:tcW w:w="2252" w:type="dxa"/>
            <w:shd w:val="clear" w:color="auto" w:fill="auto"/>
          </w:tcPr>
          <w:p w14:paraId="42F84353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Övriga patienter</w:t>
            </w:r>
          </w:p>
        </w:tc>
        <w:tc>
          <w:tcPr>
            <w:tcW w:w="2393" w:type="dxa"/>
            <w:shd w:val="clear" w:color="auto" w:fill="auto"/>
          </w:tcPr>
          <w:p w14:paraId="493B900F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&gt;150 µmol/</w:t>
            </w:r>
          </w:p>
        </w:tc>
        <w:tc>
          <w:tcPr>
            <w:tcW w:w="3277" w:type="dxa"/>
            <w:shd w:val="clear" w:color="auto" w:fill="auto"/>
          </w:tcPr>
          <w:p w14:paraId="0D125F2D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Följ anvisningar nedan</w:t>
            </w:r>
          </w:p>
        </w:tc>
      </w:tr>
      <w:tr w:rsidR="00C05E73" w:rsidRPr="00C05E73" w14:paraId="29187E25" w14:textId="77777777" w:rsidTr="00F25A9A">
        <w:tc>
          <w:tcPr>
            <w:tcW w:w="2252" w:type="dxa"/>
            <w:shd w:val="clear" w:color="auto" w:fill="auto"/>
          </w:tcPr>
          <w:p w14:paraId="0A1902BD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Myelompatienter</w:t>
            </w:r>
          </w:p>
        </w:tc>
        <w:tc>
          <w:tcPr>
            <w:tcW w:w="2393" w:type="dxa"/>
            <w:shd w:val="clear" w:color="auto" w:fill="auto"/>
          </w:tcPr>
          <w:p w14:paraId="7C8ACEAB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7427774B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Samråd med njurmedicinare</w:t>
            </w:r>
          </w:p>
        </w:tc>
      </w:tr>
      <w:tr w:rsidR="00C05E73" w:rsidRPr="00C05E73" w14:paraId="10B129D6" w14:textId="77777777" w:rsidTr="00F25A9A">
        <w:tc>
          <w:tcPr>
            <w:tcW w:w="2252" w:type="dxa"/>
            <w:shd w:val="clear" w:color="auto" w:fill="auto"/>
          </w:tcPr>
          <w:p w14:paraId="2BAC1BB2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Njurinsufficiens med</w:t>
            </w:r>
          </w:p>
        </w:tc>
        <w:tc>
          <w:tcPr>
            <w:tcW w:w="2393" w:type="dxa"/>
            <w:shd w:val="clear" w:color="auto" w:fill="auto"/>
          </w:tcPr>
          <w:p w14:paraId="04AF55BB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&gt;200 µmol/l</w:t>
            </w:r>
          </w:p>
        </w:tc>
        <w:tc>
          <w:tcPr>
            <w:tcW w:w="3277" w:type="dxa"/>
            <w:shd w:val="clear" w:color="auto" w:fill="auto"/>
          </w:tcPr>
          <w:p w14:paraId="5578A725" w14:textId="77777777" w:rsidR="00C05E73" w:rsidRPr="00C05E73" w:rsidRDefault="00C05E73" w:rsidP="00C05E73">
            <w:pPr>
              <w:spacing w:before="60" w:after="60" w:line="240" w:lineRule="auto"/>
              <w:ind w:left="0" w:right="0"/>
              <w:rPr>
                <w:rFonts w:ascii="Arial" w:hAnsi="Arial"/>
                <w:sz w:val="22"/>
                <w:szCs w:val="20"/>
              </w:rPr>
            </w:pPr>
            <w:r w:rsidRPr="00C05E73">
              <w:rPr>
                <w:rFonts w:ascii="Arial" w:hAnsi="Arial"/>
                <w:sz w:val="22"/>
                <w:szCs w:val="20"/>
              </w:rPr>
              <w:t>Samråd med röntgenläkare</w:t>
            </w:r>
          </w:p>
        </w:tc>
      </w:tr>
    </w:tbl>
    <w:p w14:paraId="779E9FBA" w14:textId="77777777" w:rsidR="00C05E73" w:rsidRPr="00C05E73" w:rsidRDefault="00C05E73" w:rsidP="00F25A9A">
      <w:pPr>
        <w:pStyle w:val="Punktlista"/>
        <w:spacing w:before="240"/>
      </w:pPr>
      <w:r w:rsidRPr="00C05E73">
        <w:t>Patienten uppmanas att dricka mycket kvällen innan och på morgonen.</w:t>
      </w:r>
    </w:p>
    <w:p w14:paraId="1B628A20" w14:textId="3EE071C6" w:rsidR="00C05E73" w:rsidRPr="00C05E73" w:rsidRDefault="00C05E73" w:rsidP="00F25A9A">
      <w:pPr>
        <w:pStyle w:val="Punktlista"/>
      </w:pPr>
      <w:r w:rsidRPr="00C05E73">
        <w:t>Röntgenläkaren räknar utifrån GFR och given kontrastdos ut huruvida njurfunktionen behöver kontrolleras postintervention. I de fall detta behövs får patienten en schablonremiss från angiolab till distriktssköterskan för kontroll av S-Krea samt vikt, 2 dagar efter angiografin.</w:t>
      </w:r>
    </w:p>
    <w:p w14:paraId="2E59A24D" w14:textId="7AE52D55" w:rsidR="00C05E73" w:rsidRPr="00C05E73" w:rsidRDefault="00C05E73" w:rsidP="00F25A9A">
      <w:pPr>
        <w:pStyle w:val="Punktlista"/>
      </w:pPr>
      <w:r w:rsidRPr="00FB47F8">
        <w:t>Om S-Krea är förhöjt jämfört med före angiografin kontaktar röntgenläkare/angiosjuksköterska kärlkirurgisk dagbakjour (telefon 2660) som ordinerar nytt S-Krea-prov nästa dag. Om</w:t>
      </w:r>
      <w:r>
        <w:t xml:space="preserve"> då fortsatt förhöjt S-Krea tas kontakt med njurmedicinare.</w:t>
      </w:r>
    </w:p>
    <w:p w14:paraId="3FB4320C" w14:textId="77777777" w:rsidR="00C05E73" w:rsidRPr="00C05E73" w:rsidRDefault="00C05E73" w:rsidP="00F25A9A">
      <w:pPr>
        <w:pStyle w:val="Rubrik3"/>
      </w:pPr>
      <w:r w:rsidRPr="00C05E73">
        <w:t>Patient med diabetes och Metformin-behandling</w:t>
      </w:r>
    </w:p>
    <w:p w14:paraId="7EF0DA89" w14:textId="77777777" w:rsidR="00C05E73" w:rsidRPr="00C05E73" w:rsidRDefault="00C05E73" w:rsidP="005B1420">
      <w:r w:rsidRPr="00C05E73">
        <w:t>Patient behandlad med tabl Metformin (Glucophage, Competact, Janumet, Jentaduete, Komboglyze, Mitforgen, Segluromet, Synjardy, Xigduo).</w:t>
      </w:r>
    </w:p>
    <w:p w14:paraId="78FCB459" w14:textId="77777777" w:rsidR="00C05E73" w:rsidRPr="00C05E73" w:rsidRDefault="00C05E73" w:rsidP="005B1420">
      <w:pPr>
        <w:pStyle w:val="Punktlista"/>
      </w:pPr>
      <w:r w:rsidRPr="00C05E73">
        <w:t>Tabl Metformin utsätts angiografidagen.</w:t>
      </w:r>
    </w:p>
    <w:p w14:paraId="119FC0D5" w14:textId="77777777" w:rsidR="00C05E73" w:rsidRPr="00C05E73" w:rsidRDefault="00C05E73" w:rsidP="005B1420">
      <w:pPr>
        <w:pStyle w:val="Punktlista"/>
      </w:pPr>
      <w:r w:rsidRPr="00C05E73">
        <w:t>Kontroll av S-Krea 2 dagar efter angiografin hos distriktsköterskan som uppmanar patienten att återuppta Metforminbehandlingen om S-Kreatinin är normalt (remiss och anvisningar från angiolab).</w:t>
      </w:r>
    </w:p>
    <w:p w14:paraId="38B560A7" w14:textId="77777777" w:rsidR="00C05E73" w:rsidRPr="00C05E73" w:rsidRDefault="00C05E73" w:rsidP="005B1420">
      <w:pPr>
        <w:pStyle w:val="Punktlista"/>
      </w:pPr>
      <w:r w:rsidRPr="00C05E73">
        <w:t>Om S-Krea är förhöjt jämfört med före angiografin, tar sköterskan kontakt med distriktsläkaren. Vid förhöjda värden är Metformin kontraindicerat. Kontakt ska tas med njurmedicinare!</w:t>
      </w:r>
    </w:p>
    <w:p w14:paraId="2149C621" w14:textId="77777777" w:rsidR="00C05E73" w:rsidRPr="00C05E73" w:rsidRDefault="00C05E73" w:rsidP="00E80D8A">
      <w:pPr>
        <w:pStyle w:val="Rubrik3"/>
      </w:pPr>
      <w:r w:rsidRPr="00C05E73">
        <w:t>Patient med antikoagulationsbehandling</w:t>
      </w:r>
    </w:p>
    <w:p w14:paraId="2642A333" w14:textId="77777777" w:rsidR="00C05E73" w:rsidRPr="00C05E73" w:rsidRDefault="00C05E73" w:rsidP="00E80D8A">
      <w:r w:rsidRPr="00C05E73">
        <w:t>Patienten ska angiograferas som andra patient på dagen. Patienten hinner då gå till laboratoriet före intervention (remiss skickas med kallelsen).</w:t>
      </w:r>
    </w:p>
    <w:p w14:paraId="657BB2BE" w14:textId="77777777" w:rsidR="00C05E73" w:rsidRPr="00C05E73" w:rsidRDefault="00C05E73" w:rsidP="00E80D8A">
      <w:r w:rsidRPr="00C05E73">
        <w:t>Prover som ska tas är:</w:t>
      </w:r>
    </w:p>
    <w:p w14:paraId="55850D58" w14:textId="77777777" w:rsidR="00C05E73" w:rsidRPr="00C05E73" w:rsidRDefault="00C05E73" w:rsidP="00E80D8A">
      <w:pPr>
        <w:pStyle w:val="Punktlista"/>
      </w:pPr>
      <w:r w:rsidRPr="00C05E73">
        <w:t>PK: INR &lt;1,54.</w:t>
      </w:r>
    </w:p>
    <w:p w14:paraId="6C5DDF81" w14:textId="77777777" w:rsidR="00C05E73" w:rsidRPr="00C05E73" w:rsidRDefault="00C05E73" w:rsidP="00E80D8A">
      <w:pPr>
        <w:pStyle w:val="Punktlista"/>
      </w:pPr>
      <w:r w:rsidRPr="00C05E73">
        <w:t>Hb.</w:t>
      </w:r>
    </w:p>
    <w:p w14:paraId="68543F56" w14:textId="4CD566FB" w:rsidR="00C05E73" w:rsidRPr="00176BDC" w:rsidRDefault="00C05E73" w:rsidP="00E80D8A">
      <w:pPr>
        <w:rPr>
          <w:szCs w:val="20"/>
        </w:rPr>
      </w:pPr>
      <w:r w:rsidRPr="00C05E73">
        <w:rPr>
          <w:szCs w:val="20"/>
        </w:rPr>
        <w:lastRenderedPageBreak/>
        <w:t xml:space="preserve">Se riktlinje </w:t>
      </w:r>
      <w:hyperlink r:id="rId17" w:history="1">
        <w:r w:rsidRPr="00176BDC">
          <w:rPr>
            <w:rStyle w:val="Hyperlnk"/>
          </w:rPr>
          <w:t>Antikoagulantia och trombocythämmare, tillfällig utsättning inför elektiv operation</w:t>
        </w:r>
      </w:hyperlink>
      <w:r w:rsidRPr="00176BDC">
        <w:rPr>
          <w:szCs w:val="20"/>
        </w:rPr>
        <w:t>.</w:t>
      </w:r>
    </w:p>
    <w:p w14:paraId="030EC09B" w14:textId="77777777" w:rsidR="00C05E73" w:rsidRPr="00C05E73" w:rsidRDefault="00C05E73" w:rsidP="00176BDC">
      <w:pPr>
        <w:pStyle w:val="Rubrik3"/>
      </w:pPr>
      <w:r w:rsidRPr="00C05E73">
        <w:t>Tryckförband och sängläge vid PTA/Stent</w:t>
      </w:r>
    </w:p>
    <w:p w14:paraId="67FF9F2C" w14:textId="77777777" w:rsidR="00C05E73" w:rsidRPr="00C05E73" w:rsidRDefault="00C05E73" w:rsidP="0026274C">
      <w:pPr>
        <w:pStyle w:val="Punktlista"/>
      </w:pPr>
      <w:r w:rsidRPr="00C05E73">
        <w:t>Efter behandlingen stängs interventionen i kärlet med en inre förslutningsmekanism, där patienten endast har ett plåster över stickstället. När denna förslutningsmetod inte är lämplig, får patienten istället tryckförband och sängläge enligt röntgenläkarens anvisningar.</w:t>
      </w:r>
    </w:p>
    <w:p w14:paraId="548A42E9" w14:textId="77777777" w:rsidR="00C05E73" w:rsidRPr="00C05E73" w:rsidRDefault="00C05E73" w:rsidP="0026274C">
      <w:pPr>
        <w:pStyle w:val="Punktlista"/>
      </w:pPr>
      <w:r w:rsidRPr="00C05E73">
        <w:t>Sängläge och uppegående före hemgång meddelas i angiografijournalen i varje enskilt fall.</w:t>
      </w:r>
    </w:p>
    <w:p w14:paraId="5735D303" w14:textId="77777777" w:rsidR="00C05E73" w:rsidRPr="00C05E73" w:rsidRDefault="00C05E73" w:rsidP="0026274C">
      <w:pPr>
        <w:pStyle w:val="Punktlista"/>
      </w:pPr>
      <w:r w:rsidRPr="00C05E73">
        <w:t>Patienten kan dricka 2 timmar efter genomförd intervention liksom äta vid behov efter ytterligare 2 timmar, förutsatt att det inte blöder och patienten mår väl.</w:t>
      </w:r>
    </w:p>
    <w:p w14:paraId="46ED0949" w14:textId="77777777" w:rsidR="00C05E73" w:rsidRPr="00C05E73" w:rsidRDefault="00C05E73" w:rsidP="0026274C">
      <w:pPr>
        <w:pStyle w:val="Punktlista"/>
      </w:pPr>
      <w:r w:rsidRPr="00C05E73">
        <w:t>Blodtryck och puls samt inspektion av insticksstället utförs vid ankomst till operation 2, efter mobilisering och inför hemgång samt vid behov.</w:t>
      </w:r>
    </w:p>
    <w:p w14:paraId="0E89FE47" w14:textId="77777777" w:rsidR="00C05E73" w:rsidRPr="00C05E73" w:rsidRDefault="00C05E73" w:rsidP="0026274C">
      <w:pPr>
        <w:pStyle w:val="Punktlista"/>
      </w:pPr>
      <w:r w:rsidRPr="00C05E73">
        <w:t>Hb-kontroll vid tecken till blödning.</w:t>
      </w:r>
    </w:p>
    <w:p w14:paraId="5EECAB94" w14:textId="77777777" w:rsidR="00C05E73" w:rsidRPr="00C05E73" w:rsidRDefault="00C05E73" w:rsidP="0026274C">
      <w:pPr>
        <w:pStyle w:val="Punktlista"/>
      </w:pPr>
      <w:r w:rsidRPr="00C05E73">
        <w:t>Kärlkirurg arrangerar återbesök 4-6 veckor efter PTA samt registrering i Swedvasc.</w:t>
      </w:r>
    </w:p>
    <w:p w14:paraId="387F390A" w14:textId="77777777" w:rsidR="00C05E73" w:rsidRDefault="00C05E73" w:rsidP="0026274C">
      <w:pPr>
        <w:pStyle w:val="Punktlista"/>
      </w:pPr>
      <w:r w:rsidRPr="00C05E73">
        <w:t>Rutiner vid komplikation, behov av inläggning etc. - se nedan!</w:t>
      </w:r>
    </w:p>
    <w:p w14:paraId="7524E3BE" w14:textId="1E812AE9" w:rsidR="00D51677" w:rsidRPr="00C05E73" w:rsidRDefault="00D51677" w:rsidP="0026274C">
      <w:pPr>
        <w:pStyle w:val="Punktlista"/>
      </w:pPr>
      <w:r w:rsidRPr="00D51677">
        <w:t>Patienten får lokalbedövning i samband med behandlingen. Innan patienten ska ställa sig upp är det viktigt att kontrollera muskelstyrkan i benen då det finns risk att lokalbedövningen bedövat nervus femoralis. Kontrollen görs genom att patienten får spjärna mot en vårdpersonals händer som då värderar muskelstyrkan i trycket. Första gången patienten ställer sig upp görs detta med hjälp från två personer.</w:t>
      </w:r>
    </w:p>
    <w:p w14:paraId="03BBFA2C" w14:textId="77777777" w:rsidR="00C05E73" w:rsidRPr="00C05E73" w:rsidRDefault="00C05E73" w:rsidP="0026274C">
      <w:pPr>
        <w:pStyle w:val="Rubrik3"/>
      </w:pPr>
      <w:r w:rsidRPr="00C05E73">
        <w:t>Misstänkt angiografi/PTA-komplikation</w:t>
      </w:r>
    </w:p>
    <w:p w14:paraId="5D790CAD" w14:textId="77777777" w:rsidR="00C05E73" w:rsidRPr="00C05E73" w:rsidRDefault="00C05E73" w:rsidP="0026274C">
      <w:r w:rsidRPr="00C05E73">
        <w:t xml:space="preserve">Vid misstänkt blödningskomplikation kontaktas i första hand radiolog som utfört åtgärden (tfn </w:t>
      </w:r>
      <w:r w:rsidRPr="00C05E73">
        <w:rPr>
          <w:b/>
          <w:bCs/>
        </w:rPr>
        <w:t>1208/1220</w:t>
      </w:r>
      <w:r w:rsidRPr="00C05E73">
        <w:t xml:space="preserve">), i andra hand kärlkirurg-jouren, tfn </w:t>
      </w:r>
      <w:r w:rsidRPr="00C05E73">
        <w:rPr>
          <w:b/>
          <w:bCs/>
        </w:rPr>
        <w:t>2660</w:t>
      </w:r>
      <w:r w:rsidRPr="00C05E73">
        <w:t xml:space="preserve">. Om denne står på operation, kontaktas primärjouren i allmänkirurgi, tfn </w:t>
      </w:r>
      <w:r w:rsidRPr="00C05E73">
        <w:rPr>
          <w:b/>
          <w:bCs/>
        </w:rPr>
        <w:t>2600</w:t>
      </w:r>
      <w:r w:rsidRPr="00C05E73">
        <w:t>.</w:t>
      </w:r>
    </w:p>
    <w:p w14:paraId="07E82683" w14:textId="77777777" w:rsidR="00C05E73" w:rsidRPr="00C05E73" w:rsidRDefault="00C05E73" w:rsidP="0026274C">
      <w:r w:rsidRPr="00C05E73">
        <w:t>Om patient inte klarar hemgång från operation 2 kontaktas i första hand kärlkirurg.</w:t>
      </w:r>
    </w:p>
    <w:p w14:paraId="360AD17C" w14:textId="77777777" w:rsidR="00C05E73" w:rsidRPr="00776798" w:rsidRDefault="00C05E73" w:rsidP="00B85282">
      <w:pPr>
        <w:pStyle w:val="Rubrik2"/>
      </w:pPr>
      <w:bookmarkStart w:id="5" w:name="_Toc182366122"/>
      <w:bookmarkStart w:id="6" w:name="_Toc314219399"/>
      <w:r w:rsidRPr="00776798">
        <w:lastRenderedPageBreak/>
        <w:t>Dokumentinformation</w:t>
      </w:r>
      <w:bookmarkEnd w:id="5"/>
      <w:bookmarkEnd w:id="6"/>
    </w:p>
    <w:p w14:paraId="58136361" w14:textId="77777777" w:rsidR="00C05E73" w:rsidRPr="00776798" w:rsidRDefault="00C05E73" w:rsidP="00B85282">
      <w:pPr>
        <w:keepNext/>
        <w:keepLines/>
        <w:spacing w:after="0"/>
        <w:rPr>
          <w:b/>
          <w:bCs/>
        </w:rPr>
      </w:pPr>
      <w:r w:rsidRPr="00776798">
        <w:rPr>
          <w:b/>
          <w:bCs/>
        </w:rPr>
        <w:t>För innehållet svarar</w:t>
      </w:r>
    </w:p>
    <w:p w14:paraId="1EF9FAED" w14:textId="40893088" w:rsidR="7F991D40" w:rsidRPr="00776798" w:rsidRDefault="7F991D40" w:rsidP="00542399">
      <w:pPr>
        <w:keepNext/>
        <w:keepLines/>
      </w:pPr>
      <w:r w:rsidRPr="00776798">
        <w:t>Robert Olin, specialist kärkirurgi, kirurg- och öronkliniken, SÄS</w:t>
      </w:r>
      <w:r w:rsidR="00542399">
        <w:br/>
      </w:r>
      <w:r w:rsidR="00542399">
        <w:t>Johanna Göthager</w:t>
      </w:r>
      <w:r w:rsidR="00542399">
        <w:t>, v</w:t>
      </w:r>
      <w:r w:rsidR="00542399">
        <w:t>årdenhetschef</w:t>
      </w:r>
      <w:r w:rsidR="00542399">
        <w:t>, o</w:t>
      </w:r>
      <w:r w:rsidR="00542399">
        <w:t>peration 2</w:t>
      </w:r>
      <w:r w:rsidR="00663F6D">
        <w:t>, a</w:t>
      </w:r>
      <w:r w:rsidR="00663F6D" w:rsidRPr="00663F6D">
        <w:t>nestesikliniken</w:t>
      </w:r>
      <w:r w:rsidR="00663F6D">
        <w:t>, SÄS</w:t>
      </w:r>
    </w:p>
    <w:p w14:paraId="58BCA62B" w14:textId="77777777" w:rsidR="00C05E73" w:rsidRPr="00B85282" w:rsidRDefault="00C05E73" w:rsidP="00B85282">
      <w:pPr>
        <w:keepNext/>
        <w:keepLines/>
        <w:spacing w:after="0"/>
        <w:rPr>
          <w:b/>
          <w:bCs/>
        </w:rPr>
      </w:pPr>
      <w:bookmarkStart w:id="7" w:name="OLE_LINK5"/>
      <w:bookmarkStart w:id="8" w:name="OLE_LINK6"/>
      <w:r w:rsidRPr="00776798">
        <w:rPr>
          <w:b/>
          <w:bCs/>
        </w:rPr>
        <w:t>Utgivningsdatum</w:t>
      </w:r>
      <w:r w:rsidRPr="00B85282">
        <w:rPr>
          <w:b/>
          <w:bCs/>
        </w:rPr>
        <w:t>, utgåva 1 (internt kirurgkliniken)</w:t>
      </w:r>
    </w:p>
    <w:p w14:paraId="583FB362" w14:textId="77777777" w:rsidR="00C05E73" w:rsidRPr="00C05E73" w:rsidRDefault="00C05E73" w:rsidP="00B85282">
      <w:pPr>
        <w:keepNext/>
        <w:keepLines/>
        <w:rPr>
          <w:szCs w:val="20"/>
        </w:rPr>
      </w:pPr>
      <w:r w:rsidRPr="00C05E73">
        <w:rPr>
          <w:szCs w:val="20"/>
        </w:rPr>
        <w:t>2006-04-28</w:t>
      </w:r>
    </w:p>
    <w:p w14:paraId="1ED1A8CB" w14:textId="77777777" w:rsidR="00C05E73" w:rsidRPr="00B85282" w:rsidRDefault="00C05E73" w:rsidP="00B85282">
      <w:pPr>
        <w:keepNext/>
        <w:keepLines/>
        <w:spacing w:after="0"/>
        <w:rPr>
          <w:b/>
          <w:bCs/>
        </w:rPr>
      </w:pPr>
      <w:bookmarkStart w:id="9" w:name="_Toc149035757"/>
      <w:bookmarkStart w:id="10" w:name="_Toc149978547"/>
      <w:bookmarkEnd w:id="7"/>
      <w:bookmarkEnd w:id="8"/>
      <w:r w:rsidRPr="00B85282">
        <w:rPr>
          <w:b/>
          <w:bCs/>
        </w:rPr>
        <w:t>Remissinstanser</w:t>
      </w:r>
      <w:bookmarkEnd w:id="9"/>
      <w:bookmarkEnd w:id="10"/>
      <w:r w:rsidRPr="00B85282">
        <w:rPr>
          <w:b/>
          <w:bCs/>
        </w:rPr>
        <w:t xml:space="preserve"> </w:t>
      </w:r>
    </w:p>
    <w:p w14:paraId="6C4546B0" w14:textId="77777777" w:rsidR="00C05E73" w:rsidRPr="00C05E73" w:rsidRDefault="00C05E73" w:rsidP="00B85282">
      <w:pPr>
        <w:keepNext/>
        <w:keepLines/>
        <w:rPr>
          <w:szCs w:val="20"/>
        </w:rPr>
      </w:pPr>
      <w:r w:rsidRPr="00C05E73">
        <w:rPr>
          <w:szCs w:val="20"/>
        </w:rPr>
        <w:t>Verksamhetschefer, SÄS</w:t>
      </w:r>
    </w:p>
    <w:p w14:paraId="38B5D110" w14:textId="77777777" w:rsidR="00C05E73" w:rsidRPr="00B85282" w:rsidRDefault="00C05E73" w:rsidP="00B85282">
      <w:pPr>
        <w:keepNext/>
        <w:keepLines/>
        <w:spacing w:after="0"/>
        <w:rPr>
          <w:b/>
          <w:bCs/>
        </w:rPr>
      </w:pPr>
      <w:r w:rsidRPr="00B85282">
        <w:rPr>
          <w:b/>
          <w:bCs/>
        </w:rPr>
        <w:t>Fastställt av</w:t>
      </w:r>
    </w:p>
    <w:p w14:paraId="322227DB" w14:textId="60B2D3D7" w:rsidR="00C05E73" w:rsidRPr="00C05E73" w:rsidRDefault="00663F6D" w:rsidP="00B85282">
      <w:pPr>
        <w:keepNext/>
        <w:keepLines/>
        <w:rPr>
          <w:szCs w:val="20"/>
        </w:rPr>
      </w:pPr>
      <w:r>
        <w:rPr>
          <w:szCs w:val="20"/>
        </w:rPr>
        <w:t>Joacim Stalfors</w:t>
      </w:r>
      <w:r w:rsidR="00C05E73" w:rsidRPr="00C05E73">
        <w:rPr>
          <w:szCs w:val="20"/>
        </w:rPr>
        <w:t>, chefläkare, SÄS</w:t>
      </w:r>
    </w:p>
    <w:p w14:paraId="635FDC9D" w14:textId="77777777" w:rsidR="00C05E73" w:rsidRPr="00B85282" w:rsidRDefault="00C05E73" w:rsidP="00B85282">
      <w:pPr>
        <w:keepNext/>
        <w:keepLines/>
        <w:spacing w:after="0"/>
        <w:rPr>
          <w:b/>
          <w:bCs/>
        </w:rPr>
      </w:pPr>
      <w:r w:rsidRPr="00B85282">
        <w:rPr>
          <w:b/>
          <w:bCs/>
        </w:rPr>
        <w:t>Nyckelord</w:t>
      </w:r>
    </w:p>
    <w:p w14:paraId="6F9F6DFD" w14:textId="77777777" w:rsidR="00C05E73" w:rsidRPr="00C05E73" w:rsidRDefault="00C05E73" w:rsidP="00B85282">
      <w:pPr>
        <w:keepNext/>
        <w:keepLines/>
        <w:rPr>
          <w:szCs w:val="20"/>
        </w:rPr>
      </w:pPr>
      <w:bookmarkStart w:id="11" w:name="OLE_LINK4"/>
      <w:bookmarkStart w:id="12" w:name="OLE_LINK3"/>
      <w:bookmarkStart w:id="13" w:name="OLE_LINK7"/>
      <w:r w:rsidRPr="00C05E73">
        <w:rPr>
          <w:szCs w:val="20"/>
        </w:rPr>
        <w:t>Angiografi, PTA, stent</w:t>
      </w:r>
      <w:bookmarkEnd w:id="11"/>
      <w:bookmarkEnd w:id="12"/>
      <w:bookmarkEnd w:id="13"/>
      <w:r w:rsidRPr="00C05E73">
        <w:rPr>
          <w:szCs w:val="20"/>
        </w:rPr>
        <w:t>, kärlröntgen, kontraströntgen, kontrastmedel</w:t>
      </w:r>
    </w:p>
    <w:p w14:paraId="365C1C6C" w14:textId="77777777" w:rsidR="00C05E73" w:rsidRPr="00C05E73" w:rsidRDefault="00C05E73" w:rsidP="00B85282">
      <w:pPr>
        <w:pStyle w:val="Rubrik2"/>
      </w:pPr>
      <w:r w:rsidRPr="00C05E73">
        <w:t>Länkförteckning</w:t>
      </w:r>
    </w:p>
    <w:p w14:paraId="76B9F95B" w14:textId="0B349BB4" w:rsidR="00536A5A" w:rsidRPr="000C1F5D" w:rsidRDefault="00C05E73" w:rsidP="000C1F5D">
      <w:pPr>
        <w:pStyle w:val="Punktlista"/>
      </w:pPr>
      <w:r w:rsidRPr="000C1F5D">
        <w:t>Antikoagulantia och trombocythämmare, tillfällig utsättning inför elektiv operation. Sjukhusövergripande riktlinje, SÄS.</w:t>
      </w:r>
      <w:r w:rsidRPr="000C1F5D">
        <w:br/>
      </w:r>
      <w:hyperlink r:id="rId18" w:history="1">
        <w:r w:rsidR="000C1F5D" w:rsidRPr="000C1F5D">
          <w:rPr>
            <w:rStyle w:val="Hyperlnk"/>
          </w:rPr>
          <w:t>https://hittadokument.vgregion.se/sas</w:t>
        </w:r>
      </w:hyperlink>
      <w:bookmarkEnd w:id="0"/>
    </w:p>
    <w:sectPr w:rsidR="00536A5A" w:rsidRPr="000C1F5D" w:rsidSect="00C05E73">
      <w:type w:val="continuous"/>
      <w:pgSz w:w="11900" w:h="16840"/>
      <w:pgMar w:top="1418" w:right="1979" w:bottom="1276" w:left="992" w:header="283" w:footer="74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9698" w14:textId="77777777" w:rsidR="00363B23" w:rsidRDefault="00363B23">
      <w:r>
        <w:separator/>
      </w:r>
    </w:p>
  </w:endnote>
  <w:endnote w:type="continuationSeparator" w:id="0">
    <w:p w14:paraId="38030764" w14:textId="77777777" w:rsidR="00363B23" w:rsidRDefault="00363B23">
      <w:r>
        <w:continuationSeparator/>
      </w:r>
    </w:p>
  </w:endnote>
  <w:endnote w:type="continuationNotice" w:id="1">
    <w:p w14:paraId="0576E0AF" w14:textId="77777777" w:rsidR="00363B23" w:rsidRDefault="00363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820" w14:textId="77777777" w:rsidR="00660269" w:rsidRDefault="00660269" w:rsidP="00C43BDD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FE2B821" w14:textId="77777777" w:rsidR="00660269" w:rsidRDefault="00660269" w:rsidP="00C43BD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0314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7BD2091" w14:textId="4558F808" w:rsidR="00C50EE5" w:rsidRPr="00EC0A68" w:rsidRDefault="00A65FD4" w:rsidP="00EC0A68">
        <w:pPr>
          <w:pStyle w:val="Sidfot"/>
          <w:rPr>
            <w:sz w:val="16"/>
            <w:szCs w:val="16"/>
          </w:rPr>
        </w:pPr>
        <w:r w:rsidRPr="00EC0A68">
          <w:rPr>
            <w:sz w:val="16"/>
            <w:szCs w:val="16"/>
          </w:rPr>
          <w:t xml:space="preserve"> </w:t>
        </w:r>
        <w:r w:rsidR="00EC0A68" w:rsidRPr="00EC0A68">
          <w:rPr>
            <w:sz w:val="16"/>
            <w:szCs w:val="16"/>
          </w:rPr>
          <w:fldChar w:fldCharType="begin"/>
        </w:r>
        <w:r w:rsidR="00EC0A68" w:rsidRPr="00EC0A68">
          <w:rPr>
            <w:sz w:val="16"/>
            <w:szCs w:val="16"/>
          </w:rPr>
          <w:instrText>PAGE   \* MERGEFORMAT</w:instrText>
        </w:r>
        <w:r w:rsidR="00EC0A68" w:rsidRPr="00EC0A68">
          <w:rPr>
            <w:sz w:val="16"/>
            <w:szCs w:val="16"/>
          </w:rPr>
          <w:fldChar w:fldCharType="separate"/>
        </w:r>
        <w:r w:rsidR="00EC0A68" w:rsidRPr="00EC0A68">
          <w:rPr>
            <w:sz w:val="16"/>
            <w:szCs w:val="16"/>
          </w:rPr>
          <w:t>2</w:t>
        </w:r>
        <w:r w:rsidR="00EC0A68" w:rsidRPr="00EC0A68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822" w14:textId="063AE373" w:rsidR="00660269" w:rsidRDefault="009228AB" w:rsidP="00FB2F0F">
    <w:pPr>
      <w:pStyle w:val="Sidfot"/>
      <w:ind w:left="6237" w:hanging="141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FE2B825" wp14:editId="1C346EBA">
          <wp:simplePos x="0" y="0"/>
          <wp:positionH relativeFrom="column">
            <wp:posOffset>4388307</wp:posOffset>
          </wp:positionH>
          <wp:positionV relativeFrom="paragraph">
            <wp:posOffset>-27355</wp:posOffset>
          </wp:positionV>
          <wp:extent cx="1897920" cy="384860"/>
          <wp:effectExtent l="0" t="0" r="7620" b="0"/>
          <wp:wrapNone/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_N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671" cy="39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26E6" w14:textId="77777777" w:rsidR="00363B23" w:rsidRDefault="00363B23"/>
  </w:footnote>
  <w:footnote w:type="continuationSeparator" w:id="0">
    <w:p w14:paraId="5C57738A" w14:textId="77777777" w:rsidR="00363B23" w:rsidRDefault="00363B23">
      <w:r>
        <w:continuationSeparator/>
      </w:r>
    </w:p>
  </w:footnote>
  <w:footnote w:type="continuationNotice" w:id="1">
    <w:p w14:paraId="4F5088BD" w14:textId="77777777" w:rsidR="00363B23" w:rsidRDefault="00363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8EE5" w14:textId="39C06E14" w:rsidR="00294791" w:rsidRPr="00DA65C4" w:rsidRDefault="00DA65C4" w:rsidP="00DA65C4">
    <w:pPr>
      <w:pStyle w:val="Sidhuvud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7" behindDoc="0" locked="0" layoutInCell="1" allowOverlap="1" wp14:anchorId="264BC60A" wp14:editId="43F9402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667250" cy="32385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464969" w14:textId="1B285E8B" w:rsidR="00DA65C4" w:rsidRDefault="00DA65C4" w:rsidP="00DA65C4">
                          <w:pPr>
                            <w:ind w:left="0"/>
                          </w:pPr>
                          <w:r w:rsidRPr="00762EE0">
                            <w:rPr>
                              <w:sz w:val="20"/>
                              <w:szCs w:val="20"/>
                            </w:rPr>
                            <w:t>OBS! Utskriven version kan vara ogiltig. Verifiera innehållet</w:t>
                          </w:r>
                          <w:r w:rsidR="00367D19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4BC60A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6" type="#_x0000_t202" style="position:absolute;left:0;text-align:left;margin-left:0;margin-top:-.05pt;width:367.5pt;height:25.5pt;z-index:2516725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" filled="f" stroked="f" strokeweight=".5pt">
              <v:textbox>
                <w:txbxContent>
                  <w:p w14:paraId="70464969" w14:textId="1B285E8B" w:rsidR="00DA65C4" w:rsidRDefault="00DA65C4" w:rsidP="00DA65C4">
                    <w:pPr>
                      <w:ind w:left="0"/>
                    </w:pPr>
                    <w:r w:rsidRPr="00762EE0">
                      <w:rPr>
                        <w:sz w:val="20"/>
                        <w:szCs w:val="20"/>
                      </w:rPr>
                      <w:t>OBS! Utskriven version kan vara ogiltig. Verifiera innehållet</w:t>
                    </w:r>
                    <w:r w:rsidR="00367D19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DD4D" w14:textId="4A49575C" w:rsidR="008A4EB9" w:rsidRDefault="00413A60" w:rsidP="00413A60">
    <w:pPr>
      <w:pStyle w:val="Sidhuvud"/>
      <w:ind w:left="0" w:right="567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9" behindDoc="0" locked="0" layoutInCell="1" allowOverlap="1" wp14:anchorId="5B7982AB" wp14:editId="73171272">
              <wp:simplePos x="0" y="0"/>
              <wp:positionH relativeFrom="column">
                <wp:posOffset>-172720</wp:posOffset>
              </wp:positionH>
              <wp:positionV relativeFrom="paragraph">
                <wp:posOffset>-65405</wp:posOffset>
              </wp:positionV>
              <wp:extent cx="4667250" cy="32385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D45401" w14:textId="0A2CCBAA" w:rsidR="00413A60" w:rsidRDefault="00413A60">
                          <w:pPr>
                            <w:ind w:left="0"/>
                          </w:pPr>
                          <w:r w:rsidRPr="00762EE0">
                            <w:rPr>
                              <w:sz w:val="20"/>
                              <w:szCs w:val="20"/>
                            </w:rPr>
                            <w:t>OBS! Utskriven version kan vara ogiltig. Verifiera innehållet</w:t>
                          </w:r>
                          <w:r w:rsidR="00367D19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7982AB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-13.6pt;margin-top:-5.15pt;width:367.5pt;height:25.5pt;z-index:2516705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" filled="f" stroked="f" strokeweight=".5pt">
              <v:textbox>
                <w:txbxContent>
                  <w:p w14:paraId="72D45401" w14:textId="0A2CCBAA" w:rsidR="00413A60" w:rsidRDefault="00413A60">
                    <w:pPr>
                      <w:ind w:left="0"/>
                    </w:pPr>
                    <w:r w:rsidRPr="00762EE0">
                      <w:rPr>
                        <w:sz w:val="20"/>
                        <w:szCs w:val="20"/>
                      </w:rPr>
                      <w:t>OBS! Utskriven version kan vara ogiltig. Verifiera innehållet</w:t>
                    </w:r>
                    <w:r w:rsidR="00367D19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CA39EF" w:rsidRPr="00762EE0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F5396D5" wp14:editId="7AA9356B">
          <wp:simplePos x="0" y="0"/>
          <wp:positionH relativeFrom="page">
            <wp:posOffset>17744</wp:posOffset>
          </wp:positionH>
          <wp:positionV relativeFrom="paragraph">
            <wp:posOffset>198873</wp:posOffset>
          </wp:positionV>
          <wp:extent cx="7559040" cy="216408"/>
          <wp:effectExtent l="0" t="0" r="0" b="0"/>
          <wp:wrapNone/>
          <wp:docPr id="4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8A6" w:rsidRPr="00762EE0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CC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C063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F67F4"/>
    <w:multiLevelType w:val="hybridMultilevel"/>
    <w:tmpl w:val="75525A52"/>
    <w:lvl w:ilvl="0" w:tplc="A0D819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3" w15:restartNumberingAfterBreak="0">
    <w:nsid w:val="07F0337A"/>
    <w:multiLevelType w:val="hybridMultilevel"/>
    <w:tmpl w:val="1E54CEB4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35A157B"/>
    <w:multiLevelType w:val="hybridMultilevel"/>
    <w:tmpl w:val="656670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80309A"/>
    <w:multiLevelType w:val="hybridMultilevel"/>
    <w:tmpl w:val="7B82C9A8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1D074A65"/>
    <w:multiLevelType w:val="hybridMultilevel"/>
    <w:tmpl w:val="E104E4E6"/>
    <w:lvl w:ilvl="0" w:tplc="F49A5562">
      <w:start w:val="1"/>
      <w:numFmt w:val="bullet"/>
      <w:pStyle w:val="Faktarut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520AB4"/>
    <w:multiLevelType w:val="hybridMultilevel"/>
    <w:tmpl w:val="B9E412AC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38A42FB9"/>
    <w:multiLevelType w:val="hybridMultilevel"/>
    <w:tmpl w:val="09EA90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74E09"/>
    <w:multiLevelType w:val="hybridMultilevel"/>
    <w:tmpl w:val="DDF0BC38"/>
    <w:lvl w:ilvl="0" w:tplc="34668BAA">
      <w:start w:val="1"/>
      <w:numFmt w:val="bullet"/>
      <w:pStyle w:val="Punktlista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928FF"/>
    <w:multiLevelType w:val="hybridMultilevel"/>
    <w:tmpl w:val="0AE0B72A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2196C05"/>
    <w:multiLevelType w:val="hybridMultilevel"/>
    <w:tmpl w:val="741857F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B58F1"/>
    <w:multiLevelType w:val="hybridMultilevel"/>
    <w:tmpl w:val="97200AA0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54340635"/>
    <w:multiLevelType w:val="hybridMultilevel"/>
    <w:tmpl w:val="1B6660C0"/>
    <w:lvl w:ilvl="0" w:tplc="05061E3A">
      <w:start w:val="1"/>
      <w:numFmt w:val="decimal"/>
      <w:pStyle w:val="Liststycke"/>
      <w:lvlText w:val="%1."/>
      <w:lvlJc w:val="left"/>
      <w:pPr>
        <w:ind w:left="71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5E01E6"/>
    <w:multiLevelType w:val="hybridMultilevel"/>
    <w:tmpl w:val="E154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06B1852"/>
    <w:multiLevelType w:val="hybridMultilevel"/>
    <w:tmpl w:val="4FB2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C077AA9"/>
    <w:multiLevelType w:val="hybridMultilevel"/>
    <w:tmpl w:val="DDC0C0DE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7EA41BCB"/>
    <w:multiLevelType w:val="hybridMultilevel"/>
    <w:tmpl w:val="CAEC6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755321218">
    <w:abstractNumId w:val="17"/>
  </w:num>
  <w:num w:numId="2" w16cid:durableId="2072342169">
    <w:abstractNumId w:val="14"/>
  </w:num>
  <w:num w:numId="3" w16cid:durableId="1663267713">
    <w:abstractNumId w:val="0"/>
  </w:num>
  <w:num w:numId="4" w16cid:durableId="1562789744">
    <w:abstractNumId w:val="6"/>
  </w:num>
  <w:num w:numId="5" w16cid:durableId="1952665379">
    <w:abstractNumId w:val="15"/>
  </w:num>
  <w:num w:numId="6" w16cid:durableId="1173229019">
    <w:abstractNumId w:val="2"/>
  </w:num>
  <w:num w:numId="7" w16cid:durableId="1970429949">
    <w:abstractNumId w:val="11"/>
  </w:num>
  <w:num w:numId="8" w16cid:durableId="1670523589">
    <w:abstractNumId w:val="8"/>
  </w:num>
  <w:num w:numId="9" w16cid:durableId="1250240121">
    <w:abstractNumId w:val="1"/>
  </w:num>
  <w:num w:numId="10" w16cid:durableId="522132232">
    <w:abstractNumId w:val="1"/>
  </w:num>
  <w:num w:numId="11" w16cid:durableId="21520882">
    <w:abstractNumId w:val="3"/>
  </w:num>
  <w:num w:numId="12" w16cid:durableId="1131747309">
    <w:abstractNumId w:val="4"/>
  </w:num>
  <w:num w:numId="13" w16cid:durableId="75905081">
    <w:abstractNumId w:val="13"/>
  </w:num>
  <w:num w:numId="14" w16cid:durableId="734208723">
    <w:abstractNumId w:val="9"/>
  </w:num>
  <w:num w:numId="15" w16cid:durableId="2059819083">
    <w:abstractNumId w:val="7"/>
  </w:num>
  <w:num w:numId="16" w16cid:durableId="665130350">
    <w:abstractNumId w:val="12"/>
  </w:num>
  <w:num w:numId="17" w16cid:durableId="574556456">
    <w:abstractNumId w:val="5"/>
  </w:num>
  <w:num w:numId="18" w16cid:durableId="108285925">
    <w:abstractNumId w:val="10"/>
  </w:num>
  <w:num w:numId="19" w16cid:durableId="2436854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formatting="1" w:enforcement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rokecolor="#4a773c">
      <v:stroke color="#4a773c" weight="1pt"/>
      <v:shadow opacity="24903f" origin=",.5" offset="0,.55556mm"/>
      <o:colormru v:ext="edit" colors="#4a773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DE"/>
    <w:rsid w:val="000051D5"/>
    <w:rsid w:val="00006D2A"/>
    <w:rsid w:val="00010D47"/>
    <w:rsid w:val="00016CF0"/>
    <w:rsid w:val="0002435C"/>
    <w:rsid w:val="00030DDD"/>
    <w:rsid w:val="000313BB"/>
    <w:rsid w:val="00033ED5"/>
    <w:rsid w:val="00050500"/>
    <w:rsid w:val="0005691C"/>
    <w:rsid w:val="00056ECB"/>
    <w:rsid w:val="00056ED5"/>
    <w:rsid w:val="000655CC"/>
    <w:rsid w:val="000700AE"/>
    <w:rsid w:val="00084024"/>
    <w:rsid w:val="0009062C"/>
    <w:rsid w:val="00095368"/>
    <w:rsid w:val="000954C4"/>
    <w:rsid w:val="000A4C35"/>
    <w:rsid w:val="000A611A"/>
    <w:rsid w:val="000B12D9"/>
    <w:rsid w:val="000B4536"/>
    <w:rsid w:val="000B7715"/>
    <w:rsid w:val="000C1F5D"/>
    <w:rsid w:val="000D0EEA"/>
    <w:rsid w:val="000E463B"/>
    <w:rsid w:val="000E5A7E"/>
    <w:rsid w:val="000F43A3"/>
    <w:rsid w:val="000F7681"/>
    <w:rsid w:val="00103031"/>
    <w:rsid w:val="001044FE"/>
    <w:rsid w:val="001139D4"/>
    <w:rsid w:val="00131B08"/>
    <w:rsid w:val="00132A59"/>
    <w:rsid w:val="00133337"/>
    <w:rsid w:val="00133A0F"/>
    <w:rsid w:val="001348EC"/>
    <w:rsid w:val="0013580F"/>
    <w:rsid w:val="00137B6D"/>
    <w:rsid w:val="0014070B"/>
    <w:rsid w:val="001422C1"/>
    <w:rsid w:val="001522AE"/>
    <w:rsid w:val="00157D5B"/>
    <w:rsid w:val="00161FE6"/>
    <w:rsid w:val="001647EA"/>
    <w:rsid w:val="00164C3D"/>
    <w:rsid w:val="00166D3A"/>
    <w:rsid w:val="00176BDC"/>
    <w:rsid w:val="00181FDC"/>
    <w:rsid w:val="001860B9"/>
    <w:rsid w:val="00186F2B"/>
    <w:rsid w:val="001874D6"/>
    <w:rsid w:val="001929EA"/>
    <w:rsid w:val="0019632A"/>
    <w:rsid w:val="001A4E7C"/>
    <w:rsid w:val="001B762C"/>
    <w:rsid w:val="001C4D0A"/>
    <w:rsid w:val="001C5FEF"/>
    <w:rsid w:val="00211487"/>
    <w:rsid w:val="00211D91"/>
    <w:rsid w:val="00217DEC"/>
    <w:rsid w:val="00235B57"/>
    <w:rsid w:val="00250F24"/>
    <w:rsid w:val="002523C5"/>
    <w:rsid w:val="0025380B"/>
    <w:rsid w:val="0025703A"/>
    <w:rsid w:val="0026274C"/>
    <w:rsid w:val="00262F3D"/>
    <w:rsid w:val="00263281"/>
    <w:rsid w:val="002651D6"/>
    <w:rsid w:val="0026551F"/>
    <w:rsid w:val="00280A85"/>
    <w:rsid w:val="00284119"/>
    <w:rsid w:val="00290B5C"/>
    <w:rsid w:val="00294791"/>
    <w:rsid w:val="002B0B30"/>
    <w:rsid w:val="002B0C78"/>
    <w:rsid w:val="002C0C02"/>
    <w:rsid w:val="002C1277"/>
    <w:rsid w:val="002C60AD"/>
    <w:rsid w:val="002D0E0E"/>
    <w:rsid w:val="002D6023"/>
    <w:rsid w:val="002E263F"/>
    <w:rsid w:val="002E6F81"/>
    <w:rsid w:val="002F08BA"/>
    <w:rsid w:val="002F2CFF"/>
    <w:rsid w:val="002F568B"/>
    <w:rsid w:val="002F7818"/>
    <w:rsid w:val="003066D0"/>
    <w:rsid w:val="00311401"/>
    <w:rsid w:val="003203D7"/>
    <w:rsid w:val="00320F86"/>
    <w:rsid w:val="00324171"/>
    <w:rsid w:val="00326C24"/>
    <w:rsid w:val="00337F99"/>
    <w:rsid w:val="0034307B"/>
    <w:rsid w:val="00345EB1"/>
    <w:rsid w:val="00350CC4"/>
    <w:rsid w:val="00360E0D"/>
    <w:rsid w:val="0036357D"/>
    <w:rsid w:val="00363B23"/>
    <w:rsid w:val="0036594C"/>
    <w:rsid w:val="00367D19"/>
    <w:rsid w:val="00371BED"/>
    <w:rsid w:val="00384019"/>
    <w:rsid w:val="003854F1"/>
    <w:rsid w:val="0039118E"/>
    <w:rsid w:val="00397F54"/>
    <w:rsid w:val="003A0D43"/>
    <w:rsid w:val="003B2A4B"/>
    <w:rsid w:val="003D099E"/>
    <w:rsid w:val="003D21A2"/>
    <w:rsid w:val="003D29D2"/>
    <w:rsid w:val="003E0705"/>
    <w:rsid w:val="003E2FF7"/>
    <w:rsid w:val="003F1013"/>
    <w:rsid w:val="003F1ACF"/>
    <w:rsid w:val="00404948"/>
    <w:rsid w:val="00406BEA"/>
    <w:rsid w:val="00413A60"/>
    <w:rsid w:val="004230F7"/>
    <w:rsid w:val="0043167E"/>
    <w:rsid w:val="0043409A"/>
    <w:rsid w:val="00443C1E"/>
    <w:rsid w:val="00446255"/>
    <w:rsid w:val="00451935"/>
    <w:rsid w:val="00460ED0"/>
    <w:rsid w:val="00465651"/>
    <w:rsid w:val="00470CE7"/>
    <w:rsid w:val="00470F4F"/>
    <w:rsid w:val="00472482"/>
    <w:rsid w:val="00480DC7"/>
    <w:rsid w:val="004876F6"/>
    <w:rsid w:val="0049236A"/>
    <w:rsid w:val="00492718"/>
    <w:rsid w:val="004A355D"/>
    <w:rsid w:val="004A4970"/>
    <w:rsid w:val="004B2183"/>
    <w:rsid w:val="004B2A01"/>
    <w:rsid w:val="004C2559"/>
    <w:rsid w:val="004D7BA3"/>
    <w:rsid w:val="004F4518"/>
    <w:rsid w:val="004F4C62"/>
    <w:rsid w:val="00501433"/>
    <w:rsid w:val="00511CC4"/>
    <w:rsid w:val="00531E60"/>
    <w:rsid w:val="00536A5A"/>
    <w:rsid w:val="00541D07"/>
    <w:rsid w:val="00542399"/>
    <w:rsid w:val="00544BAB"/>
    <w:rsid w:val="00545F31"/>
    <w:rsid w:val="005578FA"/>
    <w:rsid w:val="00565129"/>
    <w:rsid w:val="00565CD0"/>
    <w:rsid w:val="00567820"/>
    <w:rsid w:val="005770AD"/>
    <w:rsid w:val="00581414"/>
    <w:rsid w:val="00582490"/>
    <w:rsid w:val="005826FA"/>
    <w:rsid w:val="00597E28"/>
    <w:rsid w:val="005A2E3B"/>
    <w:rsid w:val="005A54ED"/>
    <w:rsid w:val="005A5D5B"/>
    <w:rsid w:val="005A6081"/>
    <w:rsid w:val="005A627D"/>
    <w:rsid w:val="005B1420"/>
    <w:rsid w:val="005C0045"/>
    <w:rsid w:val="005C084E"/>
    <w:rsid w:val="005C4606"/>
    <w:rsid w:val="005D0B0C"/>
    <w:rsid w:val="005E02B3"/>
    <w:rsid w:val="005E1E24"/>
    <w:rsid w:val="0060596B"/>
    <w:rsid w:val="00606D97"/>
    <w:rsid w:val="00614E64"/>
    <w:rsid w:val="00617710"/>
    <w:rsid w:val="00617EE6"/>
    <w:rsid w:val="0062184C"/>
    <w:rsid w:val="00623724"/>
    <w:rsid w:val="00627BEA"/>
    <w:rsid w:val="006319DB"/>
    <w:rsid w:val="0065595B"/>
    <w:rsid w:val="00660269"/>
    <w:rsid w:val="00663F6D"/>
    <w:rsid w:val="00665F89"/>
    <w:rsid w:val="00673C92"/>
    <w:rsid w:val="006753EC"/>
    <w:rsid w:val="006A2789"/>
    <w:rsid w:val="006A4978"/>
    <w:rsid w:val="006A7261"/>
    <w:rsid w:val="006B0D29"/>
    <w:rsid w:val="006B1819"/>
    <w:rsid w:val="006B5C65"/>
    <w:rsid w:val="006B5DE7"/>
    <w:rsid w:val="006C2406"/>
    <w:rsid w:val="006C5048"/>
    <w:rsid w:val="006C6A4B"/>
    <w:rsid w:val="006C779F"/>
    <w:rsid w:val="006D01F5"/>
    <w:rsid w:val="006D0CFB"/>
    <w:rsid w:val="006D30C0"/>
    <w:rsid w:val="006D7535"/>
    <w:rsid w:val="006E450B"/>
    <w:rsid w:val="006F0D7E"/>
    <w:rsid w:val="00710B77"/>
    <w:rsid w:val="0072075B"/>
    <w:rsid w:val="007221C2"/>
    <w:rsid w:val="00725816"/>
    <w:rsid w:val="00730955"/>
    <w:rsid w:val="00733A9C"/>
    <w:rsid w:val="00736574"/>
    <w:rsid w:val="007367E0"/>
    <w:rsid w:val="00737215"/>
    <w:rsid w:val="00754905"/>
    <w:rsid w:val="00760038"/>
    <w:rsid w:val="00762EE0"/>
    <w:rsid w:val="00765C41"/>
    <w:rsid w:val="00771100"/>
    <w:rsid w:val="007759DD"/>
    <w:rsid w:val="00776798"/>
    <w:rsid w:val="0078609F"/>
    <w:rsid w:val="007917BA"/>
    <w:rsid w:val="007A5C6F"/>
    <w:rsid w:val="007D4241"/>
    <w:rsid w:val="007D4317"/>
    <w:rsid w:val="007D4EA3"/>
    <w:rsid w:val="007F1CFF"/>
    <w:rsid w:val="007F1E87"/>
    <w:rsid w:val="007F5DD5"/>
    <w:rsid w:val="00821A1B"/>
    <w:rsid w:val="008262E9"/>
    <w:rsid w:val="00827E69"/>
    <w:rsid w:val="00835C4D"/>
    <w:rsid w:val="00843F48"/>
    <w:rsid w:val="00851423"/>
    <w:rsid w:val="00857848"/>
    <w:rsid w:val="008654B6"/>
    <w:rsid w:val="0087139C"/>
    <w:rsid w:val="00880E83"/>
    <w:rsid w:val="00892F28"/>
    <w:rsid w:val="008A0C5F"/>
    <w:rsid w:val="008A3DEA"/>
    <w:rsid w:val="008A4EB9"/>
    <w:rsid w:val="008A74C0"/>
    <w:rsid w:val="008B1694"/>
    <w:rsid w:val="008C4B27"/>
    <w:rsid w:val="008C7F2A"/>
    <w:rsid w:val="008E36F8"/>
    <w:rsid w:val="008E46B2"/>
    <w:rsid w:val="008E682C"/>
    <w:rsid w:val="008E78A1"/>
    <w:rsid w:val="008F589F"/>
    <w:rsid w:val="00906238"/>
    <w:rsid w:val="00907EF9"/>
    <w:rsid w:val="0091295C"/>
    <w:rsid w:val="00914D58"/>
    <w:rsid w:val="00921F47"/>
    <w:rsid w:val="009228AB"/>
    <w:rsid w:val="0093085B"/>
    <w:rsid w:val="00931C57"/>
    <w:rsid w:val="009347A5"/>
    <w:rsid w:val="00942257"/>
    <w:rsid w:val="009471BF"/>
    <w:rsid w:val="00950E4E"/>
    <w:rsid w:val="009529BD"/>
    <w:rsid w:val="009533B4"/>
    <w:rsid w:val="00971D93"/>
    <w:rsid w:val="009B1F6B"/>
    <w:rsid w:val="009C0D12"/>
    <w:rsid w:val="009C192E"/>
    <w:rsid w:val="009D6819"/>
    <w:rsid w:val="009D6D1C"/>
    <w:rsid w:val="009E0CF9"/>
    <w:rsid w:val="009E531B"/>
    <w:rsid w:val="009E6C56"/>
    <w:rsid w:val="009E7DCF"/>
    <w:rsid w:val="009F4A56"/>
    <w:rsid w:val="009F4E65"/>
    <w:rsid w:val="00A006A5"/>
    <w:rsid w:val="00A05942"/>
    <w:rsid w:val="00A07BEC"/>
    <w:rsid w:val="00A264BE"/>
    <w:rsid w:val="00A272CA"/>
    <w:rsid w:val="00A33051"/>
    <w:rsid w:val="00A407AD"/>
    <w:rsid w:val="00A40923"/>
    <w:rsid w:val="00A41C05"/>
    <w:rsid w:val="00A42426"/>
    <w:rsid w:val="00A514B7"/>
    <w:rsid w:val="00A54A0B"/>
    <w:rsid w:val="00A65FD4"/>
    <w:rsid w:val="00A81198"/>
    <w:rsid w:val="00A81E48"/>
    <w:rsid w:val="00A82035"/>
    <w:rsid w:val="00A90D77"/>
    <w:rsid w:val="00A92E07"/>
    <w:rsid w:val="00AA0B3A"/>
    <w:rsid w:val="00AA6EB4"/>
    <w:rsid w:val="00AA767D"/>
    <w:rsid w:val="00AB0CC9"/>
    <w:rsid w:val="00AC3FF6"/>
    <w:rsid w:val="00AD73EC"/>
    <w:rsid w:val="00AE5BC7"/>
    <w:rsid w:val="00AF5AAF"/>
    <w:rsid w:val="00B046D8"/>
    <w:rsid w:val="00B13F4C"/>
    <w:rsid w:val="00B16219"/>
    <w:rsid w:val="00B16C59"/>
    <w:rsid w:val="00B33FDD"/>
    <w:rsid w:val="00B359CC"/>
    <w:rsid w:val="00B36107"/>
    <w:rsid w:val="00B41789"/>
    <w:rsid w:val="00B46C03"/>
    <w:rsid w:val="00B60C6C"/>
    <w:rsid w:val="00B619A9"/>
    <w:rsid w:val="00B65A9D"/>
    <w:rsid w:val="00B66D60"/>
    <w:rsid w:val="00B75EDE"/>
    <w:rsid w:val="00B77D88"/>
    <w:rsid w:val="00B77FAF"/>
    <w:rsid w:val="00B84336"/>
    <w:rsid w:val="00B851B9"/>
    <w:rsid w:val="00B85282"/>
    <w:rsid w:val="00B86453"/>
    <w:rsid w:val="00B90054"/>
    <w:rsid w:val="00B92C14"/>
    <w:rsid w:val="00BA0066"/>
    <w:rsid w:val="00BB69DB"/>
    <w:rsid w:val="00BC322E"/>
    <w:rsid w:val="00BC44CD"/>
    <w:rsid w:val="00BC48A6"/>
    <w:rsid w:val="00BE7978"/>
    <w:rsid w:val="00C05E73"/>
    <w:rsid w:val="00C07DDB"/>
    <w:rsid w:val="00C4115D"/>
    <w:rsid w:val="00C43BDD"/>
    <w:rsid w:val="00C47778"/>
    <w:rsid w:val="00C5011E"/>
    <w:rsid w:val="00C50EE5"/>
    <w:rsid w:val="00C5240A"/>
    <w:rsid w:val="00C5398F"/>
    <w:rsid w:val="00C556F5"/>
    <w:rsid w:val="00C70E19"/>
    <w:rsid w:val="00C72574"/>
    <w:rsid w:val="00C7430C"/>
    <w:rsid w:val="00C85DA1"/>
    <w:rsid w:val="00C9071C"/>
    <w:rsid w:val="00C908FF"/>
    <w:rsid w:val="00C97BD3"/>
    <w:rsid w:val="00CA39EF"/>
    <w:rsid w:val="00CA521F"/>
    <w:rsid w:val="00CB0493"/>
    <w:rsid w:val="00CB17FF"/>
    <w:rsid w:val="00CB1ED7"/>
    <w:rsid w:val="00CC167C"/>
    <w:rsid w:val="00CC52D9"/>
    <w:rsid w:val="00CD6647"/>
    <w:rsid w:val="00CE4B73"/>
    <w:rsid w:val="00CF70BB"/>
    <w:rsid w:val="00D074DB"/>
    <w:rsid w:val="00D139CF"/>
    <w:rsid w:val="00D37E7F"/>
    <w:rsid w:val="00D47AD7"/>
    <w:rsid w:val="00D51529"/>
    <w:rsid w:val="00D51677"/>
    <w:rsid w:val="00D85218"/>
    <w:rsid w:val="00D915B1"/>
    <w:rsid w:val="00DA299D"/>
    <w:rsid w:val="00DA65C4"/>
    <w:rsid w:val="00DD2BE0"/>
    <w:rsid w:val="00DE4447"/>
    <w:rsid w:val="00DE5DA2"/>
    <w:rsid w:val="00DF0033"/>
    <w:rsid w:val="00E026BF"/>
    <w:rsid w:val="00E07B1B"/>
    <w:rsid w:val="00E11853"/>
    <w:rsid w:val="00E52A86"/>
    <w:rsid w:val="00E54B47"/>
    <w:rsid w:val="00E553BF"/>
    <w:rsid w:val="00E55D93"/>
    <w:rsid w:val="00E61294"/>
    <w:rsid w:val="00E7237C"/>
    <w:rsid w:val="00E77C46"/>
    <w:rsid w:val="00E80D8A"/>
    <w:rsid w:val="00E86CE8"/>
    <w:rsid w:val="00E90E82"/>
    <w:rsid w:val="00EA00CB"/>
    <w:rsid w:val="00EA1BAA"/>
    <w:rsid w:val="00EA3FCD"/>
    <w:rsid w:val="00EA42A0"/>
    <w:rsid w:val="00EB6714"/>
    <w:rsid w:val="00EC0A68"/>
    <w:rsid w:val="00EC5006"/>
    <w:rsid w:val="00ED49C3"/>
    <w:rsid w:val="00ED6CE8"/>
    <w:rsid w:val="00ED7AA6"/>
    <w:rsid w:val="00EE2A56"/>
    <w:rsid w:val="00EE3818"/>
    <w:rsid w:val="00F22264"/>
    <w:rsid w:val="00F2564D"/>
    <w:rsid w:val="00F25A9A"/>
    <w:rsid w:val="00F35B05"/>
    <w:rsid w:val="00F413D9"/>
    <w:rsid w:val="00F5135F"/>
    <w:rsid w:val="00F51F78"/>
    <w:rsid w:val="00F86F47"/>
    <w:rsid w:val="00F90B64"/>
    <w:rsid w:val="00FB2F0F"/>
    <w:rsid w:val="00FB47F8"/>
    <w:rsid w:val="00FB5086"/>
    <w:rsid w:val="00FB5411"/>
    <w:rsid w:val="00FB6392"/>
    <w:rsid w:val="00FD3C70"/>
    <w:rsid w:val="00FD6820"/>
    <w:rsid w:val="00FE12D8"/>
    <w:rsid w:val="00FF7C02"/>
    <w:rsid w:val="024801E3"/>
    <w:rsid w:val="1D132902"/>
    <w:rsid w:val="647B2B65"/>
    <w:rsid w:val="6B2CF8ED"/>
    <w:rsid w:val="7DFD4CDF"/>
    <w:rsid w:val="7F9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rokecolor="#4a773c">
      <v:stroke color="#4a773c" weight="1pt"/>
      <v:shadow opacity="24903f" origin=",.5" offset="0,.55556mm"/>
      <o:colormru v:ext="edit" colors="#4a773c"/>
    </o:shapedefaults>
    <o:shapelayout v:ext="edit">
      <o:idmap v:ext="edit" data="1"/>
    </o:shapelayout>
  </w:shapeDefaults>
  <w:doNotEmbedSmartTags/>
  <w:decimalSymbol w:val=","/>
  <w:listSeparator w:val=";"/>
  <w14:docId w14:val="1FE2B7EB"/>
  <w14:defaultImageDpi w14:val="330"/>
  <w15:docId w15:val="{05325872-151F-41A7-9AD9-8EFA6E1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locked="1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5F"/>
    <w:pPr>
      <w:spacing w:after="120" w:line="288" w:lineRule="auto"/>
      <w:ind w:left="992" w:right="868"/>
    </w:pPr>
    <w:rPr>
      <w:sz w:val="24"/>
      <w:szCs w:val="24"/>
    </w:rPr>
  </w:style>
  <w:style w:type="paragraph" w:styleId="Rubrik1">
    <w:name w:val="heading 1"/>
    <w:aliases w:val="Rubrik VGR"/>
    <w:next w:val="Normal"/>
    <w:link w:val="Rubrik1Char"/>
    <w:qFormat/>
    <w:rsid w:val="00FB6392"/>
    <w:pPr>
      <w:keepNext/>
      <w:spacing w:after="240" w:line="288" w:lineRule="auto"/>
      <w:ind w:left="992"/>
      <w:contextualSpacing/>
      <w:outlineLvl w:val="0"/>
    </w:pPr>
    <w:rPr>
      <w:rFonts w:ascii="Calibri" w:eastAsia="MS Gothic" w:hAnsi="Calibri"/>
      <w:bCs/>
      <w:kern w:val="32"/>
      <w:sz w:val="48"/>
      <w:szCs w:val="32"/>
    </w:rPr>
  </w:style>
  <w:style w:type="paragraph" w:styleId="Rubrik2">
    <w:name w:val="heading 2"/>
    <w:aliases w:val="Rubrik 2 VGR"/>
    <w:basedOn w:val="Normal"/>
    <w:next w:val="Normal"/>
    <w:link w:val="Rubrik2Char"/>
    <w:uiPriority w:val="3"/>
    <w:unhideWhenUsed/>
    <w:qFormat/>
    <w:rsid w:val="00627BEA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40"/>
      <w:szCs w:val="26"/>
    </w:rPr>
  </w:style>
  <w:style w:type="paragraph" w:styleId="Rubrik3">
    <w:name w:val="heading 3"/>
    <w:aliases w:val="Rubrik 3 VGR"/>
    <w:basedOn w:val="Normal"/>
    <w:next w:val="Normal"/>
    <w:link w:val="Rubrik3Char"/>
    <w:uiPriority w:val="3"/>
    <w:unhideWhenUsed/>
    <w:qFormat/>
    <w:rsid w:val="00627BEA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36"/>
    </w:rPr>
  </w:style>
  <w:style w:type="paragraph" w:styleId="Rubrik4">
    <w:name w:val="heading 4"/>
    <w:aliases w:val="mellanrubrik"/>
    <w:basedOn w:val="Normal"/>
    <w:next w:val="Normal"/>
    <w:link w:val="Rubrik4Char"/>
    <w:uiPriority w:val="3"/>
    <w:semiHidden/>
    <w:qFormat/>
    <w:locked/>
    <w:rsid w:val="00627BEA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5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4B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05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04B" w:themeColor="accent1" w:themeShade="7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05E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1">
    <w:name w:val="Plain Table 1"/>
    <w:basedOn w:val="Normaltabell"/>
    <w:uiPriority w:val="99"/>
    <w:rsid w:val="002E26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Normal"/>
    <w:semiHidden/>
    <w:rsid w:val="00CF70BB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hAnsi="Arial"/>
      <w:i/>
      <w:color w:val="000000"/>
      <w:sz w:val="12"/>
      <w:szCs w:val="12"/>
    </w:rPr>
  </w:style>
  <w:style w:type="paragraph" w:customStyle="1" w:styleId="Sidrubrikliten">
    <w:name w:val="Sidrubrik liten"/>
    <w:basedOn w:val="Normal"/>
    <w:semiHidden/>
    <w:rsid w:val="00880FE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  <w:sz w:val="20"/>
      <w:szCs w:val="20"/>
    </w:rPr>
  </w:style>
  <w:style w:type="paragraph" w:customStyle="1" w:styleId="Sidrubrikstor">
    <w:name w:val="Sidrubrik stor"/>
    <w:basedOn w:val="Normal"/>
    <w:semiHidden/>
    <w:rsid w:val="00880FEE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Sidfot">
    <w:name w:val="footer"/>
    <w:basedOn w:val="Normal"/>
    <w:link w:val="SidfotChar"/>
    <w:uiPriority w:val="99"/>
    <w:rsid w:val="00880FEE"/>
    <w:pPr>
      <w:widowControl w:val="0"/>
      <w:autoSpaceDE w:val="0"/>
      <w:autoSpaceDN w:val="0"/>
      <w:adjustRightInd w:val="0"/>
      <w:jc w:val="right"/>
      <w:textAlignment w:val="center"/>
    </w:pPr>
    <w:rPr>
      <w:rFonts w:ascii="Arial" w:hAnsi="Arial"/>
      <w:color w:val="000000"/>
      <w:sz w:val="12"/>
      <w:szCs w:val="12"/>
    </w:rPr>
  </w:style>
  <w:style w:type="character" w:customStyle="1" w:styleId="Avdelaresidfot">
    <w:name w:val="Avdelare sidfot"/>
    <w:semiHidden/>
    <w:rsid w:val="00880FEE"/>
    <w:rPr>
      <w:rFonts w:ascii="Arial" w:hAnsi="Arial"/>
      <w:position w:val="1"/>
    </w:rPr>
  </w:style>
  <w:style w:type="paragraph" w:styleId="Sidhuvud">
    <w:name w:val="header"/>
    <w:basedOn w:val="Normal"/>
    <w:link w:val="SidhuvudChar"/>
    <w:uiPriority w:val="99"/>
    <w:rsid w:val="00AA0F08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semiHidden/>
    <w:rsid w:val="00AA0F08"/>
  </w:style>
  <w:style w:type="paragraph" w:customStyle="1" w:styleId="Metadata">
    <w:name w:val="Metadata"/>
    <w:basedOn w:val="Normal"/>
    <w:qFormat/>
    <w:rsid w:val="002651D6"/>
    <w:pPr>
      <w:spacing w:after="240"/>
      <w:contextualSpacing/>
    </w:pPr>
    <w:rPr>
      <w:rFonts w:ascii="Calibri" w:hAnsi="Calibri"/>
      <w:sz w:val="20"/>
    </w:rPr>
  </w:style>
  <w:style w:type="character" w:customStyle="1" w:styleId="Rubrik1Char">
    <w:name w:val="Rubrik 1 Char"/>
    <w:aliases w:val="Rubrik VGR Char"/>
    <w:link w:val="Rubrik1"/>
    <w:rsid w:val="00FB6392"/>
    <w:rPr>
      <w:rFonts w:ascii="Calibri" w:eastAsia="MS Gothic" w:hAnsi="Calibri"/>
      <w:bCs/>
      <w:kern w:val="32"/>
      <w:sz w:val="48"/>
      <w:szCs w:val="32"/>
    </w:rPr>
  </w:style>
  <w:style w:type="paragraph" w:customStyle="1" w:styleId="Allmntstyckeformat">
    <w:name w:val="[Allmänt styckeformat]"/>
    <w:basedOn w:val="Normal"/>
    <w:uiPriority w:val="99"/>
    <w:semiHidden/>
    <w:rsid w:val="001C5FEF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idfotChar">
    <w:name w:val="Sidfot Char"/>
    <w:link w:val="Sidfot"/>
    <w:uiPriority w:val="99"/>
    <w:rsid w:val="00EE2A56"/>
    <w:rPr>
      <w:rFonts w:ascii="Arial" w:hAnsi="Arial"/>
      <w:color w:val="000000"/>
      <w:sz w:val="12"/>
      <w:szCs w:val="1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C3F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FaktarutaLista">
    <w:name w:val="Faktaruta Lista"/>
    <w:uiPriority w:val="5"/>
    <w:semiHidden/>
    <w:qFormat/>
    <w:locked/>
    <w:rsid w:val="00617710"/>
    <w:pPr>
      <w:numPr>
        <w:numId w:val="4"/>
      </w:numPr>
      <w:spacing w:after="40"/>
      <w:ind w:left="357" w:hanging="357"/>
    </w:pPr>
    <w:rPr>
      <w:rFonts w:ascii="Calibri" w:hAnsi="Calibri" w:cs="Calibri"/>
      <w:color w:val="000000"/>
      <w:sz w:val="24"/>
      <w:szCs w:val="24"/>
    </w:rPr>
  </w:style>
  <w:style w:type="character" w:customStyle="1" w:styleId="RubrikChar">
    <w:name w:val="Rubrik Char"/>
    <w:link w:val="Rubrik"/>
    <w:uiPriority w:val="10"/>
    <w:semiHidden/>
    <w:rsid w:val="00F86F47"/>
    <w:rPr>
      <w:rFonts w:ascii="Calibri" w:eastAsia="MS Gothic" w:hAnsi="Calibr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49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493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9071C"/>
    <w:rPr>
      <w:color w:val="808080"/>
    </w:rPr>
  </w:style>
  <w:style w:type="paragraph" w:customStyle="1" w:styleId="Faktarutarubrik">
    <w:name w:val="Faktaruta rubrik"/>
    <w:basedOn w:val="Rubrik2"/>
    <w:next w:val="FaktarutaLista"/>
    <w:uiPriority w:val="3"/>
    <w:semiHidden/>
    <w:qFormat/>
    <w:locked/>
    <w:rsid w:val="0009062C"/>
    <w:pPr>
      <w:spacing w:before="0"/>
      <w:outlineLvl w:val="2"/>
    </w:pPr>
    <w:rPr>
      <w:bCs w:val="0"/>
    </w:rPr>
  </w:style>
  <w:style w:type="character" w:customStyle="1" w:styleId="Rubrik2Char">
    <w:name w:val="Rubrik 2 Char"/>
    <w:aliases w:val="Rubrik 2 VGR Char"/>
    <w:basedOn w:val="Standardstycketeckensnitt"/>
    <w:link w:val="Rubrik2"/>
    <w:uiPriority w:val="3"/>
    <w:rsid w:val="00627BEA"/>
    <w:rPr>
      <w:rFonts w:asciiTheme="majorHAnsi" w:eastAsiaTheme="majorEastAsia" w:hAnsiTheme="majorHAnsi" w:cstheme="majorBidi"/>
      <w:bCs/>
      <w:color w:val="000000" w:themeColor="text1"/>
      <w:sz w:val="40"/>
      <w:szCs w:val="26"/>
    </w:rPr>
  </w:style>
  <w:style w:type="character" w:customStyle="1" w:styleId="Rubrik3Char">
    <w:name w:val="Rubrik 3 Char"/>
    <w:aliases w:val="Rubrik 3 VGR Char"/>
    <w:basedOn w:val="Standardstycketeckensnitt"/>
    <w:link w:val="Rubrik3"/>
    <w:uiPriority w:val="3"/>
    <w:rsid w:val="00627BEA"/>
    <w:rPr>
      <w:rFonts w:asciiTheme="majorHAnsi" w:eastAsiaTheme="majorEastAsia" w:hAnsiTheme="majorHAnsi" w:cstheme="majorBidi"/>
      <w:bCs/>
      <w:color w:val="000000" w:themeColor="text1"/>
      <w:sz w:val="36"/>
      <w:szCs w:val="24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3"/>
    <w:semiHidden/>
    <w:rsid w:val="00A272CA"/>
    <w:rPr>
      <w:rFonts w:asciiTheme="majorHAnsi" w:eastAsiaTheme="majorEastAsia" w:hAnsiTheme="majorHAnsi" w:cstheme="majorBidi"/>
      <w:b/>
      <w:bCs/>
      <w:iCs/>
      <w:color w:val="000000" w:themeColor="text1"/>
      <w:sz w:val="26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568B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rsid w:val="00CB1ED7"/>
    <w:pPr>
      <w:numPr>
        <w:numId w:val="13"/>
      </w:numPr>
      <w:ind w:left="1712" w:hanging="357"/>
      <w:contextualSpacing/>
    </w:pPr>
  </w:style>
  <w:style w:type="paragraph" w:customStyle="1" w:styleId="Normalefterlista">
    <w:name w:val="Normal efter lista"/>
    <w:basedOn w:val="Normal"/>
    <w:next w:val="Normal"/>
    <w:uiPriority w:val="3"/>
    <w:qFormat/>
    <w:rsid w:val="0062184C"/>
    <w:pPr>
      <w:spacing w:before="200"/>
    </w:pPr>
    <w:rPr>
      <w:rFonts w:eastAsia="MS Gothic"/>
    </w:rPr>
  </w:style>
  <w:style w:type="paragraph" w:styleId="Innehll1">
    <w:name w:val="toc 1"/>
    <w:basedOn w:val="Normal"/>
    <w:next w:val="Normal"/>
    <w:autoRedefine/>
    <w:uiPriority w:val="39"/>
    <w:unhideWhenUsed/>
    <w:rsid w:val="00EA1BAA"/>
    <w:pPr>
      <w:tabs>
        <w:tab w:val="right" w:leader="dot" w:pos="8779"/>
      </w:tabs>
      <w:spacing w:line="240" w:lineRule="auto"/>
    </w:pPr>
  </w:style>
  <w:style w:type="paragraph" w:customStyle="1" w:styleId="Omslagsrubrik">
    <w:name w:val="Omslagsrubrik"/>
    <w:basedOn w:val="Normal"/>
    <w:link w:val="OmslagsrubrikChar"/>
    <w:uiPriority w:val="3"/>
    <w:qFormat/>
    <w:rsid w:val="005A627D"/>
    <w:pPr>
      <w:spacing w:after="6000" w:line="240" w:lineRule="auto"/>
    </w:pPr>
    <w:rPr>
      <w:rFonts w:asciiTheme="majorHAnsi" w:hAnsiTheme="majorHAnsi"/>
      <w:sz w:val="72"/>
    </w:rPr>
  </w:style>
  <w:style w:type="character" w:customStyle="1" w:styleId="OmslagsrubrikChar">
    <w:name w:val="Omslagsrubrik Char"/>
    <w:basedOn w:val="Standardstycketeckensnitt"/>
    <w:link w:val="Omslagsrubrik"/>
    <w:uiPriority w:val="3"/>
    <w:rsid w:val="005A627D"/>
    <w:rPr>
      <w:rFonts w:asciiTheme="majorHAnsi" w:hAnsiTheme="majorHAnsi"/>
      <w:sz w:val="72"/>
      <w:szCs w:val="24"/>
    </w:rPr>
  </w:style>
  <w:style w:type="paragraph" w:customStyle="1" w:styleId="Omslagsunderrubrik">
    <w:name w:val="Omslagsunderrubrik"/>
    <w:basedOn w:val="Normal"/>
    <w:link w:val="OmslagsunderrubrikChar"/>
    <w:uiPriority w:val="3"/>
    <w:qFormat/>
    <w:rsid w:val="009533B4"/>
    <w:pPr>
      <w:contextualSpacing/>
    </w:pPr>
    <w:rPr>
      <w:rFonts w:asciiTheme="majorHAnsi" w:hAnsiTheme="majorHAnsi"/>
      <w:sz w:val="32"/>
      <w:szCs w:val="44"/>
    </w:rPr>
  </w:style>
  <w:style w:type="character" w:customStyle="1" w:styleId="OmslagsunderrubrikChar">
    <w:name w:val="Omslagsunderrubrik Char"/>
    <w:basedOn w:val="Standardstycketeckensnitt"/>
    <w:link w:val="Omslagsunderrubrik"/>
    <w:uiPriority w:val="3"/>
    <w:rsid w:val="009533B4"/>
    <w:rPr>
      <w:rFonts w:asciiTheme="majorHAnsi" w:hAnsiTheme="majorHAnsi"/>
      <w:sz w:val="32"/>
      <w:szCs w:val="44"/>
    </w:rPr>
  </w:style>
  <w:style w:type="paragraph" w:styleId="Innehll2">
    <w:name w:val="toc 2"/>
    <w:basedOn w:val="Normal"/>
    <w:next w:val="Normal"/>
    <w:autoRedefine/>
    <w:uiPriority w:val="39"/>
    <w:unhideWhenUsed/>
    <w:rsid w:val="00E61294"/>
    <w:pPr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E61294"/>
    <w:pPr>
      <w:ind w:left="480"/>
    </w:pPr>
  </w:style>
  <w:style w:type="paragraph" w:styleId="Innehll4">
    <w:name w:val="toc 4"/>
    <w:basedOn w:val="Normal"/>
    <w:next w:val="Normal"/>
    <w:autoRedefine/>
    <w:uiPriority w:val="39"/>
    <w:unhideWhenUsed/>
    <w:rsid w:val="00E61294"/>
    <w:pPr>
      <w:ind w:left="720"/>
    </w:pPr>
  </w:style>
  <w:style w:type="paragraph" w:styleId="Innehll5">
    <w:name w:val="toc 5"/>
    <w:basedOn w:val="Normal"/>
    <w:next w:val="Normal"/>
    <w:autoRedefine/>
    <w:uiPriority w:val="39"/>
    <w:unhideWhenUsed/>
    <w:rsid w:val="00E61294"/>
    <w:pPr>
      <w:ind w:left="960"/>
    </w:pPr>
  </w:style>
  <w:style w:type="paragraph" w:styleId="Innehll6">
    <w:name w:val="toc 6"/>
    <w:basedOn w:val="Normal"/>
    <w:next w:val="Normal"/>
    <w:autoRedefine/>
    <w:uiPriority w:val="39"/>
    <w:unhideWhenUsed/>
    <w:rsid w:val="00E61294"/>
    <w:pPr>
      <w:ind w:left="1200"/>
    </w:pPr>
  </w:style>
  <w:style w:type="paragraph" w:styleId="Innehll7">
    <w:name w:val="toc 7"/>
    <w:basedOn w:val="Normal"/>
    <w:next w:val="Normal"/>
    <w:autoRedefine/>
    <w:uiPriority w:val="39"/>
    <w:unhideWhenUsed/>
    <w:rsid w:val="00E61294"/>
    <w:pPr>
      <w:ind w:left="1440"/>
    </w:pPr>
  </w:style>
  <w:style w:type="paragraph" w:styleId="Innehll8">
    <w:name w:val="toc 8"/>
    <w:basedOn w:val="Normal"/>
    <w:next w:val="Normal"/>
    <w:autoRedefine/>
    <w:uiPriority w:val="39"/>
    <w:unhideWhenUsed/>
    <w:rsid w:val="00E61294"/>
    <w:pPr>
      <w:ind w:left="1680"/>
    </w:pPr>
  </w:style>
  <w:style w:type="paragraph" w:styleId="Innehll9">
    <w:name w:val="toc 9"/>
    <w:basedOn w:val="Normal"/>
    <w:next w:val="Normal"/>
    <w:autoRedefine/>
    <w:uiPriority w:val="39"/>
    <w:unhideWhenUsed/>
    <w:rsid w:val="00E61294"/>
    <w:pPr>
      <w:ind w:left="1920"/>
    </w:pPr>
  </w:style>
  <w:style w:type="paragraph" w:customStyle="1" w:styleId="MellanrubrikVGR">
    <w:name w:val="Mellanrubrik VGR"/>
    <w:basedOn w:val="Normal"/>
    <w:next w:val="Normal"/>
    <w:uiPriority w:val="2"/>
    <w:qFormat/>
    <w:rsid w:val="00FB5086"/>
    <w:pPr>
      <w:keepNext/>
      <w:keepLines/>
      <w:widowControl w:val="0"/>
      <w:autoSpaceDE w:val="0"/>
      <w:autoSpaceDN w:val="0"/>
      <w:adjustRightInd w:val="0"/>
      <w:spacing w:before="240"/>
      <w:textAlignment w:val="center"/>
    </w:pPr>
    <w:rPr>
      <w:rFonts w:ascii="Calibri" w:hAnsi="Calibri"/>
      <w:b/>
      <w:color w:val="000000"/>
      <w:sz w:val="26"/>
      <w:szCs w:val="18"/>
    </w:rPr>
  </w:style>
  <w:style w:type="character" w:styleId="Fotnotsreferens">
    <w:name w:val="footnote reference"/>
    <w:basedOn w:val="Standardstycketeckensnitt"/>
    <w:uiPriority w:val="99"/>
    <w:unhideWhenUsed/>
    <w:rsid w:val="00FB5086"/>
    <w:rPr>
      <w:vertAlign w:val="superscript"/>
    </w:rPr>
  </w:style>
  <w:style w:type="paragraph" w:customStyle="1" w:styleId="Formatmall1">
    <w:name w:val="Formatmall1"/>
    <w:basedOn w:val="Normal"/>
    <w:link w:val="Formatmall1Char"/>
    <w:uiPriority w:val="3"/>
    <w:semiHidden/>
    <w:qFormat/>
    <w:locked/>
    <w:rsid w:val="00FB5086"/>
    <w:pPr>
      <w:spacing w:after="0"/>
    </w:pPr>
    <w:rPr>
      <w:sz w:val="20"/>
    </w:rPr>
  </w:style>
  <w:style w:type="character" w:customStyle="1" w:styleId="Formatmall1Char">
    <w:name w:val="Formatmall1 Char"/>
    <w:basedOn w:val="Standardstycketeckensnitt"/>
    <w:link w:val="Formatmall1"/>
    <w:uiPriority w:val="3"/>
    <w:semiHidden/>
    <w:rsid w:val="00A272CA"/>
    <w:rPr>
      <w:szCs w:val="24"/>
    </w:rPr>
  </w:style>
  <w:style w:type="paragraph" w:customStyle="1" w:styleId="FotnotVGR">
    <w:name w:val="Fotnot VGR"/>
    <w:basedOn w:val="Normal"/>
    <w:uiPriority w:val="3"/>
    <w:unhideWhenUsed/>
    <w:qFormat/>
    <w:rsid w:val="00FB5086"/>
    <w:pPr>
      <w:spacing w:after="0"/>
    </w:pPr>
    <w:rPr>
      <w:sz w:val="20"/>
    </w:rPr>
  </w:style>
  <w:style w:type="table" w:styleId="Oformateradtabell2">
    <w:name w:val="Plain Table 2"/>
    <w:basedOn w:val="Normaltabell"/>
    <w:uiPriority w:val="99"/>
    <w:rsid w:val="002E26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A514B7"/>
    <w:rPr>
      <w:color w:val="006298" w:themeColor="hyperlink"/>
      <w:u w:val="single"/>
    </w:rPr>
  </w:style>
  <w:style w:type="table" w:styleId="Tabellrutnt">
    <w:name w:val="Table Grid"/>
    <w:basedOn w:val="Normaltabell"/>
    <w:uiPriority w:val="59"/>
    <w:rsid w:val="00F4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aliases w:val="VGR tabell blue"/>
    <w:basedOn w:val="Normaltabell"/>
    <w:uiPriority w:val="61"/>
    <w:rsid w:val="00827E69"/>
    <w:rPr>
      <w:sz w:val="24"/>
    </w:rPr>
    <w:tblPr>
      <w:tblStyleRowBandSize w:val="1"/>
      <w:tblStyleColBandSize w:val="1"/>
      <w:tblBorders>
        <w:top w:val="single" w:sz="4" w:space="0" w:color="006298" w:themeColor="accent1"/>
        <w:left w:val="single" w:sz="4" w:space="0" w:color="006298" w:themeColor="accent1"/>
        <w:bottom w:val="single" w:sz="4" w:space="0" w:color="006298" w:themeColor="accent1"/>
        <w:right w:val="single" w:sz="4" w:space="0" w:color="00629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2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band1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</w:style>
  <w:style w:type="table" w:styleId="Ljustrutnt-dekorfrg6">
    <w:name w:val="Light Grid Accent 6"/>
    <w:basedOn w:val="Normaltabell"/>
    <w:uiPriority w:val="62"/>
    <w:rsid w:val="00397F54"/>
    <w:tblPr>
      <w:tblStyleRowBandSize w:val="1"/>
      <w:tblStyleColBandSize w:val="1"/>
      <w:tblBorders>
        <w:top w:val="single" w:sz="8" w:space="0" w:color="71B2C9" w:themeColor="accent6"/>
        <w:left w:val="single" w:sz="8" w:space="0" w:color="71B2C9" w:themeColor="accent6"/>
        <w:bottom w:val="single" w:sz="8" w:space="0" w:color="71B2C9" w:themeColor="accent6"/>
        <w:right w:val="single" w:sz="8" w:space="0" w:color="71B2C9" w:themeColor="accent6"/>
        <w:insideH w:val="single" w:sz="8" w:space="0" w:color="71B2C9" w:themeColor="accent6"/>
        <w:insideV w:val="single" w:sz="8" w:space="0" w:color="71B2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18" w:space="0" w:color="71B2C9" w:themeColor="accent6"/>
          <w:right w:val="single" w:sz="8" w:space="0" w:color="71B2C9" w:themeColor="accent6"/>
          <w:insideH w:val="nil"/>
          <w:insideV w:val="single" w:sz="8" w:space="0" w:color="71B2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H w:val="nil"/>
          <w:insideV w:val="single" w:sz="8" w:space="0" w:color="71B2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band1Vert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  <w:shd w:val="clear" w:color="auto" w:fill="DBEBF1" w:themeFill="accent6" w:themeFillTint="3F"/>
      </w:tcPr>
    </w:tblStylePr>
    <w:tblStylePr w:type="band1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V w:val="single" w:sz="8" w:space="0" w:color="71B2C9" w:themeColor="accent6"/>
        </w:tcBorders>
        <w:shd w:val="clear" w:color="auto" w:fill="DBEBF1" w:themeFill="accent6" w:themeFillTint="3F"/>
      </w:tcPr>
    </w:tblStylePr>
    <w:tblStylePr w:type="band2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V w:val="single" w:sz="8" w:space="0" w:color="71B2C9" w:themeColor="accent6"/>
        </w:tcBorders>
      </w:tcPr>
    </w:tblStylePr>
  </w:style>
  <w:style w:type="table" w:styleId="Ljustrutnt-dekorfrg1">
    <w:name w:val="Light Grid Accent 1"/>
    <w:basedOn w:val="Normaltabell"/>
    <w:uiPriority w:val="62"/>
    <w:rsid w:val="00397F54"/>
    <w:tblPr>
      <w:tblStyleRowBandSize w:val="1"/>
      <w:tblStyleColBandSize w:val="1"/>
      <w:tblBorders>
        <w:top w:val="single" w:sz="8" w:space="0" w:color="006298" w:themeColor="accent1"/>
        <w:left w:val="single" w:sz="8" w:space="0" w:color="006298" w:themeColor="accent1"/>
        <w:bottom w:val="single" w:sz="8" w:space="0" w:color="006298" w:themeColor="accent1"/>
        <w:right w:val="single" w:sz="8" w:space="0" w:color="006298" w:themeColor="accent1"/>
        <w:insideH w:val="single" w:sz="8" w:space="0" w:color="006298" w:themeColor="accent1"/>
        <w:insideV w:val="single" w:sz="8" w:space="0" w:color="00629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18" w:space="0" w:color="006298" w:themeColor="accent1"/>
          <w:right w:val="single" w:sz="8" w:space="0" w:color="006298" w:themeColor="accent1"/>
          <w:insideH w:val="nil"/>
          <w:insideV w:val="single" w:sz="8" w:space="0" w:color="00629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H w:val="nil"/>
          <w:insideV w:val="single" w:sz="8" w:space="0" w:color="00629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band1Vert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V w:val="single" w:sz="8" w:space="0" w:color="006298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V w:val="single" w:sz="8" w:space="0" w:color="00629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397F54"/>
    <w:tblPr>
      <w:tblStyleRowBandSize w:val="1"/>
      <w:tblStyleColBandSize w:val="1"/>
      <w:tblBorders>
        <w:top w:val="single" w:sz="8" w:space="0" w:color="009BF1" w:themeColor="accent1" w:themeTint="BF"/>
        <w:left w:val="single" w:sz="8" w:space="0" w:color="009BF1" w:themeColor="accent1" w:themeTint="BF"/>
        <w:bottom w:val="single" w:sz="8" w:space="0" w:color="009BF1" w:themeColor="accent1" w:themeTint="BF"/>
        <w:right w:val="single" w:sz="8" w:space="0" w:color="009BF1" w:themeColor="accent1" w:themeTint="BF"/>
        <w:insideH w:val="single" w:sz="8" w:space="0" w:color="009B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F1" w:themeColor="accent1" w:themeTint="BF"/>
          <w:left w:val="single" w:sz="8" w:space="0" w:color="009BF1" w:themeColor="accent1" w:themeTint="BF"/>
          <w:bottom w:val="single" w:sz="8" w:space="0" w:color="009BF1" w:themeColor="accent1" w:themeTint="BF"/>
          <w:right w:val="single" w:sz="8" w:space="0" w:color="009BF1" w:themeColor="accent1" w:themeTint="BF"/>
          <w:insideH w:val="nil"/>
          <w:insideV w:val="nil"/>
        </w:tcBorders>
        <w:shd w:val="clear" w:color="auto" w:fill="0062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1" w:themeColor="accent1" w:themeTint="BF"/>
          <w:left w:val="single" w:sz="8" w:space="0" w:color="009BF1" w:themeColor="accent1" w:themeTint="BF"/>
          <w:bottom w:val="single" w:sz="8" w:space="0" w:color="009BF1" w:themeColor="accent1" w:themeTint="BF"/>
          <w:right w:val="single" w:sz="8" w:space="0" w:color="009B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97F54"/>
    <w:tblPr>
      <w:tblStyleRowBandSize w:val="1"/>
      <w:tblStyleColBandSize w:val="1"/>
      <w:tblBorders>
        <w:top w:val="single" w:sz="8" w:space="0" w:color="94C5D6" w:themeColor="accent6" w:themeTint="BF"/>
        <w:left w:val="single" w:sz="8" w:space="0" w:color="94C5D6" w:themeColor="accent6" w:themeTint="BF"/>
        <w:bottom w:val="single" w:sz="8" w:space="0" w:color="94C5D6" w:themeColor="accent6" w:themeTint="BF"/>
        <w:right w:val="single" w:sz="8" w:space="0" w:color="94C5D6" w:themeColor="accent6" w:themeTint="BF"/>
        <w:insideH w:val="single" w:sz="8" w:space="0" w:color="94C5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C5D6" w:themeColor="accent6" w:themeTint="BF"/>
          <w:left w:val="single" w:sz="8" w:space="0" w:color="94C5D6" w:themeColor="accent6" w:themeTint="BF"/>
          <w:bottom w:val="single" w:sz="8" w:space="0" w:color="94C5D6" w:themeColor="accent6" w:themeTint="BF"/>
          <w:right w:val="single" w:sz="8" w:space="0" w:color="94C5D6" w:themeColor="accent6" w:themeTint="BF"/>
          <w:insideH w:val="nil"/>
          <w:insideV w:val="nil"/>
        </w:tcBorders>
        <w:shd w:val="clear" w:color="auto" w:fill="71B2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5D6" w:themeColor="accent6" w:themeTint="BF"/>
          <w:left w:val="single" w:sz="8" w:space="0" w:color="94C5D6" w:themeColor="accent6" w:themeTint="BF"/>
          <w:bottom w:val="single" w:sz="8" w:space="0" w:color="94C5D6" w:themeColor="accent6" w:themeTint="BF"/>
          <w:right w:val="single" w:sz="8" w:space="0" w:color="94C5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397F54"/>
    <w:tblPr>
      <w:tblStyleRowBandSize w:val="1"/>
      <w:tblStyleColBandSize w:val="1"/>
      <w:tblBorders>
        <w:top w:val="single" w:sz="8" w:space="0" w:color="71B2C9" w:themeColor="accent6"/>
        <w:left w:val="single" w:sz="8" w:space="0" w:color="71B2C9" w:themeColor="accent6"/>
        <w:bottom w:val="single" w:sz="8" w:space="0" w:color="71B2C9" w:themeColor="accent6"/>
        <w:right w:val="single" w:sz="8" w:space="0" w:color="71B2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B2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band1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</w:style>
  <w:style w:type="table" w:styleId="Ljusskuggning-dekorfrg1">
    <w:name w:val="Light Shading Accent 1"/>
    <w:basedOn w:val="Normaltabell"/>
    <w:uiPriority w:val="60"/>
    <w:rsid w:val="00C4115D"/>
    <w:rPr>
      <w:color w:val="004971" w:themeColor="accent1" w:themeShade="BF"/>
    </w:rPr>
    <w:tblPr>
      <w:tblStyleRowBandSize w:val="1"/>
      <w:tblStyleColBandSize w:val="1"/>
      <w:tblBorders>
        <w:top w:val="single" w:sz="8" w:space="0" w:color="006298" w:themeColor="accent1"/>
        <w:bottom w:val="single" w:sz="8" w:space="0" w:color="00629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298" w:themeColor="accent1"/>
          <w:left w:val="nil"/>
          <w:bottom w:val="single" w:sz="8" w:space="0" w:color="00629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298" w:themeColor="accent1"/>
          <w:left w:val="nil"/>
          <w:bottom w:val="single" w:sz="8" w:space="0" w:color="00629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customStyle="1" w:styleId="VGRtabell">
    <w:name w:val="VGR tabell"/>
    <w:basedOn w:val="Normaltabell"/>
    <w:uiPriority w:val="99"/>
    <w:rsid w:val="00016CF0"/>
    <w:pPr>
      <w:contextualSpacing/>
    </w:pPr>
    <w:rPr>
      <w:rFonts w:asciiTheme="majorHAnsi" w:hAnsiTheme="majorHAnsi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cPr>
      <w:tcMar>
        <w:top w:w="113" w:type="dxa"/>
        <w:bottom w:w="113" w:type="dxa"/>
      </w:tcMar>
      <w:vAlign w:val="center"/>
    </w:tcPr>
    <w:tblStylePr w:type="firstRow">
      <w:rPr>
        <w:rFonts w:asciiTheme="majorHAnsi" w:hAnsiTheme="majorHAnsi"/>
        <w:b/>
        <w:bCs/>
        <w:sz w:val="24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99"/>
    <w:rsid w:val="008E68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ellrubrik">
    <w:name w:val="Tabellrubrik"/>
    <w:basedOn w:val="Normal"/>
    <w:uiPriority w:val="3"/>
    <w:semiHidden/>
    <w:qFormat/>
    <w:rsid w:val="00B33FDD"/>
    <w:pPr>
      <w:spacing w:line="240" w:lineRule="auto"/>
    </w:pPr>
    <w:rPr>
      <w:rFonts w:asciiTheme="majorHAnsi" w:hAnsiTheme="majorHAnsi"/>
      <w:bCs/>
      <w:color w:val="000000" w:themeColor="text1"/>
    </w:rPr>
  </w:style>
  <w:style w:type="paragraph" w:styleId="Punktlista">
    <w:name w:val="List Bullet"/>
    <w:basedOn w:val="Normal"/>
    <w:unhideWhenUsed/>
    <w:qFormat/>
    <w:rsid w:val="001929EA"/>
    <w:pPr>
      <w:numPr>
        <w:numId w:val="14"/>
      </w:numPr>
      <w:ind w:left="1349" w:hanging="357"/>
      <w:contextualSpacing/>
    </w:pPr>
  </w:style>
  <w:style w:type="table" w:styleId="Oformateradtabell3">
    <w:name w:val="Plain Table 3"/>
    <w:basedOn w:val="Normaltabell"/>
    <w:uiPriority w:val="99"/>
    <w:rsid w:val="002E26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99"/>
    <w:rsid w:val="002E26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404948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133A0F"/>
    <w:rPr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05E73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05E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nvndHyperlnk">
    <w:name w:val="FollowedHyperlink"/>
    <w:basedOn w:val="Standardstycketeckensnitt"/>
    <w:uiPriority w:val="99"/>
    <w:semiHidden/>
    <w:unhideWhenUsed/>
    <w:rsid w:val="00E80D8A"/>
    <w:rPr>
      <w:color w:val="9EA2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hyperlink" Target="https://mellanarkiv-offentlig.vgregion.se/alfresco/s/archive/stream/public/v1/source/available/SOFIA/SAS9642-738863596-49/SURROGATE/Antikoagulantia%20och%20trombocyth%c3%a4mmare%2c%20tillf%c3%a4llig%20uts%c3%a4ttning%20inf%c3%b6r%20elektiv%20operation.pdf" TargetMode="Externa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hyperlink" Target="https://mellanarkiv-offentlig.vgregion.se/alfresco/s/archive/stream/public/v1/source/available/SOFIA/SAS9642-738863596-49/SURROGATE/Antikoagulantia%20och%20trombocyth%c3%a4mmare%2c%20tillf%c3%a4llig%20uts%c3%a4ttning%20inf%c3%b6r%20elektiv%20operation.pdf" TargetMode="External" Id="rId17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9" /><Relationship Type="http://schemas.openxmlformats.org/officeDocument/2006/relationships/footer" Target="footer2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an2\Downloads\Dok_med_omslag_sd_red.dotx" TargetMode="External"/></Relationships>
</file>

<file path=word/theme/theme1.xml><?xml version="1.0" encoding="utf-8"?>
<a:theme xmlns:a="http://schemas.openxmlformats.org/drawingml/2006/main" name="Office-tema">
  <a:themeElements>
    <a:clrScheme name="VG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6298"/>
      </a:accent1>
      <a:accent2>
        <a:srgbClr val="367B1E"/>
      </a:accent2>
      <a:accent3>
        <a:srgbClr val="F2A900"/>
      </a:accent3>
      <a:accent4>
        <a:srgbClr val="9EA2A2"/>
      </a:accent4>
      <a:accent5>
        <a:srgbClr val="9D2235"/>
      </a:accent5>
      <a:accent6>
        <a:srgbClr val="71B2C9"/>
      </a:accent6>
      <a:hlink>
        <a:srgbClr val="006298"/>
      </a:hlink>
      <a:folHlink>
        <a:srgbClr val="9EA2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Dok_med_omslag_sd_red</Template>
  <TotalTime>16</TotalTime>
  <Pages>4</Pages>
  <Words>610</Words>
  <Characters>4846</Characters>
  <Application>Microsoft Office Word</Application>
  <DocSecurity>0</DocSecurity>
  <Lines>40</Lines>
  <Paragraphs>10</Paragraphs>
  <ScaleCrop>false</ScaleCrop>
  <Manager/>
  <Company/>
  <LinksUpToDate>false</LinksUpToDate>
  <CharactersWithSpaces>5446</CharactersWithSpaces>
  <SharedDoc>false</SharedDoc>
  <HyperlinkBase/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Angiografi +- PTA-Stent, polikliniskt vid SÄS</dc:title>
  <dc:subject/>
  <dc:creator>patrik.jens.johansson@vgregion.se</dc:creator>
  <keywords/>
  <lastModifiedBy>Karin Åhlin</lastModifiedBy>
  <revision>21</revision>
  <lastPrinted>2016-03-31T10:56:00.0000000Z</lastPrinted>
  <dcterms:created xsi:type="dcterms:W3CDTF">2022-03-28T05:05:00.0000000Z</dcterms:created>
  <dcterms:modified xsi:type="dcterms:W3CDTF">2023-06-28T12:07:00.0000000Z</dcterms:modified>
</coreProperties>
</file>