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29429" w14:textId="169F9380" w:rsidR="00AE5330" w:rsidRPr="00906149" w:rsidRDefault="00AE5330" w:rsidP="00AE5330">
      <w:pPr>
        <w:pStyle w:val="Rubrik1"/>
      </w:pPr>
      <w:bookmarkStart w:id="0" w:name="_Toc321146591"/>
      <w:r>
        <w:t>Blodprodukter – handläggning och alternativa behandlings</w:t>
      </w:r>
      <w:r w:rsidR="008E2EAD">
        <w:t>s</w:t>
      </w:r>
      <w:r>
        <w:t>ätt till transfusion från blodgivare, SÄS</w:t>
      </w:r>
    </w:p>
    <w:p w14:paraId="76AADE3B" w14:textId="77777777" w:rsidR="00AE5330" w:rsidRPr="00906149" w:rsidRDefault="00AE5330" w:rsidP="00AE5330">
      <w:pPr>
        <w:pStyle w:val="Rubrik2"/>
      </w:pPr>
      <w:bookmarkStart w:id="1" w:name="_Toc314219394"/>
      <w:bookmarkStart w:id="2" w:name="_Toc176338280"/>
      <w:r>
        <w:t>Sammanfattning</w:t>
      </w:r>
      <w:bookmarkEnd w:id="1"/>
      <w:bookmarkEnd w:id="2"/>
    </w:p>
    <w:p w14:paraId="141C68A9" w14:textId="77777777" w:rsidR="00AE5330" w:rsidRPr="00906149" w:rsidRDefault="00AE5330" w:rsidP="00AE5330">
      <w:r>
        <w:t xml:space="preserve">Riktlinjen syftar till att säkerställa en god och patientsäker vård för patienter som undanber sig transfusion av blodprodukter med blod från blodgivare, så kallad </w:t>
      </w:r>
      <w:proofErr w:type="spellStart"/>
      <w:r>
        <w:t>allogen</w:t>
      </w:r>
      <w:proofErr w:type="spellEnd"/>
      <w:r>
        <w:t xml:space="preserve"> transfusion.</w:t>
      </w:r>
    </w:p>
    <w:p w14:paraId="20E7CC2D" w14:textId="77777777" w:rsidR="00AE5330" w:rsidRPr="00906149" w:rsidRDefault="00AE5330" w:rsidP="00AE5330">
      <w:pPr>
        <w:pStyle w:val="Rubrik2"/>
      </w:pPr>
      <w:bookmarkStart w:id="3" w:name="_Toc176338281"/>
      <w:r>
        <w:t>Förändringar sedan föregående version</w:t>
      </w:r>
      <w:bookmarkEnd w:id="3"/>
    </w:p>
    <w:p w14:paraId="77909756" w14:textId="7A259601" w:rsidR="00AE5330" w:rsidRPr="00906149" w:rsidRDefault="005546AB" w:rsidP="00AE5330">
      <w:r>
        <w:t>Uppdatering av hänvisning till varningar och begränsning av vårdinsats;</w:t>
      </w:r>
      <w:r w:rsidR="003E45A1">
        <w:t xml:space="preserve"> g</w:t>
      </w:r>
      <w:r w:rsidR="008B30DF">
        <w:t>iltighetstid</w:t>
      </w:r>
      <w:r w:rsidR="003E45A1">
        <w:t xml:space="preserve">en </w:t>
      </w:r>
      <w:r w:rsidR="008B30DF">
        <w:t>förlängd</w:t>
      </w:r>
      <w:r w:rsidR="00AE5330">
        <w:t>.</w:t>
      </w:r>
    </w:p>
    <w:p w14:paraId="010AB8E7" w14:textId="77777777" w:rsidR="00AE5330" w:rsidRPr="00204608" w:rsidRDefault="00AE5330" w:rsidP="00AE5330">
      <w:pPr>
        <w:spacing w:before="360" w:after="40"/>
        <w:rPr>
          <w:rFonts w:asciiTheme="majorHAnsi" w:hAnsiTheme="majorHAnsi" w:cstheme="majorHAnsi"/>
          <w:sz w:val="28"/>
          <w:szCs w:val="28"/>
        </w:rPr>
      </w:pPr>
      <w:r w:rsidRPr="00204608">
        <w:rPr>
          <w:rFonts w:asciiTheme="majorHAnsi" w:hAnsiTheme="majorHAnsi" w:cstheme="majorHAnsi"/>
          <w:sz w:val="28"/>
          <w:szCs w:val="28"/>
        </w:rPr>
        <w:t>Innehållsförteckning</w:t>
      </w:r>
    </w:p>
    <w:p w14:paraId="55042C04" w14:textId="495C6A8D" w:rsidR="00B24FF4" w:rsidRDefault="00AE5330">
      <w:pPr>
        <w:pStyle w:val="Innehll1"/>
        <w:rPr>
          <w:rFonts w:asciiTheme="minorHAnsi" w:eastAsiaTheme="minorEastAsia" w:hAnsiTheme="minorHAnsi" w:cstheme="minorBidi"/>
          <w:noProof/>
          <w:kern w:val="2"/>
          <w:sz w:val="22"/>
          <w:szCs w:val="22"/>
          <w14:ligatures w14:val="standardContextual"/>
        </w:rPr>
      </w:pPr>
      <w:r w:rsidRPr="00906149">
        <w:fldChar w:fldCharType="begin"/>
      </w:r>
      <w:r w:rsidRPr="00906149">
        <w:instrText xml:space="preserve"> TOC \h \z \t "Rubrik 2;1;Rubrik 3;2;Rubrik 4;3" </w:instrText>
      </w:r>
      <w:r w:rsidRPr="00906149">
        <w:fldChar w:fldCharType="separate"/>
      </w:r>
      <w:hyperlink w:anchor="_Toc176338280" w:history="1">
        <w:r w:rsidR="00B24FF4" w:rsidRPr="00D51C96">
          <w:rPr>
            <w:rStyle w:val="Hyperlnk"/>
            <w:rFonts w:eastAsia="MS Gothic"/>
            <w:noProof/>
          </w:rPr>
          <w:t>Sammanfattning</w:t>
        </w:r>
        <w:r w:rsidR="00B24FF4">
          <w:rPr>
            <w:noProof/>
            <w:webHidden/>
          </w:rPr>
          <w:tab/>
        </w:r>
        <w:r w:rsidR="00B24FF4">
          <w:rPr>
            <w:noProof/>
            <w:webHidden/>
          </w:rPr>
          <w:fldChar w:fldCharType="begin"/>
        </w:r>
        <w:r w:rsidR="00B24FF4">
          <w:rPr>
            <w:noProof/>
            <w:webHidden/>
          </w:rPr>
          <w:instrText xml:space="preserve"> PAGEREF _Toc176338280 \h </w:instrText>
        </w:r>
        <w:r w:rsidR="00B24FF4">
          <w:rPr>
            <w:noProof/>
            <w:webHidden/>
          </w:rPr>
        </w:r>
        <w:r w:rsidR="00B24FF4">
          <w:rPr>
            <w:noProof/>
            <w:webHidden/>
          </w:rPr>
          <w:fldChar w:fldCharType="separate"/>
        </w:r>
        <w:r w:rsidR="00B24FF4">
          <w:rPr>
            <w:noProof/>
            <w:webHidden/>
          </w:rPr>
          <w:t>1</w:t>
        </w:r>
        <w:r w:rsidR="00B24FF4">
          <w:rPr>
            <w:noProof/>
            <w:webHidden/>
          </w:rPr>
          <w:fldChar w:fldCharType="end"/>
        </w:r>
      </w:hyperlink>
    </w:p>
    <w:p w14:paraId="1C1965A1" w14:textId="2151E707"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81" w:history="1">
        <w:r w:rsidR="00B24FF4" w:rsidRPr="00D51C96">
          <w:rPr>
            <w:rStyle w:val="Hyperlnk"/>
            <w:rFonts w:eastAsia="MS Gothic"/>
            <w:noProof/>
          </w:rPr>
          <w:t>Förändringar sedan föregående version</w:t>
        </w:r>
        <w:r w:rsidR="00B24FF4">
          <w:rPr>
            <w:noProof/>
            <w:webHidden/>
          </w:rPr>
          <w:tab/>
        </w:r>
        <w:r w:rsidR="00B24FF4">
          <w:rPr>
            <w:noProof/>
            <w:webHidden/>
          </w:rPr>
          <w:fldChar w:fldCharType="begin"/>
        </w:r>
        <w:r w:rsidR="00B24FF4">
          <w:rPr>
            <w:noProof/>
            <w:webHidden/>
          </w:rPr>
          <w:instrText xml:space="preserve"> PAGEREF _Toc176338281 \h </w:instrText>
        </w:r>
        <w:r w:rsidR="00B24FF4">
          <w:rPr>
            <w:noProof/>
            <w:webHidden/>
          </w:rPr>
        </w:r>
        <w:r w:rsidR="00B24FF4">
          <w:rPr>
            <w:noProof/>
            <w:webHidden/>
          </w:rPr>
          <w:fldChar w:fldCharType="separate"/>
        </w:r>
        <w:r w:rsidR="00B24FF4">
          <w:rPr>
            <w:noProof/>
            <w:webHidden/>
          </w:rPr>
          <w:t>1</w:t>
        </w:r>
        <w:r w:rsidR="00B24FF4">
          <w:rPr>
            <w:noProof/>
            <w:webHidden/>
          </w:rPr>
          <w:fldChar w:fldCharType="end"/>
        </w:r>
      </w:hyperlink>
    </w:p>
    <w:p w14:paraId="155C929B" w14:textId="4A7D7B7D"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82" w:history="1">
        <w:r w:rsidR="00B24FF4" w:rsidRPr="00D51C96">
          <w:rPr>
            <w:rStyle w:val="Hyperlnk"/>
            <w:rFonts w:eastAsia="MS Gothic"/>
            <w:noProof/>
          </w:rPr>
          <w:t>Bakgrund</w:t>
        </w:r>
        <w:r w:rsidR="00B24FF4">
          <w:rPr>
            <w:noProof/>
            <w:webHidden/>
          </w:rPr>
          <w:tab/>
        </w:r>
        <w:r w:rsidR="00B24FF4">
          <w:rPr>
            <w:noProof/>
            <w:webHidden/>
          </w:rPr>
          <w:fldChar w:fldCharType="begin"/>
        </w:r>
        <w:r w:rsidR="00B24FF4">
          <w:rPr>
            <w:noProof/>
            <w:webHidden/>
          </w:rPr>
          <w:instrText xml:space="preserve"> PAGEREF _Toc176338282 \h </w:instrText>
        </w:r>
        <w:r w:rsidR="00B24FF4">
          <w:rPr>
            <w:noProof/>
            <w:webHidden/>
          </w:rPr>
        </w:r>
        <w:r w:rsidR="00B24FF4">
          <w:rPr>
            <w:noProof/>
            <w:webHidden/>
          </w:rPr>
          <w:fldChar w:fldCharType="separate"/>
        </w:r>
        <w:r w:rsidR="00B24FF4">
          <w:rPr>
            <w:noProof/>
            <w:webHidden/>
          </w:rPr>
          <w:t>2</w:t>
        </w:r>
        <w:r w:rsidR="00B24FF4">
          <w:rPr>
            <w:noProof/>
            <w:webHidden/>
          </w:rPr>
          <w:fldChar w:fldCharType="end"/>
        </w:r>
      </w:hyperlink>
    </w:p>
    <w:p w14:paraId="1B70F1DE" w14:textId="6D418166"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83" w:history="1">
        <w:r w:rsidR="00B24FF4" w:rsidRPr="00D51C96">
          <w:rPr>
            <w:rStyle w:val="Hyperlnk"/>
            <w:rFonts w:eastAsia="MS Gothic"/>
            <w:noProof/>
          </w:rPr>
          <w:t>Förutsättningar</w:t>
        </w:r>
        <w:r w:rsidR="00B24FF4">
          <w:rPr>
            <w:noProof/>
            <w:webHidden/>
          </w:rPr>
          <w:tab/>
        </w:r>
        <w:r w:rsidR="00B24FF4">
          <w:rPr>
            <w:noProof/>
            <w:webHidden/>
          </w:rPr>
          <w:fldChar w:fldCharType="begin"/>
        </w:r>
        <w:r w:rsidR="00B24FF4">
          <w:rPr>
            <w:noProof/>
            <w:webHidden/>
          </w:rPr>
          <w:instrText xml:space="preserve"> PAGEREF _Toc176338283 \h </w:instrText>
        </w:r>
        <w:r w:rsidR="00B24FF4">
          <w:rPr>
            <w:noProof/>
            <w:webHidden/>
          </w:rPr>
        </w:r>
        <w:r w:rsidR="00B24FF4">
          <w:rPr>
            <w:noProof/>
            <w:webHidden/>
          </w:rPr>
          <w:fldChar w:fldCharType="separate"/>
        </w:r>
        <w:r w:rsidR="00B24FF4">
          <w:rPr>
            <w:noProof/>
            <w:webHidden/>
          </w:rPr>
          <w:t>2</w:t>
        </w:r>
        <w:r w:rsidR="00B24FF4">
          <w:rPr>
            <w:noProof/>
            <w:webHidden/>
          </w:rPr>
          <w:fldChar w:fldCharType="end"/>
        </w:r>
      </w:hyperlink>
    </w:p>
    <w:p w14:paraId="56FB95E8" w14:textId="685E52CA" w:rsidR="00B24FF4" w:rsidRDefault="007710B1">
      <w:pPr>
        <w:pStyle w:val="Innehll2"/>
        <w:rPr>
          <w:rFonts w:asciiTheme="minorHAnsi" w:eastAsiaTheme="minorEastAsia" w:hAnsiTheme="minorHAnsi" w:cstheme="minorBidi"/>
          <w:noProof/>
          <w:kern w:val="2"/>
          <w:sz w:val="22"/>
          <w:szCs w:val="22"/>
          <w14:ligatures w14:val="standardContextual"/>
        </w:rPr>
      </w:pPr>
      <w:hyperlink w:anchor="_Toc176338284" w:history="1">
        <w:r w:rsidR="00B24FF4" w:rsidRPr="00D51C96">
          <w:rPr>
            <w:rStyle w:val="Hyperlnk"/>
            <w:rFonts w:eastAsia="MS Gothic"/>
            <w:noProof/>
          </w:rPr>
          <w:t>Akut vårdinsats</w:t>
        </w:r>
        <w:r w:rsidR="00B24FF4">
          <w:rPr>
            <w:noProof/>
            <w:webHidden/>
          </w:rPr>
          <w:tab/>
        </w:r>
        <w:r w:rsidR="00B24FF4">
          <w:rPr>
            <w:noProof/>
            <w:webHidden/>
          </w:rPr>
          <w:fldChar w:fldCharType="begin"/>
        </w:r>
        <w:r w:rsidR="00B24FF4">
          <w:rPr>
            <w:noProof/>
            <w:webHidden/>
          </w:rPr>
          <w:instrText xml:space="preserve"> PAGEREF _Toc176338284 \h </w:instrText>
        </w:r>
        <w:r w:rsidR="00B24FF4">
          <w:rPr>
            <w:noProof/>
            <w:webHidden/>
          </w:rPr>
        </w:r>
        <w:r w:rsidR="00B24FF4">
          <w:rPr>
            <w:noProof/>
            <w:webHidden/>
          </w:rPr>
          <w:fldChar w:fldCharType="separate"/>
        </w:r>
        <w:r w:rsidR="00B24FF4">
          <w:rPr>
            <w:noProof/>
            <w:webHidden/>
          </w:rPr>
          <w:t>2</w:t>
        </w:r>
        <w:r w:rsidR="00B24FF4">
          <w:rPr>
            <w:noProof/>
            <w:webHidden/>
          </w:rPr>
          <w:fldChar w:fldCharType="end"/>
        </w:r>
      </w:hyperlink>
    </w:p>
    <w:p w14:paraId="0CB2D155" w14:textId="4A87FE6B" w:rsidR="00B24FF4" w:rsidRDefault="007710B1">
      <w:pPr>
        <w:pStyle w:val="Innehll2"/>
        <w:rPr>
          <w:rFonts w:asciiTheme="minorHAnsi" w:eastAsiaTheme="minorEastAsia" w:hAnsiTheme="minorHAnsi" w:cstheme="minorBidi"/>
          <w:noProof/>
          <w:kern w:val="2"/>
          <w:sz w:val="22"/>
          <w:szCs w:val="22"/>
          <w14:ligatures w14:val="standardContextual"/>
        </w:rPr>
      </w:pPr>
      <w:hyperlink w:anchor="_Toc176338285" w:history="1">
        <w:r w:rsidR="00B24FF4" w:rsidRPr="00D51C96">
          <w:rPr>
            <w:rStyle w:val="Hyperlnk"/>
            <w:rFonts w:eastAsia="MS Gothic"/>
            <w:noProof/>
          </w:rPr>
          <w:t>Planerad vårdinsats</w:t>
        </w:r>
        <w:r w:rsidR="00B24FF4">
          <w:rPr>
            <w:noProof/>
            <w:webHidden/>
          </w:rPr>
          <w:tab/>
        </w:r>
        <w:r w:rsidR="00B24FF4">
          <w:rPr>
            <w:noProof/>
            <w:webHidden/>
          </w:rPr>
          <w:fldChar w:fldCharType="begin"/>
        </w:r>
        <w:r w:rsidR="00B24FF4">
          <w:rPr>
            <w:noProof/>
            <w:webHidden/>
          </w:rPr>
          <w:instrText xml:space="preserve"> PAGEREF _Toc176338285 \h </w:instrText>
        </w:r>
        <w:r w:rsidR="00B24FF4">
          <w:rPr>
            <w:noProof/>
            <w:webHidden/>
          </w:rPr>
        </w:r>
        <w:r w:rsidR="00B24FF4">
          <w:rPr>
            <w:noProof/>
            <w:webHidden/>
          </w:rPr>
          <w:fldChar w:fldCharType="separate"/>
        </w:r>
        <w:r w:rsidR="00B24FF4">
          <w:rPr>
            <w:noProof/>
            <w:webHidden/>
          </w:rPr>
          <w:t>2</w:t>
        </w:r>
        <w:r w:rsidR="00B24FF4">
          <w:rPr>
            <w:noProof/>
            <w:webHidden/>
          </w:rPr>
          <w:fldChar w:fldCharType="end"/>
        </w:r>
      </w:hyperlink>
    </w:p>
    <w:p w14:paraId="43155A82" w14:textId="2C486EA0" w:rsidR="00B24FF4" w:rsidRDefault="007710B1">
      <w:pPr>
        <w:pStyle w:val="Innehll2"/>
        <w:rPr>
          <w:rFonts w:asciiTheme="minorHAnsi" w:eastAsiaTheme="minorEastAsia" w:hAnsiTheme="minorHAnsi" w:cstheme="minorBidi"/>
          <w:noProof/>
          <w:kern w:val="2"/>
          <w:sz w:val="22"/>
          <w:szCs w:val="22"/>
          <w14:ligatures w14:val="standardContextual"/>
        </w:rPr>
      </w:pPr>
      <w:hyperlink w:anchor="_Toc176338286" w:history="1">
        <w:r w:rsidR="00B24FF4" w:rsidRPr="00D51C96">
          <w:rPr>
            <w:rStyle w:val="Hyperlnk"/>
            <w:rFonts w:eastAsia="MS Gothic"/>
            <w:noProof/>
          </w:rPr>
          <w:t>Barn och ungdomar</w:t>
        </w:r>
        <w:r w:rsidR="00B24FF4">
          <w:rPr>
            <w:noProof/>
            <w:webHidden/>
          </w:rPr>
          <w:tab/>
        </w:r>
        <w:r w:rsidR="00B24FF4">
          <w:rPr>
            <w:noProof/>
            <w:webHidden/>
          </w:rPr>
          <w:fldChar w:fldCharType="begin"/>
        </w:r>
        <w:r w:rsidR="00B24FF4">
          <w:rPr>
            <w:noProof/>
            <w:webHidden/>
          </w:rPr>
          <w:instrText xml:space="preserve"> PAGEREF _Toc176338286 \h </w:instrText>
        </w:r>
        <w:r w:rsidR="00B24FF4">
          <w:rPr>
            <w:noProof/>
            <w:webHidden/>
          </w:rPr>
        </w:r>
        <w:r w:rsidR="00B24FF4">
          <w:rPr>
            <w:noProof/>
            <w:webHidden/>
          </w:rPr>
          <w:fldChar w:fldCharType="separate"/>
        </w:r>
        <w:r w:rsidR="00B24FF4">
          <w:rPr>
            <w:noProof/>
            <w:webHidden/>
          </w:rPr>
          <w:t>3</w:t>
        </w:r>
        <w:r w:rsidR="00B24FF4">
          <w:rPr>
            <w:noProof/>
            <w:webHidden/>
          </w:rPr>
          <w:fldChar w:fldCharType="end"/>
        </w:r>
      </w:hyperlink>
    </w:p>
    <w:p w14:paraId="253E02A6" w14:textId="1B76AE34"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87" w:history="1">
        <w:r w:rsidR="00B24FF4" w:rsidRPr="00D51C96">
          <w:rPr>
            <w:rStyle w:val="Hyperlnk"/>
            <w:rFonts w:eastAsia="MS Gothic"/>
            <w:noProof/>
          </w:rPr>
          <w:t>Genomförande</w:t>
        </w:r>
        <w:r w:rsidR="00B24FF4">
          <w:rPr>
            <w:noProof/>
            <w:webHidden/>
          </w:rPr>
          <w:tab/>
        </w:r>
        <w:r w:rsidR="00B24FF4">
          <w:rPr>
            <w:noProof/>
            <w:webHidden/>
          </w:rPr>
          <w:fldChar w:fldCharType="begin"/>
        </w:r>
        <w:r w:rsidR="00B24FF4">
          <w:rPr>
            <w:noProof/>
            <w:webHidden/>
          </w:rPr>
          <w:instrText xml:space="preserve"> PAGEREF _Toc176338287 \h </w:instrText>
        </w:r>
        <w:r w:rsidR="00B24FF4">
          <w:rPr>
            <w:noProof/>
            <w:webHidden/>
          </w:rPr>
        </w:r>
        <w:r w:rsidR="00B24FF4">
          <w:rPr>
            <w:noProof/>
            <w:webHidden/>
          </w:rPr>
          <w:fldChar w:fldCharType="separate"/>
        </w:r>
        <w:r w:rsidR="00B24FF4">
          <w:rPr>
            <w:noProof/>
            <w:webHidden/>
          </w:rPr>
          <w:t>3</w:t>
        </w:r>
        <w:r w:rsidR="00B24FF4">
          <w:rPr>
            <w:noProof/>
            <w:webHidden/>
          </w:rPr>
          <w:fldChar w:fldCharType="end"/>
        </w:r>
      </w:hyperlink>
    </w:p>
    <w:p w14:paraId="56F8507A" w14:textId="65BCF38B" w:rsidR="00B24FF4" w:rsidRDefault="007710B1">
      <w:pPr>
        <w:pStyle w:val="Innehll2"/>
        <w:rPr>
          <w:rFonts w:asciiTheme="minorHAnsi" w:eastAsiaTheme="minorEastAsia" w:hAnsiTheme="minorHAnsi" w:cstheme="minorBidi"/>
          <w:noProof/>
          <w:kern w:val="2"/>
          <w:sz w:val="22"/>
          <w:szCs w:val="22"/>
          <w14:ligatures w14:val="standardContextual"/>
        </w:rPr>
      </w:pPr>
      <w:hyperlink w:anchor="_Toc176338288" w:history="1">
        <w:r w:rsidR="00B24FF4" w:rsidRPr="00D51C96">
          <w:rPr>
            <w:rStyle w:val="Hyperlnk"/>
            <w:rFonts w:eastAsia="MS Gothic"/>
            <w:noProof/>
          </w:rPr>
          <w:t>Jehovas vittnens information om kliniska strategier</w:t>
        </w:r>
        <w:r w:rsidR="00B24FF4">
          <w:rPr>
            <w:noProof/>
            <w:webHidden/>
          </w:rPr>
          <w:tab/>
        </w:r>
        <w:r w:rsidR="00B24FF4">
          <w:rPr>
            <w:noProof/>
            <w:webHidden/>
          </w:rPr>
          <w:fldChar w:fldCharType="begin"/>
        </w:r>
        <w:r w:rsidR="00B24FF4">
          <w:rPr>
            <w:noProof/>
            <w:webHidden/>
          </w:rPr>
          <w:instrText xml:space="preserve"> PAGEREF _Toc176338288 \h </w:instrText>
        </w:r>
        <w:r w:rsidR="00B24FF4">
          <w:rPr>
            <w:noProof/>
            <w:webHidden/>
          </w:rPr>
        </w:r>
        <w:r w:rsidR="00B24FF4">
          <w:rPr>
            <w:noProof/>
            <w:webHidden/>
          </w:rPr>
          <w:fldChar w:fldCharType="separate"/>
        </w:r>
        <w:r w:rsidR="00B24FF4">
          <w:rPr>
            <w:noProof/>
            <w:webHidden/>
          </w:rPr>
          <w:t>3</w:t>
        </w:r>
        <w:r w:rsidR="00B24FF4">
          <w:rPr>
            <w:noProof/>
            <w:webHidden/>
          </w:rPr>
          <w:fldChar w:fldCharType="end"/>
        </w:r>
      </w:hyperlink>
    </w:p>
    <w:p w14:paraId="0F343EAD" w14:textId="3DE4B4A8"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89" w:history="1">
        <w:r w:rsidR="00B24FF4" w:rsidRPr="00D51C96">
          <w:rPr>
            <w:rStyle w:val="Hyperlnk"/>
            <w:rFonts w:eastAsia="MS Gothic"/>
            <w:noProof/>
          </w:rPr>
          <w:t>Dokumentinformation</w:t>
        </w:r>
        <w:r w:rsidR="00B24FF4">
          <w:rPr>
            <w:noProof/>
            <w:webHidden/>
          </w:rPr>
          <w:tab/>
        </w:r>
        <w:r w:rsidR="00B24FF4">
          <w:rPr>
            <w:noProof/>
            <w:webHidden/>
          </w:rPr>
          <w:fldChar w:fldCharType="begin"/>
        </w:r>
        <w:r w:rsidR="00B24FF4">
          <w:rPr>
            <w:noProof/>
            <w:webHidden/>
          </w:rPr>
          <w:instrText xml:space="preserve"> PAGEREF _Toc176338289 \h </w:instrText>
        </w:r>
        <w:r w:rsidR="00B24FF4">
          <w:rPr>
            <w:noProof/>
            <w:webHidden/>
          </w:rPr>
        </w:r>
        <w:r w:rsidR="00B24FF4">
          <w:rPr>
            <w:noProof/>
            <w:webHidden/>
          </w:rPr>
          <w:fldChar w:fldCharType="separate"/>
        </w:r>
        <w:r w:rsidR="00B24FF4">
          <w:rPr>
            <w:noProof/>
            <w:webHidden/>
          </w:rPr>
          <w:t>4</w:t>
        </w:r>
        <w:r w:rsidR="00B24FF4">
          <w:rPr>
            <w:noProof/>
            <w:webHidden/>
          </w:rPr>
          <w:fldChar w:fldCharType="end"/>
        </w:r>
      </w:hyperlink>
    </w:p>
    <w:p w14:paraId="62552AF8" w14:textId="12FF9A2A"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90" w:history="1">
        <w:r w:rsidR="00B24FF4" w:rsidRPr="00D51C96">
          <w:rPr>
            <w:rStyle w:val="Hyperlnk"/>
            <w:rFonts w:eastAsia="MS Gothic"/>
            <w:noProof/>
          </w:rPr>
          <w:t>Referens-/länkförteckning</w:t>
        </w:r>
        <w:r w:rsidR="00B24FF4">
          <w:rPr>
            <w:noProof/>
            <w:webHidden/>
          </w:rPr>
          <w:tab/>
        </w:r>
        <w:r w:rsidR="00B24FF4">
          <w:rPr>
            <w:noProof/>
            <w:webHidden/>
          </w:rPr>
          <w:fldChar w:fldCharType="begin"/>
        </w:r>
        <w:r w:rsidR="00B24FF4">
          <w:rPr>
            <w:noProof/>
            <w:webHidden/>
          </w:rPr>
          <w:instrText xml:space="preserve"> PAGEREF _Toc176338290 \h </w:instrText>
        </w:r>
        <w:r w:rsidR="00B24FF4">
          <w:rPr>
            <w:noProof/>
            <w:webHidden/>
          </w:rPr>
        </w:r>
        <w:r w:rsidR="00B24FF4">
          <w:rPr>
            <w:noProof/>
            <w:webHidden/>
          </w:rPr>
          <w:fldChar w:fldCharType="separate"/>
        </w:r>
        <w:r w:rsidR="00B24FF4">
          <w:rPr>
            <w:noProof/>
            <w:webHidden/>
          </w:rPr>
          <w:t>4</w:t>
        </w:r>
        <w:r w:rsidR="00B24FF4">
          <w:rPr>
            <w:noProof/>
            <w:webHidden/>
          </w:rPr>
          <w:fldChar w:fldCharType="end"/>
        </w:r>
      </w:hyperlink>
    </w:p>
    <w:p w14:paraId="785E47CE" w14:textId="493D5575" w:rsidR="00B24FF4" w:rsidRDefault="007710B1">
      <w:pPr>
        <w:pStyle w:val="Innehll1"/>
        <w:rPr>
          <w:rFonts w:asciiTheme="minorHAnsi" w:eastAsiaTheme="minorEastAsia" w:hAnsiTheme="minorHAnsi" w:cstheme="minorBidi"/>
          <w:noProof/>
          <w:kern w:val="2"/>
          <w:sz w:val="22"/>
          <w:szCs w:val="22"/>
          <w14:ligatures w14:val="standardContextual"/>
        </w:rPr>
      </w:pPr>
      <w:hyperlink w:anchor="_Toc176338291" w:history="1">
        <w:r w:rsidR="00B24FF4" w:rsidRPr="00D51C96">
          <w:rPr>
            <w:rStyle w:val="Hyperlnk"/>
            <w:rFonts w:eastAsia="MS Gothic"/>
            <w:noProof/>
          </w:rPr>
          <w:t>Bilaga, Exempel på patientfullmakt</w:t>
        </w:r>
        <w:r w:rsidR="00B24FF4">
          <w:rPr>
            <w:noProof/>
            <w:webHidden/>
          </w:rPr>
          <w:tab/>
        </w:r>
        <w:r w:rsidR="00B24FF4">
          <w:rPr>
            <w:noProof/>
            <w:webHidden/>
          </w:rPr>
          <w:fldChar w:fldCharType="begin"/>
        </w:r>
        <w:r w:rsidR="00B24FF4">
          <w:rPr>
            <w:noProof/>
            <w:webHidden/>
          </w:rPr>
          <w:instrText xml:space="preserve"> PAGEREF _Toc176338291 \h </w:instrText>
        </w:r>
        <w:r w:rsidR="00B24FF4">
          <w:rPr>
            <w:noProof/>
            <w:webHidden/>
          </w:rPr>
        </w:r>
        <w:r w:rsidR="00B24FF4">
          <w:rPr>
            <w:noProof/>
            <w:webHidden/>
          </w:rPr>
          <w:fldChar w:fldCharType="separate"/>
        </w:r>
        <w:r w:rsidR="00B24FF4">
          <w:rPr>
            <w:noProof/>
            <w:webHidden/>
          </w:rPr>
          <w:t>6</w:t>
        </w:r>
        <w:r w:rsidR="00B24FF4">
          <w:rPr>
            <w:noProof/>
            <w:webHidden/>
          </w:rPr>
          <w:fldChar w:fldCharType="end"/>
        </w:r>
      </w:hyperlink>
    </w:p>
    <w:p w14:paraId="7342490E" w14:textId="53F59043" w:rsidR="00AE5330" w:rsidRPr="00906149" w:rsidRDefault="00AE5330" w:rsidP="00AE5330">
      <w:pPr>
        <w:pStyle w:val="Rubrik2"/>
      </w:pPr>
      <w:r w:rsidRPr="00906149">
        <w:lastRenderedPageBreak/>
        <w:fldChar w:fldCharType="end"/>
      </w:r>
      <w:bookmarkStart w:id="4" w:name="_Toc314219395"/>
      <w:bookmarkStart w:id="5" w:name="_Toc176338282"/>
      <w:r w:rsidRPr="00906149">
        <w:t>Bakgrund</w:t>
      </w:r>
      <w:bookmarkEnd w:id="4"/>
      <w:bookmarkEnd w:id="5"/>
    </w:p>
    <w:p w14:paraId="50F98257" w14:textId="0247B0CF" w:rsidR="00AE5330" w:rsidRDefault="00AE5330" w:rsidP="00AE5330">
      <w:pPr>
        <w:keepNext/>
        <w:keepLines/>
      </w:pPr>
      <w:r>
        <w:t xml:space="preserve">I svensk sjukvård räknas blod och blodprodukter som en livsuppehållande behandling. Den vanligast förekommande anledning att avstå från att ta emot blod är personer som tillhör Jehovas vittnen. De flesta av dessa bär ett </w:t>
      </w:r>
      <w:proofErr w:type="spellStart"/>
      <w:r>
        <w:t>blodkort</w:t>
      </w:r>
      <w:proofErr w:type="spellEnd"/>
      <w:r>
        <w:t xml:space="preserve"> (</w:t>
      </w:r>
      <w:hyperlink w:anchor="BilagaFullmakt" w:history="1">
        <w:r w:rsidRPr="00C629AA">
          <w:rPr>
            <w:rStyle w:val="Hyperlnk"/>
          </w:rPr>
          <w:t>en fullmakt gällande sjukvårdsfrågor, se bilaga</w:t>
        </w:r>
      </w:hyperlink>
      <w:r>
        <w:t xml:space="preserve">), där det står att de avsäger sig transfusion av blodprodukter. Med detta </w:t>
      </w:r>
      <w:proofErr w:type="spellStart"/>
      <w:r>
        <w:t>blodkort</w:t>
      </w:r>
      <w:proofErr w:type="spellEnd"/>
      <w:r>
        <w:t xml:space="preserve"> intygar patienten sitt ställningstagande till att avstå från behandling med blod [1, 2, 3]. Observera att patientens ord ska vara vägledande när denne uttryckt en önskan om att inte vilja ha blod; inte att detta måste kunna visas upp skriftligt via en fullmakt eller intyg.</w:t>
      </w:r>
    </w:p>
    <w:p w14:paraId="0F0A1EF2" w14:textId="7816F63A" w:rsidR="00AE5330" w:rsidRPr="00906149" w:rsidRDefault="00AE5330" w:rsidP="00AE5330">
      <w:r>
        <w:t xml:space="preserve">För att avsäga sig livsuppehållande behandling gäller särskilda regler som sjukvårdspersonal har att förhålla sig till, vilket regleras i Socialstyrelsens föreskrift och allmänna råd ”Livsuppehållande behandling” (SOSFS 2011:7) [2], se även SÄS riktlinje </w:t>
      </w:r>
      <w:hyperlink r:id="rId12">
        <w:r w:rsidRPr="6AA9A7A4">
          <w:rPr>
            <w:rStyle w:val="Hyperlnk"/>
          </w:rPr>
          <w:t>Livsuppehållande behandling</w:t>
        </w:r>
      </w:hyperlink>
      <w:r>
        <w:t xml:space="preserve"> [4].</w:t>
      </w:r>
    </w:p>
    <w:p w14:paraId="1251ED81" w14:textId="13569D97" w:rsidR="00AE5330" w:rsidRDefault="00AE5330" w:rsidP="00AE5330">
      <w:r>
        <w:t xml:space="preserve">Transfusion av blodprodukter kan delvis undvikas genom optimal användning av olika kliniska strategier för att minimera blödning såsom att ta tillvara </w:t>
      </w:r>
      <w:proofErr w:type="spellStart"/>
      <w:r>
        <w:t>autologt</w:t>
      </w:r>
      <w:proofErr w:type="spellEnd"/>
      <w:r>
        <w:t xml:space="preserve"> blod, förstärka </w:t>
      </w:r>
      <w:proofErr w:type="spellStart"/>
      <w:r>
        <w:t>hematopoesen</w:t>
      </w:r>
      <w:proofErr w:type="spellEnd"/>
      <w:r>
        <w:t xml:space="preserve"> och öka anemitoleransen.</w:t>
      </w:r>
    </w:p>
    <w:p w14:paraId="6C111B31" w14:textId="4E8765AB" w:rsidR="00AE5330" w:rsidRPr="00906149" w:rsidRDefault="00AE5330" w:rsidP="00AE5330">
      <w:r>
        <w:t xml:space="preserve">Jehovas vittnen tillhandahåller referenser till artiklar från ledande medicinska tidskrifter som ger evidens till stöd för användning av </w:t>
      </w:r>
      <w:proofErr w:type="spellStart"/>
      <w:r>
        <w:t>autolog</w:t>
      </w:r>
      <w:proofErr w:type="spellEnd"/>
      <w:r>
        <w:t xml:space="preserve"> blodbesparing och andra medicinska alternativ till blodtransfusion, se </w:t>
      </w:r>
      <w:hyperlink r:id="rId13" w:history="1">
        <w:r w:rsidRPr="00FA18A8">
          <w:rPr>
            <w:rStyle w:val="Hyperlnk"/>
          </w:rPr>
          <w:t>www.jw.org/sv/medicinsk-information</w:t>
        </w:r>
      </w:hyperlink>
      <w:r>
        <w:t xml:space="preserve"> [5].</w:t>
      </w:r>
    </w:p>
    <w:p w14:paraId="674D22E1" w14:textId="77777777" w:rsidR="00AE5330" w:rsidRPr="00906149" w:rsidRDefault="00AE5330" w:rsidP="00AE5330">
      <w:pPr>
        <w:pStyle w:val="Rubrik2"/>
      </w:pPr>
      <w:bookmarkStart w:id="6" w:name="_Toc314219396"/>
      <w:bookmarkStart w:id="7" w:name="_Toc176338283"/>
      <w:r>
        <w:t>Förutsättningar</w:t>
      </w:r>
      <w:bookmarkEnd w:id="6"/>
      <w:bookmarkEnd w:id="7"/>
    </w:p>
    <w:p w14:paraId="15400A27" w14:textId="77777777" w:rsidR="00AE5330" w:rsidRPr="00906149" w:rsidRDefault="00AE5330" w:rsidP="00AE5330">
      <w:pPr>
        <w:pStyle w:val="Rubrik3"/>
        <w:spacing w:before="120"/>
      </w:pPr>
      <w:bookmarkStart w:id="8" w:name="_Toc176338284"/>
      <w:r>
        <w:t>Akut vårdinsats</w:t>
      </w:r>
      <w:bookmarkEnd w:id="8"/>
    </w:p>
    <w:p w14:paraId="54D229AC" w14:textId="140AA721" w:rsidR="00AE5330" w:rsidRPr="00906149" w:rsidRDefault="00AE5330" w:rsidP="00AE5330">
      <w:r>
        <w:t xml:space="preserve">Vilken vård som ska ges är alltid en medicinsk bedömning och kan omprövas av behandlande läkare vid livshotande tillstånd, se även </w:t>
      </w:r>
      <w:hyperlink r:id="rId14">
        <w:r w:rsidRPr="6AA9A7A4">
          <w:rPr>
            <w:rStyle w:val="Hyperlnk"/>
          </w:rPr>
          <w:t>Vårdinsatser utan patientens samtycke, SÄS</w:t>
        </w:r>
      </w:hyperlink>
      <w:r>
        <w:t xml:space="preserve"> [6].</w:t>
      </w:r>
    </w:p>
    <w:p w14:paraId="1D958B78" w14:textId="77777777" w:rsidR="00AE5330" w:rsidRPr="00906149" w:rsidRDefault="00AE5330" w:rsidP="00AE5330">
      <w:r>
        <w:t xml:space="preserve">Utdrag ur </w:t>
      </w:r>
      <w:proofErr w:type="spellStart"/>
      <w:r>
        <w:t>patientlagen</w:t>
      </w:r>
      <w:proofErr w:type="spellEnd"/>
      <w:r>
        <w:t>, 4 kap. 4§:</w:t>
      </w:r>
    </w:p>
    <w:p w14:paraId="0D144839" w14:textId="77777777" w:rsidR="00AE5330" w:rsidRPr="00906149" w:rsidRDefault="00AE5330" w:rsidP="00C44913">
      <w:pPr>
        <w:ind w:left="1349"/>
      </w:pPr>
      <w:r>
        <w:t>”Patienten ska få den hälso- och sjukvård som behövs för att avvärja fara som akut och allvarligt hotar patientens liv eller hälsa, även om hans eller hennes vilja på grund av medvetslöshet eller av någon annan orsak inte kan utredas” [7].</w:t>
      </w:r>
    </w:p>
    <w:p w14:paraId="5E236D13" w14:textId="77777777" w:rsidR="00AE5330" w:rsidRPr="00906149" w:rsidRDefault="00AE5330" w:rsidP="00AE5330">
      <w:pPr>
        <w:pStyle w:val="Rubrik3"/>
      </w:pPr>
      <w:bookmarkStart w:id="9" w:name="_Toc176338285"/>
      <w:r>
        <w:t>Planerad vårdinsats</w:t>
      </w:r>
      <w:bookmarkEnd w:id="9"/>
    </w:p>
    <w:p w14:paraId="101C5EDA" w14:textId="77777777" w:rsidR="00AE5330" w:rsidRPr="00906149" w:rsidRDefault="00AE5330" w:rsidP="00AE5330">
      <w:r>
        <w:t>Patienter som ska genomgå kirurgi ska informeras om risken att behöva blodtransfusion i samband med operation.</w:t>
      </w:r>
    </w:p>
    <w:p w14:paraId="2B6F88B8" w14:textId="77777777" w:rsidR="00AE5330" w:rsidRPr="00906149" w:rsidRDefault="00AE5330" w:rsidP="00AE5330">
      <w:pPr>
        <w:pStyle w:val="Punktlista"/>
      </w:pPr>
      <w:r>
        <w:lastRenderedPageBreak/>
        <w:t>Detta görs på aktuell mottagningen samt på preoperativa mottagningen samt i förekommande fall på avdelningen.</w:t>
      </w:r>
    </w:p>
    <w:p w14:paraId="70DCC52C" w14:textId="77777777" w:rsidR="00AE5330" w:rsidRPr="00906149" w:rsidRDefault="00AE5330" w:rsidP="00AE5330">
      <w:pPr>
        <w:pStyle w:val="Punktlista"/>
      </w:pPr>
      <w:r>
        <w:t>Det är upp till patienten att berätta om sitt ställningstagande till att inte ta emot blod eller blodprodukter. Vårdpersonal behöver inte fråga aktivt.</w:t>
      </w:r>
    </w:p>
    <w:p w14:paraId="60850A04" w14:textId="77777777" w:rsidR="00AE5330" w:rsidRPr="00906149" w:rsidRDefault="00AE5330" w:rsidP="00AE5330">
      <w:pPr>
        <w:pStyle w:val="Punktlista"/>
      </w:pPr>
      <w:r>
        <w:t>Om patienten informerar någon vårdpersonal om sitt ställningstagande att inte ta emot blod, och patienten planeras in för kirurgiskt ingrepp, måste ansvarig läkare och/eller operatör informeras.</w:t>
      </w:r>
    </w:p>
    <w:p w14:paraId="6ADE1DFB" w14:textId="25F6BEBD" w:rsidR="00AE5330" w:rsidRPr="00906149" w:rsidRDefault="00AE5330" w:rsidP="00AE5330">
      <w:r>
        <w:t>Patientens önskan ska, efter lagstadgad information och säkerställande, dokumenteras i journalen som begränsning av vårdinsats, s</w:t>
      </w:r>
      <w:r w:rsidR="379DBD3B">
        <w:t>e r</w:t>
      </w:r>
      <w:r w:rsidR="00560160">
        <w:t xml:space="preserve">utinen </w:t>
      </w:r>
      <w:hyperlink r:id="rId15" w:history="1">
        <w:r w:rsidR="00560160" w:rsidRPr="009D3CD8">
          <w:rPr>
            <w:rStyle w:val="Hyperlnk"/>
          </w:rPr>
          <w:t>Varningar och begränsning av vårdinsats i Melior</w:t>
        </w:r>
      </w:hyperlink>
      <w:r w:rsidR="009D3CD8">
        <w:t xml:space="preserve"> </w:t>
      </w:r>
      <w:r>
        <w:t xml:space="preserve">respektive </w:t>
      </w:r>
      <w:hyperlink r:id="rId16">
        <w:r w:rsidRPr="26AB3852">
          <w:rPr>
            <w:rStyle w:val="Hyperlnk"/>
          </w:rPr>
          <w:t>Livsuppehållande behandling</w:t>
        </w:r>
      </w:hyperlink>
      <w:r>
        <w:t xml:space="preserve"> [8, 4]. </w:t>
      </w:r>
      <w:r>
        <w:br/>
      </w:r>
      <w:r w:rsidRPr="26AB3852">
        <w:rPr>
          <w:b/>
          <w:bCs/>
        </w:rPr>
        <w:t>OBS</w:t>
      </w:r>
      <w:r>
        <w:t>! Om patienten bedöms vara i behov av blodprodukter är det av största vikt, att tillfråga patienten om tidigare beslut att avstå kvarstår. Detta ska dokumenteras i journalen.</w:t>
      </w:r>
    </w:p>
    <w:p w14:paraId="663120EA" w14:textId="77777777" w:rsidR="00AE5330" w:rsidRPr="00906149" w:rsidRDefault="00AE5330" w:rsidP="00AE5330">
      <w:pPr>
        <w:pStyle w:val="Rubrik3"/>
      </w:pPr>
      <w:bookmarkStart w:id="10" w:name="_Toc176338286"/>
      <w:r>
        <w:t>Barn och ungdomar</w:t>
      </w:r>
      <w:bookmarkEnd w:id="10"/>
    </w:p>
    <w:p w14:paraId="05C89F3B" w14:textId="77777777" w:rsidR="00AE5330" w:rsidRPr="00906149" w:rsidRDefault="00AE5330" w:rsidP="00AE5330">
      <w:r>
        <w:t xml:space="preserve">För barn gäller särskilda lagar och regler. Barnets egen önskan ska tillmätas ökande vikt med graden av mognad. Då föräldrar önskar att barnet inte ska få blodprodukter, och detta anses allvarligt riskera barnets hälsa eller liv, gäller socialtjänstlagen om anmälningsskyldighet av barn som riskerar att fara illa, om inte barnets egen uppfattning kan anses vara avgörande, se rutinen </w:t>
      </w:r>
      <w:hyperlink r:id="rId17">
        <w:r w:rsidRPr="6AA9A7A4">
          <w:rPr>
            <w:rStyle w:val="Hyperlnk"/>
          </w:rPr>
          <w:t>Anmälan om oro för barn och unga</w:t>
        </w:r>
      </w:hyperlink>
      <w:r>
        <w:t xml:space="preserve"> [9, 10, 11].</w:t>
      </w:r>
    </w:p>
    <w:p w14:paraId="7C915553" w14:textId="77777777" w:rsidR="00AE5330" w:rsidRPr="00906149" w:rsidRDefault="00AE5330" w:rsidP="00AE5330">
      <w:pPr>
        <w:pStyle w:val="Rubrik2"/>
      </w:pPr>
      <w:bookmarkStart w:id="11" w:name="_Toc314219397"/>
      <w:bookmarkStart w:id="12" w:name="_Toc176338287"/>
      <w:r>
        <w:t>Genomförande</w:t>
      </w:r>
      <w:bookmarkEnd w:id="11"/>
      <w:bookmarkEnd w:id="12"/>
    </w:p>
    <w:p w14:paraId="6E834883" w14:textId="175EC73C" w:rsidR="00AE5330" w:rsidRPr="00906149" w:rsidRDefault="00AE5330" w:rsidP="00AE5330">
      <w:r>
        <w:t>Ansvarig läkare har själv och i samråd med chef att ta ställning till om</w:t>
      </w:r>
      <w:r w:rsidR="001C64D6">
        <w:t> </w:t>
      </w:r>
      <w:r>
        <w:t>ett planerat ingrepp eller en behandling kan genomföras utan blodtransfusion enligt patientens önskemål beroende på resurser, kunskap och befintlig teknik inom den egna verksamheten, eller om patienten ska remitteras eller hänvisas till annan verksamhet.</w:t>
      </w:r>
    </w:p>
    <w:p w14:paraId="3D81B111" w14:textId="77777777" w:rsidR="00AE5330" w:rsidRPr="00906149" w:rsidRDefault="00AE5330" w:rsidP="00AE5330">
      <w:pPr>
        <w:pStyle w:val="Rubrik3"/>
      </w:pPr>
      <w:bookmarkStart w:id="13" w:name="_Toc176338288"/>
      <w:r>
        <w:t>Jehovas vittnens information om kliniska strategier</w:t>
      </w:r>
      <w:bookmarkEnd w:id="13"/>
    </w:p>
    <w:p w14:paraId="3372AD2C" w14:textId="77777777" w:rsidR="00AE5330" w:rsidRPr="00906149" w:rsidRDefault="00AE5330" w:rsidP="00AE5330">
      <w:r>
        <w:t xml:space="preserve">Förutom riktad information till läkare om olika kliniska strategier för behandling utan </w:t>
      </w:r>
      <w:proofErr w:type="spellStart"/>
      <w:r>
        <w:t>allogen</w:t>
      </w:r>
      <w:proofErr w:type="spellEnd"/>
      <w:r>
        <w:t xml:space="preserve"> blodtransfusion, finns kontaktuppgifter till representanter för sjukhuskommittéer över hela världen som dygnet runt kan svara på frågor: </w:t>
      </w:r>
      <w:hyperlink r:id="rId18" w:history="1">
        <w:r w:rsidRPr="00623A5D">
          <w:rPr>
            <w:rStyle w:val="Hyperlnk"/>
          </w:rPr>
          <w:t>www.jw.org/sv/medicinsk-information</w:t>
        </w:r>
      </w:hyperlink>
      <w:r>
        <w:t xml:space="preserve"> [5].</w:t>
      </w:r>
    </w:p>
    <w:p w14:paraId="516A3C36" w14:textId="77777777" w:rsidR="00AE5330" w:rsidRPr="00906149" w:rsidRDefault="00AE5330" w:rsidP="00AE5330">
      <w:r>
        <w:t xml:space="preserve">Se även </w:t>
      </w:r>
      <w:hyperlink r:id="rId19">
        <w:r w:rsidRPr="6AA9A7A4">
          <w:rPr>
            <w:rStyle w:val="Hyperlnk"/>
          </w:rPr>
          <w:t>vårdhandboken.se, avsnitt Transfusion av blodkomponenter</w:t>
        </w:r>
      </w:hyperlink>
      <w:r w:rsidRPr="6AA9A7A4">
        <w:rPr>
          <w:rStyle w:val="Hyperlnk"/>
        </w:rPr>
        <w:t xml:space="preserve"> </w:t>
      </w:r>
      <w:r>
        <w:t>[12].</w:t>
      </w:r>
    </w:p>
    <w:p w14:paraId="7394CB8A" w14:textId="77777777" w:rsidR="00AE5330" w:rsidRPr="00906149" w:rsidRDefault="00AE5330" w:rsidP="00AE5330">
      <w:pPr>
        <w:pStyle w:val="Rubrik2"/>
      </w:pPr>
      <w:bookmarkStart w:id="14" w:name="_Toc182366122"/>
      <w:bookmarkStart w:id="15" w:name="_Toc314219399"/>
      <w:bookmarkStart w:id="16" w:name="_Toc176338289"/>
      <w:r>
        <w:lastRenderedPageBreak/>
        <w:t>Dokumentinformation</w:t>
      </w:r>
      <w:bookmarkEnd w:id="14"/>
      <w:bookmarkEnd w:id="15"/>
      <w:bookmarkEnd w:id="16"/>
    </w:p>
    <w:p w14:paraId="2E516ADD" w14:textId="77777777" w:rsidR="00AE5330" w:rsidRPr="00906149" w:rsidRDefault="00AE5330" w:rsidP="00AE5330">
      <w:pPr>
        <w:spacing w:after="0"/>
        <w:rPr>
          <w:b/>
          <w:bCs/>
        </w:rPr>
      </w:pPr>
      <w:r w:rsidRPr="6AA9A7A4">
        <w:rPr>
          <w:b/>
          <w:bCs/>
        </w:rPr>
        <w:t>För innehållet svarar</w:t>
      </w:r>
    </w:p>
    <w:p w14:paraId="047D7256" w14:textId="77777777" w:rsidR="00AE5330" w:rsidRDefault="00AE5330" w:rsidP="00AE5330">
      <w:r>
        <w:t>Sara Degerman Carlsson, chefläkare, SÄS</w:t>
      </w:r>
      <w:r>
        <w:br/>
        <w:t>Berit Johansson, överläkare, VO medicin/hematologen, SÄS</w:t>
      </w:r>
    </w:p>
    <w:p w14:paraId="793A93D5" w14:textId="6AFFEEED" w:rsidR="00402BB6" w:rsidRPr="00906149" w:rsidRDefault="00402BB6" w:rsidP="00AE5330">
      <w:pPr>
        <w:rPr>
          <w:szCs w:val="20"/>
        </w:rPr>
      </w:pPr>
      <w:r>
        <w:t xml:space="preserve">Översyn </w:t>
      </w:r>
      <w:r w:rsidR="001722E5">
        <w:t>2024 gjord av Jerker Nilson</w:t>
      </w:r>
      <w:r w:rsidR="00DC0DFF">
        <w:t xml:space="preserve"> och Berit Johansson.</w:t>
      </w:r>
    </w:p>
    <w:p w14:paraId="5B97FCBF" w14:textId="77777777" w:rsidR="00AE5330" w:rsidRPr="00906149" w:rsidRDefault="00AE5330" w:rsidP="00AE5330">
      <w:pPr>
        <w:spacing w:after="0"/>
        <w:rPr>
          <w:b/>
          <w:bCs/>
        </w:rPr>
      </w:pPr>
      <w:bookmarkStart w:id="17" w:name="_Toc149035757"/>
      <w:bookmarkStart w:id="18" w:name="_Toc149978547"/>
      <w:r w:rsidRPr="6AA9A7A4">
        <w:rPr>
          <w:b/>
          <w:bCs/>
        </w:rPr>
        <w:t>Remissinstanser (utgåva 1)</w:t>
      </w:r>
      <w:bookmarkEnd w:id="17"/>
      <w:bookmarkEnd w:id="18"/>
    </w:p>
    <w:p w14:paraId="70C80B5E" w14:textId="77777777" w:rsidR="00AE5330" w:rsidRPr="00906149" w:rsidRDefault="00AE5330" w:rsidP="00AE5330">
      <w:pPr>
        <w:rPr>
          <w:szCs w:val="20"/>
        </w:rPr>
      </w:pPr>
      <w:r>
        <w:t>Verksamhetschefer, SÄS</w:t>
      </w:r>
    </w:p>
    <w:p w14:paraId="45690923" w14:textId="77777777" w:rsidR="00AE5330" w:rsidRPr="00906149" w:rsidRDefault="00AE5330" w:rsidP="00AE5330">
      <w:pPr>
        <w:spacing w:after="0"/>
        <w:rPr>
          <w:b/>
          <w:bCs/>
        </w:rPr>
      </w:pPr>
      <w:r w:rsidRPr="6AA9A7A4">
        <w:rPr>
          <w:b/>
          <w:bCs/>
        </w:rPr>
        <w:t>Fastställt av</w:t>
      </w:r>
    </w:p>
    <w:p w14:paraId="69906472" w14:textId="75DBF77C" w:rsidR="00AE5330" w:rsidRPr="00906149" w:rsidRDefault="00DC0DFF" w:rsidP="00AE5330">
      <w:pPr>
        <w:rPr>
          <w:szCs w:val="20"/>
        </w:rPr>
      </w:pPr>
      <w:r>
        <w:t>Jerker Nilson</w:t>
      </w:r>
      <w:r w:rsidR="00AE5330">
        <w:t>, chefläkare, SÄS</w:t>
      </w:r>
    </w:p>
    <w:p w14:paraId="636A565C" w14:textId="77777777" w:rsidR="00AE5330" w:rsidRPr="00906149" w:rsidRDefault="00AE5330" w:rsidP="00AE5330">
      <w:pPr>
        <w:spacing w:after="0"/>
        <w:rPr>
          <w:b/>
          <w:bCs/>
        </w:rPr>
      </w:pPr>
      <w:r w:rsidRPr="6AA9A7A4">
        <w:rPr>
          <w:b/>
          <w:bCs/>
        </w:rPr>
        <w:t>Nyckelord</w:t>
      </w:r>
    </w:p>
    <w:p w14:paraId="017FE550" w14:textId="77777777" w:rsidR="00AE5330" w:rsidRPr="00906149" w:rsidRDefault="00AE5330" w:rsidP="00AE5330">
      <w:pPr>
        <w:rPr>
          <w:szCs w:val="20"/>
        </w:rPr>
      </w:pPr>
      <w:r>
        <w:t xml:space="preserve">Jehova, </w:t>
      </w:r>
      <w:proofErr w:type="spellStart"/>
      <w:r>
        <w:t>jehovas</w:t>
      </w:r>
      <w:proofErr w:type="spellEnd"/>
      <w:r>
        <w:t xml:space="preserve"> vittnen, blodfria behandlingar, blodtransfusioner, allogena blodtransfusioner, blodbesparingar</w:t>
      </w:r>
    </w:p>
    <w:p w14:paraId="228CD208" w14:textId="77777777" w:rsidR="00AE5330" w:rsidRPr="00906149" w:rsidRDefault="00AE5330" w:rsidP="00AE5330">
      <w:pPr>
        <w:pStyle w:val="Rubrik2"/>
      </w:pPr>
      <w:bookmarkStart w:id="19" w:name="_Toc314219400"/>
      <w:bookmarkStart w:id="20" w:name="_Toc176338290"/>
      <w:bookmarkStart w:id="21" w:name="_Toc169686209"/>
      <w:bookmarkStart w:id="22" w:name="_Toc169686713"/>
      <w:bookmarkStart w:id="23" w:name="_Toc182366123"/>
      <w:r>
        <w:t>Referens-/länkförteckning</w:t>
      </w:r>
      <w:bookmarkEnd w:id="19"/>
      <w:bookmarkEnd w:id="20"/>
    </w:p>
    <w:p w14:paraId="0F623794" w14:textId="77777777" w:rsidR="00AE5330" w:rsidRPr="00906149" w:rsidRDefault="00AE5330" w:rsidP="26AB3852">
      <w:pPr>
        <w:pStyle w:val="Punktlistanumrerad"/>
        <w:rPr>
          <w:rStyle w:val="Hyperlnk"/>
          <w:color w:val="auto"/>
        </w:rPr>
      </w:pPr>
      <w:r>
        <w:t xml:space="preserve">SOSFS 2009:28 Socialstyrelsens föreskrifter om blodverksamhet </w:t>
      </w:r>
      <w:r>
        <w:br/>
      </w:r>
      <w:hyperlink r:id="rId20">
        <w:r w:rsidRPr="26AB3852">
          <w:rPr>
            <w:rStyle w:val="Hyperlnk"/>
          </w:rPr>
          <w:t>www.socialstyrelsen.se</w:t>
        </w:r>
      </w:hyperlink>
    </w:p>
    <w:p w14:paraId="45FAF05C" w14:textId="77777777" w:rsidR="00AE5330" w:rsidRPr="00906149" w:rsidRDefault="00AE5330" w:rsidP="26AB3852">
      <w:pPr>
        <w:pStyle w:val="Punktlistanumrerad"/>
      </w:pPr>
      <w:r>
        <w:t xml:space="preserve">SOSFS 2011:7 Socialstyrelsens föreskrifter och allmänna råd om livsuppehållande behandling </w:t>
      </w:r>
      <w:r>
        <w:br/>
      </w:r>
      <w:hyperlink r:id="rId21">
        <w:r w:rsidRPr="26AB3852">
          <w:rPr>
            <w:rStyle w:val="Hyperlnk"/>
          </w:rPr>
          <w:t>www.socialstyrelsen.se</w:t>
        </w:r>
      </w:hyperlink>
    </w:p>
    <w:p w14:paraId="46E3D579" w14:textId="77777777" w:rsidR="00AE5330" w:rsidRPr="00906149" w:rsidRDefault="00AE5330" w:rsidP="26AB3852">
      <w:pPr>
        <w:pStyle w:val="Punktlistanumrerad"/>
      </w:pPr>
      <w:r>
        <w:t>Socialstyrelsen och läkaresällskapets etikdelegation: Nej till blodtransfusion bör respekteras om patienten är klar över följderna”, Läkartidningen 86:6 (1989), s. 450f.</w:t>
      </w:r>
    </w:p>
    <w:p w14:paraId="2D814F3C" w14:textId="4132F031" w:rsidR="00AE5330" w:rsidRPr="00906149" w:rsidRDefault="00AE5330" w:rsidP="26AB3852">
      <w:pPr>
        <w:pStyle w:val="Punktlistanumrerad"/>
      </w:pPr>
      <w:r>
        <w:t>Livsuppehållande behandling. Sjukhusövergripande riktlinje, SÄS</w:t>
      </w:r>
      <w:r>
        <w:br/>
      </w:r>
      <w:hyperlink r:id="rId22">
        <w:r w:rsidR="007710B1">
          <w:rPr>
            <w:rStyle w:val="Hyperlnk"/>
          </w:rPr>
          <w:t>https://insidan.vgregion.se/forvaltningar/sodra-alvsborgs-sjukhus/styrdokument</w:t>
        </w:r>
      </w:hyperlink>
    </w:p>
    <w:p w14:paraId="54C98730" w14:textId="77777777" w:rsidR="00AE5330" w:rsidRPr="00906149" w:rsidRDefault="00AE5330" w:rsidP="26AB3852">
      <w:pPr>
        <w:pStyle w:val="Punktlistanumrerad"/>
      </w:pPr>
      <w:r>
        <w:t xml:space="preserve">Jehovas Vittnens officiella hemsida, information till vårdpersonal. </w:t>
      </w:r>
      <w:hyperlink r:id="rId23">
        <w:r w:rsidRPr="26AB3852">
          <w:rPr>
            <w:rStyle w:val="Hyperlnk"/>
          </w:rPr>
          <w:t>https://www.jw.org/sv/medicinsk-information</w:t>
        </w:r>
      </w:hyperlink>
    </w:p>
    <w:p w14:paraId="525426D6" w14:textId="308143BA" w:rsidR="00AE5330" w:rsidRPr="00906149" w:rsidRDefault="00AE5330" w:rsidP="26AB3852">
      <w:pPr>
        <w:pStyle w:val="Punktlistanumrerad"/>
      </w:pPr>
      <w:r>
        <w:t>Vårdinsatser utan patientens samtycke, SÄS</w:t>
      </w:r>
      <w:r>
        <w:br/>
        <w:t>Sjukhusövergripande rutin, SÄS</w:t>
      </w:r>
      <w:r>
        <w:br/>
      </w:r>
      <w:hyperlink r:id="rId24">
        <w:r w:rsidRPr="361FFE43">
          <w:rPr>
            <w:rStyle w:val="Hyperlnk"/>
          </w:rPr>
          <w:t>https://</w:t>
        </w:r>
        <w:r w:rsidR="44EB83BA" w:rsidRPr="361FFE43">
          <w:rPr>
            <w:rStyle w:val="Hyperlnk"/>
          </w:rPr>
          <w:t>insidan.vgregion.se/forvaltningar/sodra-alvsborgs-sjukhus/styrdokument/</w:t>
        </w:r>
      </w:hyperlink>
    </w:p>
    <w:p w14:paraId="0162B6E3" w14:textId="77777777" w:rsidR="00AE5330" w:rsidRPr="00906149" w:rsidRDefault="00AE5330" w:rsidP="26AB3852">
      <w:pPr>
        <w:pStyle w:val="Punktlistanumrerad"/>
      </w:pPr>
      <w:proofErr w:type="spellStart"/>
      <w:r w:rsidRPr="26AB3852">
        <w:t>Patientlag</w:t>
      </w:r>
      <w:proofErr w:type="spellEnd"/>
      <w:r w:rsidRPr="26AB3852">
        <w:t xml:space="preserve"> (2014:821). Svensk författningssamling.</w:t>
      </w:r>
      <w:r>
        <w:br/>
      </w:r>
      <w:hyperlink r:id="rId25">
        <w:r w:rsidRPr="26AB3852">
          <w:rPr>
            <w:rStyle w:val="Hyperlnk"/>
          </w:rPr>
          <w:t>www.riksdagen.se</w:t>
        </w:r>
      </w:hyperlink>
      <w:r w:rsidRPr="26AB3852">
        <w:t xml:space="preserve"> under rubrik </w:t>
      </w:r>
      <w:r w:rsidRPr="26AB3852">
        <w:rPr>
          <w:i/>
          <w:iCs/>
        </w:rPr>
        <w:t>Dokument &amp; Lagar</w:t>
      </w:r>
    </w:p>
    <w:p w14:paraId="430EDF75" w14:textId="70D45B3D" w:rsidR="00AE5330" w:rsidRPr="00906149" w:rsidRDefault="00441DC2" w:rsidP="00A77F26">
      <w:pPr>
        <w:pStyle w:val="Punktlistanumrerad"/>
      </w:pPr>
      <w:r>
        <w:t>Varningar och begränsning av vårdinsats i Melior</w:t>
      </w:r>
      <w:r>
        <w:t>. Sjukhusövergripande rutin, SÄS</w:t>
      </w:r>
      <w:r>
        <w:br/>
      </w:r>
      <w:hyperlink r:id="rId26" w:history="1">
        <w:r w:rsidR="005B5AD9" w:rsidRPr="005B5AD9">
          <w:rPr>
            <w:rStyle w:val="Hyperlnk"/>
          </w:rPr>
          <w:t>https://insidan.vgregion.se/forvaltningar/sodra-alvsborgs-sjukhus/styrdokument</w:t>
        </w:r>
      </w:hyperlink>
    </w:p>
    <w:p w14:paraId="2C9F5FCD" w14:textId="330884AF" w:rsidR="00AE5330" w:rsidRPr="00906149" w:rsidRDefault="00AE5330" w:rsidP="26AB3852">
      <w:pPr>
        <w:pStyle w:val="Punktlistanumrerad"/>
      </w:pPr>
      <w:r>
        <w:lastRenderedPageBreak/>
        <w:t>Lag (1990:52) med särskilda bestämmelser om vård av unga, LVU</w:t>
      </w:r>
      <w:r>
        <w:br/>
      </w:r>
      <w:hyperlink r:id="rId27">
        <w:r w:rsidRPr="26AB3852">
          <w:rPr>
            <w:rStyle w:val="Hyperlnk"/>
          </w:rPr>
          <w:t>www.riksdagen.se</w:t>
        </w:r>
      </w:hyperlink>
      <w:r w:rsidR="005A3529" w:rsidRPr="005A3529">
        <w:rPr>
          <w:rStyle w:val="Hyperlnk"/>
          <w:u w:val="none"/>
        </w:rPr>
        <w:t xml:space="preserve"> </w:t>
      </w:r>
      <w:r w:rsidR="005A3529">
        <w:t xml:space="preserve">under rubrik </w:t>
      </w:r>
      <w:r w:rsidR="005A3529" w:rsidRPr="26AB3852">
        <w:rPr>
          <w:i/>
          <w:iCs/>
        </w:rPr>
        <w:t>Dokument &amp; Lagar</w:t>
      </w:r>
    </w:p>
    <w:p w14:paraId="792B07AC" w14:textId="4FF8C402" w:rsidR="00AE5330" w:rsidRPr="00906149" w:rsidRDefault="00AE5330" w:rsidP="26AB3852">
      <w:pPr>
        <w:pStyle w:val="Punktlistanumrerad"/>
        <w:rPr>
          <w:rStyle w:val="Hyperlnk"/>
          <w:color w:val="auto"/>
          <w:u w:val="none"/>
        </w:rPr>
      </w:pPr>
      <w:r>
        <w:t xml:space="preserve">Socialtjänstlagen (2001:453) </w:t>
      </w:r>
      <w:r>
        <w:br/>
      </w:r>
      <w:hyperlink r:id="rId28">
        <w:r w:rsidRPr="26AB3852">
          <w:rPr>
            <w:rStyle w:val="Hyperlnk"/>
          </w:rPr>
          <w:t>www.riksdagen.se</w:t>
        </w:r>
      </w:hyperlink>
      <w:r w:rsidR="002C30FA" w:rsidRPr="002C30FA">
        <w:t xml:space="preserve"> </w:t>
      </w:r>
      <w:r w:rsidR="002C30FA">
        <w:t xml:space="preserve">under rubrik </w:t>
      </w:r>
      <w:r w:rsidR="005A3529" w:rsidRPr="26AB3852">
        <w:rPr>
          <w:i/>
          <w:iCs/>
        </w:rPr>
        <w:t>Dokument &amp; Lagar</w:t>
      </w:r>
    </w:p>
    <w:p w14:paraId="02D24747" w14:textId="44F06985" w:rsidR="00AE5330" w:rsidRPr="00906149" w:rsidRDefault="00AE5330" w:rsidP="26AB3852">
      <w:pPr>
        <w:pStyle w:val="Punktlistanumrerad"/>
        <w:rPr>
          <w:rStyle w:val="Hyperlnk"/>
          <w:color w:val="auto"/>
        </w:rPr>
      </w:pPr>
      <w:r>
        <w:t>Anmälan om oro för barn och unga. Sjukhusövergripande rutin, SÄS</w:t>
      </w:r>
      <w:r>
        <w:br/>
      </w:r>
      <w:hyperlink r:id="rId29">
        <w:r w:rsidRPr="361FFE43">
          <w:rPr>
            <w:rStyle w:val="Hyperlnk"/>
          </w:rPr>
          <w:t>https://</w:t>
        </w:r>
        <w:r w:rsidR="3D259173" w:rsidRPr="361FFE43">
          <w:rPr>
            <w:rStyle w:val="Hyperlnk"/>
          </w:rPr>
          <w:t>insidan.vgregion.se/forvaltningar/sodra-alvsborgs-sjukhus/styrdokument</w:t>
        </w:r>
      </w:hyperlink>
    </w:p>
    <w:p w14:paraId="58051096" w14:textId="77777777" w:rsidR="00AE5330" w:rsidRPr="00906149" w:rsidRDefault="00AE5330" w:rsidP="26AB3852">
      <w:pPr>
        <w:pStyle w:val="Punktlistanumrerad"/>
        <w:rPr>
          <w:rStyle w:val="Hyperlnk"/>
          <w:color w:val="auto"/>
        </w:rPr>
      </w:pPr>
      <w:r>
        <w:t>Vårdhandboken.se, avsnitt Transfusion av blodkomponenter</w:t>
      </w:r>
      <w:r>
        <w:br/>
      </w:r>
      <w:hyperlink r:id="rId30">
        <w:r w:rsidRPr="26AB3852">
          <w:rPr>
            <w:rStyle w:val="Hyperlnk"/>
          </w:rPr>
          <w:t>www.vardhandboken.se</w:t>
        </w:r>
      </w:hyperlink>
      <w:bookmarkEnd w:id="0"/>
      <w:bookmarkEnd w:id="21"/>
      <w:bookmarkEnd w:id="22"/>
      <w:bookmarkEnd w:id="23"/>
    </w:p>
    <w:p w14:paraId="555A2143" w14:textId="77777777" w:rsidR="00AE5330" w:rsidRPr="00906149" w:rsidRDefault="00AE5330" w:rsidP="00AE5330">
      <w:pPr>
        <w:spacing w:after="0" w:line="240" w:lineRule="auto"/>
        <w:ind w:left="0" w:right="0"/>
        <w:rPr>
          <w:rFonts w:asciiTheme="majorHAnsi" w:eastAsiaTheme="majorEastAsia" w:hAnsiTheme="majorHAnsi" w:cstheme="majorBidi"/>
          <w:bCs/>
          <w:color w:val="000000" w:themeColor="text1"/>
          <w:sz w:val="40"/>
          <w:szCs w:val="26"/>
        </w:rPr>
      </w:pPr>
      <w:r w:rsidRPr="00906149">
        <w:br w:type="page"/>
      </w:r>
    </w:p>
    <w:p w14:paraId="7DBADEDA" w14:textId="77777777" w:rsidR="00AE5330" w:rsidRPr="00906149" w:rsidRDefault="00AE5330" w:rsidP="00AE5330">
      <w:pPr>
        <w:pStyle w:val="Rubrik2"/>
      </w:pPr>
      <w:bookmarkStart w:id="24" w:name="BilagaFullmakt"/>
      <w:bookmarkStart w:id="25" w:name="_Toc176338291"/>
      <w:bookmarkEnd w:id="24"/>
      <w:r>
        <w:lastRenderedPageBreak/>
        <w:t>Bilaga, Exempel på patientfullmakt</w:t>
      </w:r>
      <w:bookmarkEnd w:id="25"/>
    </w:p>
    <w:p w14:paraId="05045765" w14:textId="77777777" w:rsidR="00AE5330" w:rsidRDefault="00AE5330" w:rsidP="00AE5330">
      <w:r>
        <w:t>Patient kan ha med ifylld fullmakt som avser sjukvårdsfrågor enligt nedanstående exempel hämtat från Jehovas vittnen:</w:t>
      </w:r>
    </w:p>
    <w:tbl>
      <w:tblPr>
        <w:tblStyle w:val="Tabellrutnt"/>
        <w:tblW w:w="0" w:type="auto"/>
        <w:tblInd w:w="936" w:type="dxa"/>
        <w:tblBorders>
          <w:bottom w:val="wave" w:sz="6" w:space="0" w:color="auto"/>
          <w:insideH w:val="none" w:sz="0" w:space="0" w:color="auto"/>
          <w:insideV w:val="none" w:sz="0" w:space="0" w:color="auto"/>
        </w:tblBorders>
        <w:tblLayout w:type="fixed"/>
        <w:tblLook w:val="04A0" w:firstRow="1" w:lastRow="0" w:firstColumn="1" w:lastColumn="0" w:noHBand="0" w:noVBand="1"/>
      </w:tblPr>
      <w:tblGrid>
        <w:gridCol w:w="7367"/>
      </w:tblGrid>
      <w:tr w:rsidR="00AE5330" w14:paraId="256EBB16" w14:textId="77777777" w:rsidTr="003E45A1">
        <w:tc>
          <w:tcPr>
            <w:tcW w:w="7367" w:type="dxa"/>
          </w:tcPr>
          <w:p w14:paraId="12997D75" w14:textId="77777777" w:rsidR="00AE5330" w:rsidRDefault="00AE5330" w:rsidP="003E45A1">
            <w:pPr>
              <w:ind w:left="0"/>
            </w:pPr>
            <w:r>
              <w:rPr>
                <w:noProof/>
              </w:rPr>
              <w:drawing>
                <wp:inline distT="0" distB="0" distL="0" distR="0" wp14:anchorId="7AEA6AB1" wp14:editId="0E0BF852">
                  <wp:extent cx="4540885" cy="5633720"/>
                  <wp:effectExtent l="0" t="0" r="0" b="508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40885" cy="5633720"/>
                          </a:xfrm>
                          <a:prstGeom prst="rect">
                            <a:avLst/>
                          </a:prstGeom>
                        </pic:spPr>
                      </pic:pic>
                    </a:graphicData>
                  </a:graphic>
                </wp:inline>
              </w:drawing>
            </w:r>
          </w:p>
        </w:tc>
      </w:tr>
    </w:tbl>
    <w:p w14:paraId="240BFCB5" w14:textId="77777777" w:rsidR="00AE5330" w:rsidRPr="00927A79" w:rsidRDefault="00AE5330" w:rsidP="00AE5330">
      <w:pPr>
        <w:ind w:firstLine="1"/>
        <w:rPr>
          <w:color w:val="FFFFFF" w:themeColor="background1"/>
          <w14:textFill>
            <w14:noFill/>
          </w14:textFill>
        </w:rPr>
      </w:pPr>
    </w:p>
    <w:sectPr w:rsidR="00AE5330" w:rsidRPr="00927A79" w:rsidSect="001C2B40">
      <w:headerReference w:type="default" r:id="rId32"/>
      <w:footerReference w:type="even" r:id="rId33"/>
      <w:footerReference w:type="default" r:id="rId34"/>
      <w:headerReference w:type="first" r:id="rId35"/>
      <w:footerReference w:type="first" r:id="rId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ED7F2" w14:textId="77777777" w:rsidR="00165EC9" w:rsidRDefault="00165EC9">
      <w:r>
        <w:separator/>
      </w:r>
    </w:p>
  </w:endnote>
  <w:endnote w:type="continuationSeparator" w:id="0">
    <w:p w14:paraId="190185F0" w14:textId="77777777" w:rsidR="00165EC9" w:rsidRDefault="00165EC9">
      <w:r>
        <w:continuationSeparator/>
      </w:r>
    </w:p>
  </w:endnote>
  <w:endnote w:type="continuationNotice" w:id="1">
    <w:p w14:paraId="35F32692" w14:textId="77777777" w:rsidR="00165EC9" w:rsidRDefault="00165E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54402" w14:textId="77777777" w:rsidR="00165EC9" w:rsidRDefault="00165EC9"/>
  </w:footnote>
  <w:footnote w:type="continuationSeparator" w:id="0">
    <w:p w14:paraId="5ED4663C" w14:textId="77777777" w:rsidR="00165EC9" w:rsidRDefault="00165EC9">
      <w:r>
        <w:continuationSeparator/>
      </w:r>
    </w:p>
  </w:footnote>
  <w:footnote w:type="continuationNotice" w:id="1">
    <w:p w14:paraId="112CAC11" w14:textId="77777777" w:rsidR="00165EC9" w:rsidRDefault="00165E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w16du="http://schemas.microsoft.com/office/word/2023/wordml/word16du">
          <w:pict w14:anchorId="7C46A7A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xmlns:w16du="http://schemas.microsoft.com/office/word/2023/wordml/word16du">
          <w:pict w14:anchorId="286B41D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E54EA08"/>
    <w:lvl w:ilvl="0">
      <w:start w:val="1"/>
      <w:numFmt w:val="decimal"/>
      <w:pStyle w:val="Punktlistanumrerad"/>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CA3195"/>
    <w:multiLevelType w:val="multilevel"/>
    <w:tmpl w:val="E102C90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2F3F10"/>
    <w:multiLevelType w:val="hybridMultilevel"/>
    <w:tmpl w:val="1DD4C95E"/>
    <w:lvl w:ilvl="0" w:tplc="507E613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A6E475C"/>
    <w:multiLevelType w:val="hybridMultilevel"/>
    <w:tmpl w:val="CBFE7E54"/>
    <w:lvl w:ilvl="0" w:tplc="F9E426E0">
      <w:start w:val="1"/>
      <w:numFmt w:val="decimal"/>
      <w:lvlText w:val="%1."/>
      <w:lvlJc w:val="left"/>
      <w:pPr>
        <w:ind w:left="720" w:hanging="360"/>
      </w:pPr>
    </w:lvl>
    <w:lvl w:ilvl="1" w:tplc="C44292F6">
      <w:start w:val="1"/>
      <w:numFmt w:val="lowerLetter"/>
      <w:lvlText w:val="%2."/>
      <w:lvlJc w:val="left"/>
      <w:pPr>
        <w:ind w:left="1440" w:hanging="360"/>
      </w:pPr>
    </w:lvl>
    <w:lvl w:ilvl="2" w:tplc="81729300">
      <w:start w:val="1"/>
      <w:numFmt w:val="lowerRoman"/>
      <w:lvlText w:val="%3."/>
      <w:lvlJc w:val="right"/>
      <w:pPr>
        <w:ind w:left="2160" w:hanging="180"/>
      </w:pPr>
    </w:lvl>
    <w:lvl w:ilvl="3" w:tplc="E28CC66C">
      <w:start w:val="1"/>
      <w:numFmt w:val="decimal"/>
      <w:lvlText w:val="%4."/>
      <w:lvlJc w:val="left"/>
      <w:pPr>
        <w:ind w:left="2880" w:hanging="360"/>
      </w:pPr>
    </w:lvl>
    <w:lvl w:ilvl="4" w:tplc="C39478F6">
      <w:start w:val="1"/>
      <w:numFmt w:val="lowerLetter"/>
      <w:lvlText w:val="%5."/>
      <w:lvlJc w:val="left"/>
      <w:pPr>
        <w:ind w:left="3600" w:hanging="360"/>
      </w:pPr>
    </w:lvl>
    <w:lvl w:ilvl="5" w:tplc="125EE688">
      <w:start w:val="1"/>
      <w:numFmt w:val="lowerRoman"/>
      <w:lvlText w:val="%6."/>
      <w:lvlJc w:val="right"/>
      <w:pPr>
        <w:ind w:left="4320" w:hanging="180"/>
      </w:pPr>
    </w:lvl>
    <w:lvl w:ilvl="6" w:tplc="91D89426">
      <w:start w:val="1"/>
      <w:numFmt w:val="decimal"/>
      <w:lvlText w:val="%7."/>
      <w:lvlJc w:val="left"/>
      <w:pPr>
        <w:ind w:left="5040" w:hanging="360"/>
      </w:pPr>
    </w:lvl>
    <w:lvl w:ilvl="7" w:tplc="15A60154">
      <w:start w:val="1"/>
      <w:numFmt w:val="lowerLetter"/>
      <w:lvlText w:val="%8."/>
      <w:lvlJc w:val="left"/>
      <w:pPr>
        <w:ind w:left="5760" w:hanging="360"/>
      </w:pPr>
    </w:lvl>
    <w:lvl w:ilvl="8" w:tplc="617C6726">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0943726">
    <w:abstractNumId w:val="18"/>
  </w:num>
  <w:num w:numId="2" w16cid:durableId="1748383402">
    <w:abstractNumId w:val="1"/>
  </w:num>
  <w:num w:numId="3" w16cid:durableId="841814781">
    <w:abstractNumId w:val="5"/>
  </w:num>
  <w:num w:numId="4" w16cid:durableId="7460736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9059530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1288980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04543413">
    <w:abstractNumId w:val="14"/>
  </w:num>
  <w:num w:numId="8" w16cid:durableId="10928929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7B1"/>
    <w:rsid w:val="0005691C"/>
    <w:rsid w:val="00056ECB"/>
    <w:rsid w:val="00056ED5"/>
    <w:rsid w:val="000655CC"/>
    <w:rsid w:val="000700AE"/>
    <w:rsid w:val="000750DD"/>
    <w:rsid w:val="00075DED"/>
    <w:rsid w:val="00084024"/>
    <w:rsid w:val="0009062C"/>
    <w:rsid w:val="00095368"/>
    <w:rsid w:val="000954C4"/>
    <w:rsid w:val="000A059B"/>
    <w:rsid w:val="000A4C35"/>
    <w:rsid w:val="000A611A"/>
    <w:rsid w:val="000B12D9"/>
    <w:rsid w:val="000B4536"/>
    <w:rsid w:val="000B5723"/>
    <w:rsid w:val="000B7715"/>
    <w:rsid w:val="000D588D"/>
    <w:rsid w:val="000E463B"/>
    <w:rsid w:val="000E5A7E"/>
    <w:rsid w:val="000F43A3"/>
    <w:rsid w:val="000F7681"/>
    <w:rsid w:val="00103031"/>
    <w:rsid w:val="001044FE"/>
    <w:rsid w:val="001139D4"/>
    <w:rsid w:val="001257E1"/>
    <w:rsid w:val="00131B08"/>
    <w:rsid w:val="00132A59"/>
    <w:rsid w:val="00133337"/>
    <w:rsid w:val="00133A0F"/>
    <w:rsid w:val="0013580F"/>
    <w:rsid w:val="00137B6D"/>
    <w:rsid w:val="0014070B"/>
    <w:rsid w:val="001422C1"/>
    <w:rsid w:val="001522AE"/>
    <w:rsid w:val="00157D5B"/>
    <w:rsid w:val="00161FE6"/>
    <w:rsid w:val="001647EA"/>
    <w:rsid w:val="00164C3D"/>
    <w:rsid w:val="00165EC9"/>
    <w:rsid w:val="00166D3A"/>
    <w:rsid w:val="001722E5"/>
    <w:rsid w:val="00181FDC"/>
    <w:rsid w:val="001860B9"/>
    <w:rsid w:val="00186F2B"/>
    <w:rsid w:val="001874D6"/>
    <w:rsid w:val="0019632A"/>
    <w:rsid w:val="001A4E7C"/>
    <w:rsid w:val="001A7994"/>
    <w:rsid w:val="001B6083"/>
    <w:rsid w:val="001B762C"/>
    <w:rsid w:val="001C2B40"/>
    <w:rsid w:val="001C4D0A"/>
    <w:rsid w:val="001C5FEF"/>
    <w:rsid w:val="001C64D6"/>
    <w:rsid w:val="001D547C"/>
    <w:rsid w:val="00204608"/>
    <w:rsid w:val="00211487"/>
    <w:rsid w:val="00211D91"/>
    <w:rsid w:val="002169D6"/>
    <w:rsid w:val="00217DEC"/>
    <w:rsid w:val="00235B57"/>
    <w:rsid w:val="00240699"/>
    <w:rsid w:val="00250F24"/>
    <w:rsid w:val="002523C5"/>
    <w:rsid w:val="002533B8"/>
    <w:rsid w:val="0025380B"/>
    <w:rsid w:val="0025703A"/>
    <w:rsid w:val="00262504"/>
    <w:rsid w:val="00262F3D"/>
    <w:rsid w:val="00263281"/>
    <w:rsid w:val="002649ED"/>
    <w:rsid w:val="002651D6"/>
    <w:rsid w:val="0026551F"/>
    <w:rsid w:val="00280A85"/>
    <w:rsid w:val="00284119"/>
    <w:rsid w:val="00290B5C"/>
    <w:rsid w:val="00294791"/>
    <w:rsid w:val="002B0B30"/>
    <w:rsid w:val="002B0C78"/>
    <w:rsid w:val="002C0C02"/>
    <w:rsid w:val="002C1277"/>
    <w:rsid w:val="002C30FA"/>
    <w:rsid w:val="002C60AD"/>
    <w:rsid w:val="002C7F80"/>
    <w:rsid w:val="002D0E0E"/>
    <w:rsid w:val="002D4D22"/>
    <w:rsid w:val="002D6023"/>
    <w:rsid w:val="002E263F"/>
    <w:rsid w:val="002E6F81"/>
    <w:rsid w:val="002F08BA"/>
    <w:rsid w:val="002F1CE7"/>
    <w:rsid w:val="002F2CFF"/>
    <w:rsid w:val="002F568B"/>
    <w:rsid w:val="002F7818"/>
    <w:rsid w:val="003066D0"/>
    <w:rsid w:val="003067A1"/>
    <w:rsid w:val="00311401"/>
    <w:rsid w:val="003203D7"/>
    <w:rsid w:val="00320F86"/>
    <w:rsid w:val="00324171"/>
    <w:rsid w:val="00324ECD"/>
    <w:rsid w:val="00326C24"/>
    <w:rsid w:val="00333A85"/>
    <w:rsid w:val="00337F99"/>
    <w:rsid w:val="00342FCC"/>
    <w:rsid w:val="0034307B"/>
    <w:rsid w:val="00343BBD"/>
    <w:rsid w:val="00345EB1"/>
    <w:rsid w:val="00350CC4"/>
    <w:rsid w:val="00360E0D"/>
    <w:rsid w:val="0036357D"/>
    <w:rsid w:val="00363B23"/>
    <w:rsid w:val="00365937"/>
    <w:rsid w:val="0036594C"/>
    <w:rsid w:val="003664C2"/>
    <w:rsid w:val="003678D0"/>
    <w:rsid w:val="00367D19"/>
    <w:rsid w:val="00371BED"/>
    <w:rsid w:val="00380028"/>
    <w:rsid w:val="00384019"/>
    <w:rsid w:val="003854F1"/>
    <w:rsid w:val="0039118E"/>
    <w:rsid w:val="00391C68"/>
    <w:rsid w:val="00397F54"/>
    <w:rsid w:val="003A0D43"/>
    <w:rsid w:val="003A7608"/>
    <w:rsid w:val="003B2A4B"/>
    <w:rsid w:val="003B4DEE"/>
    <w:rsid w:val="003D099E"/>
    <w:rsid w:val="003D1FB8"/>
    <w:rsid w:val="003D21A2"/>
    <w:rsid w:val="003D29D2"/>
    <w:rsid w:val="003D426D"/>
    <w:rsid w:val="003E0705"/>
    <w:rsid w:val="003E2FF7"/>
    <w:rsid w:val="003E45A1"/>
    <w:rsid w:val="003F1013"/>
    <w:rsid w:val="003F1ACF"/>
    <w:rsid w:val="00402BB6"/>
    <w:rsid w:val="004030A5"/>
    <w:rsid w:val="00404948"/>
    <w:rsid w:val="00406BEA"/>
    <w:rsid w:val="00413A60"/>
    <w:rsid w:val="004230F7"/>
    <w:rsid w:val="00424F8F"/>
    <w:rsid w:val="0043167E"/>
    <w:rsid w:val="0043359D"/>
    <w:rsid w:val="0043409A"/>
    <w:rsid w:val="00441DC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54C"/>
    <w:rsid w:val="004B3A57"/>
    <w:rsid w:val="004C2559"/>
    <w:rsid w:val="004D7BA3"/>
    <w:rsid w:val="004F4518"/>
    <w:rsid w:val="004F4C62"/>
    <w:rsid w:val="00501433"/>
    <w:rsid w:val="00511CC4"/>
    <w:rsid w:val="0051407D"/>
    <w:rsid w:val="00531E60"/>
    <w:rsid w:val="00536A5A"/>
    <w:rsid w:val="00537200"/>
    <w:rsid w:val="00541D07"/>
    <w:rsid w:val="00544BAB"/>
    <w:rsid w:val="00545F31"/>
    <w:rsid w:val="005546AB"/>
    <w:rsid w:val="00557744"/>
    <w:rsid w:val="005578FA"/>
    <w:rsid w:val="00560160"/>
    <w:rsid w:val="00562C83"/>
    <w:rsid w:val="00565129"/>
    <w:rsid w:val="00565CD0"/>
    <w:rsid w:val="00567820"/>
    <w:rsid w:val="005770AD"/>
    <w:rsid w:val="00581414"/>
    <w:rsid w:val="00582490"/>
    <w:rsid w:val="005826FA"/>
    <w:rsid w:val="00597E28"/>
    <w:rsid w:val="005A2E3B"/>
    <w:rsid w:val="005A3529"/>
    <w:rsid w:val="005A54ED"/>
    <w:rsid w:val="005A5D5B"/>
    <w:rsid w:val="005A6081"/>
    <w:rsid w:val="005A627D"/>
    <w:rsid w:val="005B5AD9"/>
    <w:rsid w:val="005C0045"/>
    <w:rsid w:val="005C084E"/>
    <w:rsid w:val="005C357F"/>
    <w:rsid w:val="005C4606"/>
    <w:rsid w:val="005D0B0C"/>
    <w:rsid w:val="005E02B3"/>
    <w:rsid w:val="005E1E24"/>
    <w:rsid w:val="005F7E95"/>
    <w:rsid w:val="0060596B"/>
    <w:rsid w:val="00606D97"/>
    <w:rsid w:val="00614E64"/>
    <w:rsid w:val="00617710"/>
    <w:rsid w:val="00617EE6"/>
    <w:rsid w:val="0062184C"/>
    <w:rsid w:val="00623724"/>
    <w:rsid w:val="00627BEA"/>
    <w:rsid w:val="006319DB"/>
    <w:rsid w:val="0065595B"/>
    <w:rsid w:val="00660269"/>
    <w:rsid w:val="00665F89"/>
    <w:rsid w:val="0066794D"/>
    <w:rsid w:val="00673C92"/>
    <w:rsid w:val="006753EC"/>
    <w:rsid w:val="00682842"/>
    <w:rsid w:val="006A1255"/>
    <w:rsid w:val="006A2789"/>
    <w:rsid w:val="006A4978"/>
    <w:rsid w:val="006A7261"/>
    <w:rsid w:val="006B0D29"/>
    <w:rsid w:val="006B1819"/>
    <w:rsid w:val="006B2023"/>
    <w:rsid w:val="006B5DE7"/>
    <w:rsid w:val="006C5048"/>
    <w:rsid w:val="006C52FD"/>
    <w:rsid w:val="006C6A4B"/>
    <w:rsid w:val="006C779F"/>
    <w:rsid w:val="006D01F5"/>
    <w:rsid w:val="006D0CFB"/>
    <w:rsid w:val="006D30C0"/>
    <w:rsid w:val="006D7535"/>
    <w:rsid w:val="006E450B"/>
    <w:rsid w:val="006F0D7E"/>
    <w:rsid w:val="006F1239"/>
    <w:rsid w:val="00710B77"/>
    <w:rsid w:val="0072075B"/>
    <w:rsid w:val="007221C2"/>
    <w:rsid w:val="00725816"/>
    <w:rsid w:val="00730955"/>
    <w:rsid w:val="00733A9C"/>
    <w:rsid w:val="00736574"/>
    <w:rsid w:val="007367E0"/>
    <w:rsid w:val="00737215"/>
    <w:rsid w:val="00750405"/>
    <w:rsid w:val="00754905"/>
    <w:rsid w:val="00760038"/>
    <w:rsid w:val="007628CA"/>
    <w:rsid w:val="00762EE0"/>
    <w:rsid w:val="00765C41"/>
    <w:rsid w:val="007710B1"/>
    <w:rsid w:val="00771100"/>
    <w:rsid w:val="007759DD"/>
    <w:rsid w:val="0078609F"/>
    <w:rsid w:val="00786132"/>
    <w:rsid w:val="007917BA"/>
    <w:rsid w:val="007A5C6F"/>
    <w:rsid w:val="007B332C"/>
    <w:rsid w:val="007C53CF"/>
    <w:rsid w:val="007D4241"/>
    <w:rsid w:val="007D4317"/>
    <w:rsid w:val="007D4EA3"/>
    <w:rsid w:val="007F1CFF"/>
    <w:rsid w:val="007F5DD5"/>
    <w:rsid w:val="00821A1B"/>
    <w:rsid w:val="008262E9"/>
    <w:rsid w:val="00827E69"/>
    <w:rsid w:val="00835C4D"/>
    <w:rsid w:val="00836F83"/>
    <w:rsid w:val="00843F48"/>
    <w:rsid w:val="00851423"/>
    <w:rsid w:val="00857848"/>
    <w:rsid w:val="008654B6"/>
    <w:rsid w:val="0087139C"/>
    <w:rsid w:val="00871526"/>
    <w:rsid w:val="00880E83"/>
    <w:rsid w:val="00892F28"/>
    <w:rsid w:val="00893307"/>
    <w:rsid w:val="0089641D"/>
    <w:rsid w:val="008A0C5F"/>
    <w:rsid w:val="008A3DEA"/>
    <w:rsid w:val="008A4EB9"/>
    <w:rsid w:val="008A74C0"/>
    <w:rsid w:val="008B1694"/>
    <w:rsid w:val="008B30DF"/>
    <w:rsid w:val="008C4B27"/>
    <w:rsid w:val="008C7F2A"/>
    <w:rsid w:val="008E2EAD"/>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2DB"/>
    <w:rsid w:val="009533B4"/>
    <w:rsid w:val="00971D93"/>
    <w:rsid w:val="00981319"/>
    <w:rsid w:val="0099249F"/>
    <w:rsid w:val="009943FC"/>
    <w:rsid w:val="009B1F6B"/>
    <w:rsid w:val="009B6F56"/>
    <w:rsid w:val="009C0D12"/>
    <w:rsid w:val="009C192E"/>
    <w:rsid w:val="009D3CD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D0B"/>
    <w:rsid w:val="00A514B7"/>
    <w:rsid w:val="00A54A0B"/>
    <w:rsid w:val="00A65A31"/>
    <w:rsid w:val="00A65FD4"/>
    <w:rsid w:val="00A66DD1"/>
    <w:rsid w:val="00A81198"/>
    <w:rsid w:val="00A81E48"/>
    <w:rsid w:val="00A82035"/>
    <w:rsid w:val="00A87941"/>
    <w:rsid w:val="00A908DC"/>
    <w:rsid w:val="00A90D77"/>
    <w:rsid w:val="00A92E07"/>
    <w:rsid w:val="00AA0B3A"/>
    <w:rsid w:val="00AA3733"/>
    <w:rsid w:val="00AA6EB4"/>
    <w:rsid w:val="00AA767D"/>
    <w:rsid w:val="00AB0CC9"/>
    <w:rsid w:val="00AC3FF6"/>
    <w:rsid w:val="00AD73EC"/>
    <w:rsid w:val="00AE5330"/>
    <w:rsid w:val="00AE5BC7"/>
    <w:rsid w:val="00AF5AAF"/>
    <w:rsid w:val="00B01976"/>
    <w:rsid w:val="00B046D8"/>
    <w:rsid w:val="00B13F4C"/>
    <w:rsid w:val="00B16219"/>
    <w:rsid w:val="00B16C59"/>
    <w:rsid w:val="00B22589"/>
    <w:rsid w:val="00B24FF4"/>
    <w:rsid w:val="00B33FDD"/>
    <w:rsid w:val="00B359CC"/>
    <w:rsid w:val="00B36107"/>
    <w:rsid w:val="00B37BAC"/>
    <w:rsid w:val="00B41789"/>
    <w:rsid w:val="00B46C03"/>
    <w:rsid w:val="00B60C6C"/>
    <w:rsid w:val="00B619A9"/>
    <w:rsid w:val="00B650D3"/>
    <w:rsid w:val="00B65A9D"/>
    <w:rsid w:val="00B66D60"/>
    <w:rsid w:val="00B741C8"/>
    <w:rsid w:val="00B75EDE"/>
    <w:rsid w:val="00B77D88"/>
    <w:rsid w:val="00B77FAF"/>
    <w:rsid w:val="00B84336"/>
    <w:rsid w:val="00B851B9"/>
    <w:rsid w:val="00B86453"/>
    <w:rsid w:val="00B90054"/>
    <w:rsid w:val="00B92C14"/>
    <w:rsid w:val="00BA0066"/>
    <w:rsid w:val="00BA728C"/>
    <w:rsid w:val="00BB69DB"/>
    <w:rsid w:val="00BC0AF7"/>
    <w:rsid w:val="00BC322E"/>
    <w:rsid w:val="00BC44CD"/>
    <w:rsid w:val="00BC48A6"/>
    <w:rsid w:val="00BE31BA"/>
    <w:rsid w:val="00BE7978"/>
    <w:rsid w:val="00BF0BC7"/>
    <w:rsid w:val="00BF7BAF"/>
    <w:rsid w:val="00C00D23"/>
    <w:rsid w:val="00C07DDB"/>
    <w:rsid w:val="00C11895"/>
    <w:rsid w:val="00C33107"/>
    <w:rsid w:val="00C33FA8"/>
    <w:rsid w:val="00C4115D"/>
    <w:rsid w:val="00C43BDD"/>
    <w:rsid w:val="00C44913"/>
    <w:rsid w:val="00C4766A"/>
    <w:rsid w:val="00C47778"/>
    <w:rsid w:val="00C5011E"/>
    <w:rsid w:val="00C50EE5"/>
    <w:rsid w:val="00C5240A"/>
    <w:rsid w:val="00C5398F"/>
    <w:rsid w:val="00C556F5"/>
    <w:rsid w:val="00C61BF8"/>
    <w:rsid w:val="00C70E19"/>
    <w:rsid w:val="00C72574"/>
    <w:rsid w:val="00C7430C"/>
    <w:rsid w:val="00C76CB5"/>
    <w:rsid w:val="00C85DA1"/>
    <w:rsid w:val="00C9071C"/>
    <w:rsid w:val="00C908FF"/>
    <w:rsid w:val="00C97BD3"/>
    <w:rsid w:val="00CA39EF"/>
    <w:rsid w:val="00CA521F"/>
    <w:rsid w:val="00CB0493"/>
    <w:rsid w:val="00CB17FF"/>
    <w:rsid w:val="00CB1ED7"/>
    <w:rsid w:val="00CC167C"/>
    <w:rsid w:val="00CC52D9"/>
    <w:rsid w:val="00CD6647"/>
    <w:rsid w:val="00CE1640"/>
    <w:rsid w:val="00CE4B73"/>
    <w:rsid w:val="00CF70BB"/>
    <w:rsid w:val="00CF7B41"/>
    <w:rsid w:val="00D074DB"/>
    <w:rsid w:val="00D139CF"/>
    <w:rsid w:val="00D22DED"/>
    <w:rsid w:val="00D37E7F"/>
    <w:rsid w:val="00D42A3A"/>
    <w:rsid w:val="00D47AD7"/>
    <w:rsid w:val="00D51529"/>
    <w:rsid w:val="00D63E4C"/>
    <w:rsid w:val="00D85218"/>
    <w:rsid w:val="00D915B1"/>
    <w:rsid w:val="00D93FAB"/>
    <w:rsid w:val="00DA299D"/>
    <w:rsid w:val="00DA65C4"/>
    <w:rsid w:val="00DC0DFF"/>
    <w:rsid w:val="00DD2BE0"/>
    <w:rsid w:val="00DD459B"/>
    <w:rsid w:val="00DD76DB"/>
    <w:rsid w:val="00DE4447"/>
    <w:rsid w:val="00DE4FE1"/>
    <w:rsid w:val="00DE5DA2"/>
    <w:rsid w:val="00DF0033"/>
    <w:rsid w:val="00E026BF"/>
    <w:rsid w:val="00E0344A"/>
    <w:rsid w:val="00E07B1B"/>
    <w:rsid w:val="00E11853"/>
    <w:rsid w:val="00E12DB9"/>
    <w:rsid w:val="00E17174"/>
    <w:rsid w:val="00E36F80"/>
    <w:rsid w:val="00E52A86"/>
    <w:rsid w:val="00E54B47"/>
    <w:rsid w:val="00E553BF"/>
    <w:rsid w:val="00E55D93"/>
    <w:rsid w:val="00E61294"/>
    <w:rsid w:val="00E7237C"/>
    <w:rsid w:val="00E729E8"/>
    <w:rsid w:val="00E77C46"/>
    <w:rsid w:val="00E82190"/>
    <w:rsid w:val="00E83DBD"/>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AA8"/>
    <w:rsid w:val="00F22264"/>
    <w:rsid w:val="00F2564D"/>
    <w:rsid w:val="00F35B05"/>
    <w:rsid w:val="00F4109B"/>
    <w:rsid w:val="00F413D9"/>
    <w:rsid w:val="00F5135F"/>
    <w:rsid w:val="00F51F78"/>
    <w:rsid w:val="00F86F47"/>
    <w:rsid w:val="00F87F67"/>
    <w:rsid w:val="00F90B64"/>
    <w:rsid w:val="00FB178D"/>
    <w:rsid w:val="00FB2F0F"/>
    <w:rsid w:val="00FB5086"/>
    <w:rsid w:val="00FB5411"/>
    <w:rsid w:val="00FB6392"/>
    <w:rsid w:val="00FC04F5"/>
    <w:rsid w:val="00FD3C70"/>
    <w:rsid w:val="00FD6820"/>
    <w:rsid w:val="00FE12D8"/>
    <w:rsid w:val="00FF7C02"/>
    <w:rsid w:val="024801E3"/>
    <w:rsid w:val="0CA2B225"/>
    <w:rsid w:val="150B7D72"/>
    <w:rsid w:val="1A8D02CB"/>
    <w:rsid w:val="232C2728"/>
    <w:rsid w:val="26AB3852"/>
    <w:rsid w:val="28AFC40A"/>
    <w:rsid w:val="31AAEEB1"/>
    <w:rsid w:val="361FFE43"/>
    <w:rsid w:val="379DBD3B"/>
    <w:rsid w:val="383B77A3"/>
    <w:rsid w:val="3D259173"/>
    <w:rsid w:val="3F59CB88"/>
    <w:rsid w:val="422B0215"/>
    <w:rsid w:val="44EA6797"/>
    <w:rsid w:val="44EB83BA"/>
    <w:rsid w:val="48137975"/>
    <w:rsid w:val="4C0BB083"/>
    <w:rsid w:val="647B2B65"/>
    <w:rsid w:val="6B2CF8ED"/>
    <w:rsid w:val="750EA0FF"/>
    <w:rsid w:val="7CE8407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A739377-737E-40CE-AD0C-43569E45E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C2B40"/>
    <w:pPr>
      <w:spacing w:after="120" w:line="288" w:lineRule="auto"/>
      <w:ind w:left="992" w:right="868"/>
    </w:pPr>
    <w:rPr>
      <w:sz w:val="24"/>
      <w:szCs w:val="24"/>
    </w:rPr>
  </w:style>
  <w:style w:type="paragraph" w:styleId="Rubrik1">
    <w:name w:val="heading 1"/>
    <w:aliases w:val="Rubrik VGR"/>
    <w:next w:val="Normal"/>
    <w:link w:val="Rubrik1Char"/>
    <w:qFormat/>
    <w:rsid w:val="008B30DF"/>
    <w:pPr>
      <w:keepNext/>
      <w:spacing w:before="14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C2B4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C2B4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B30DF"/>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0460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04608"/>
    <w:pPr>
      <w:tabs>
        <w:tab w:val="right" w:leader="dot" w:pos="8777"/>
      </w:tabs>
      <w:spacing w:after="0"/>
      <w:ind w:left="1349"/>
    </w:pPr>
  </w:style>
  <w:style w:type="paragraph" w:styleId="Innehll3">
    <w:name w:val="toc 3"/>
    <w:basedOn w:val="Normal"/>
    <w:next w:val="Normal"/>
    <w:autoRedefine/>
    <w:uiPriority w:val="39"/>
    <w:unhideWhenUsed/>
    <w:rsid w:val="00204608"/>
    <w:pPr>
      <w:tabs>
        <w:tab w:val="right" w:leader="dot" w:pos="8777"/>
      </w:tabs>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62C83"/>
    <w:pPr>
      <w:numPr>
        <w:numId w:val="7"/>
      </w:numPr>
      <w:tabs>
        <w:tab w:val="num" w:pos="720"/>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C2B40"/>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1C2B40"/>
    <w:rPr>
      <w:rFonts w:asciiTheme="majorHAnsi" w:eastAsiaTheme="majorEastAsia" w:hAnsiTheme="majorHAnsi" w:cstheme="majorBidi"/>
      <w:i/>
      <w:iCs/>
      <w:color w:val="272727" w:themeColor="text1" w:themeTint="D8"/>
      <w:sz w:val="21"/>
      <w:szCs w:val="21"/>
    </w:rPr>
  </w:style>
  <w:style w:type="paragraph" w:customStyle="1" w:styleId="a">
    <w:next w:val="Numreradlista"/>
    <w:rsid w:val="001C2B40"/>
    <w:pPr>
      <w:tabs>
        <w:tab w:val="num" w:pos="3036"/>
      </w:tabs>
      <w:spacing w:after="80"/>
      <w:ind w:left="3033" w:hanging="357"/>
    </w:pPr>
    <w:rPr>
      <w:sz w:val="24"/>
    </w:rPr>
  </w:style>
  <w:style w:type="paragraph" w:styleId="Numreradlista">
    <w:name w:val="List Number"/>
    <w:basedOn w:val="Normal"/>
    <w:uiPriority w:val="99"/>
    <w:semiHidden/>
    <w:unhideWhenUsed/>
    <w:rsid w:val="001C2B40"/>
    <w:pPr>
      <w:tabs>
        <w:tab w:val="num" w:pos="720"/>
      </w:tabs>
      <w:ind w:left="720" w:hanging="720"/>
      <w:contextualSpacing/>
    </w:pPr>
  </w:style>
  <w:style w:type="paragraph" w:customStyle="1" w:styleId="Punktlistanumrerad">
    <w:name w:val="Punktlista numrerad"/>
    <w:qFormat/>
    <w:rsid w:val="00BF0BC7"/>
    <w:pPr>
      <w:numPr>
        <w:numId w:val="2"/>
      </w:numPr>
      <w:tabs>
        <w:tab w:val="clear" w:pos="3036"/>
        <w:tab w:val="left" w:pos="1349"/>
      </w:tabs>
      <w:overflowPunct w:val="0"/>
      <w:autoSpaceDE w:val="0"/>
      <w:autoSpaceDN w:val="0"/>
      <w:adjustRightInd w:val="0"/>
      <w:spacing w:after="80" w:line="288" w:lineRule="auto"/>
      <w:ind w:left="1349" w:hanging="357"/>
      <w:textAlignment w:val="baseline"/>
    </w:pPr>
    <w:rPr>
      <w:sz w:val="24"/>
    </w:rPr>
  </w:style>
  <w:style w:type="character" w:styleId="AnvndHyperlnk">
    <w:name w:val="FollowedHyperlink"/>
    <w:basedOn w:val="Standardstycketeckensnitt"/>
    <w:uiPriority w:val="99"/>
    <w:semiHidden/>
    <w:unhideWhenUsed/>
    <w:rsid w:val="002F1CE7"/>
    <w:rPr>
      <w:color w:val="9EA2A2" w:themeColor="followedHyperlink"/>
      <w:u w:val="single"/>
    </w:rPr>
  </w:style>
  <w:style w:type="character" w:styleId="Olstomnmnande">
    <w:name w:val="Unresolved Mention"/>
    <w:basedOn w:val="Standardstycketeckensnitt"/>
    <w:uiPriority w:val="99"/>
    <w:semiHidden/>
    <w:unhideWhenUsed/>
    <w:rsid w:val="00D63E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jw.org/sv/medicinsk-information" TargetMode="External" Id="rId13" /><Relationship Type="http://schemas.openxmlformats.org/officeDocument/2006/relationships/hyperlink" Target="http://www.jw.org/sv/medicinsk-information" TargetMode="External" Id="rId18"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6" /><Relationship Type="http://schemas.openxmlformats.org/officeDocument/2006/relationships/hyperlink" Target="https://www.socialstyrelsen.se/kunskapsstod-och-regler/regler-och-riktlinjer/foreskrifter-och-allmanna-rad/konsoliderade-foreskrifter/20117-om-livsuppehallande-behandling/" TargetMode="External" Id="rId21" /><Relationship Type="http://schemas.openxmlformats.org/officeDocument/2006/relationships/footer" Target="foot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9/surrogate" TargetMode="External" Id="rId12" /><Relationship Type="http://schemas.openxmlformats.org/officeDocument/2006/relationships/hyperlink" Target="https://mellanarkiv-offentlig.vgregion.se/alfresco/s/archive/stream/public/v1/source/available/sofia/sas9642-738863596-222/surrogate" TargetMode="External" Id="rId17" /><Relationship Type="http://schemas.openxmlformats.org/officeDocument/2006/relationships/hyperlink" Target="https://www.riksdagen.se/sv/dokument-lagar/dokument/svensk-forfattningssamling/patientlag-2014821_sfs-2014-821" TargetMode="External" Id="rId25" /><Relationship Type="http://schemas.openxmlformats.org/officeDocument/2006/relationships/footer" Target="footer1.xml" Id="rId33" /><Relationship Type="http://schemas.openxmlformats.org/officeDocument/2006/relationships/theme" Target="theme/theme1.xml" Id="rId38" /><Relationship Type="http://schemas.openxmlformats.org/officeDocument/2006/relationships/hyperlink" Target="https://mellanarkiv-offentlig.vgregion.se/alfresco/s/archive/stream/public/v1/source/available/sofia/sas9642-738863596-9/surrogate" TargetMode="External" Id="rId16" /><Relationship Type="http://schemas.openxmlformats.org/officeDocument/2006/relationships/hyperlink" Target="https://www.socialstyrelsen.se/kunskapsstod-och-regler/regler-och-riktlinjer/foreskrifter-och-allmanna-rad/konsoliderade-foreskrifter/200928-om-blodverksamhet/" TargetMode="External" Id="rId20"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97/surrogate/V%c3%a5rdinsatser%20utan%20patientens%20samtycke%2c%20S%c3%84S.pdf" TargetMode="External" Id="rId24" /><Relationship Type="http://schemas.openxmlformats.org/officeDocument/2006/relationships/header" Target="header1.xml" Id="rId32" /><Relationship Type="http://schemas.openxmlformats.org/officeDocument/2006/relationships/fontTable" Target="fontTable.xml" Id="rId37"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5" /><Relationship Type="http://schemas.openxmlformats.org/officeDocument/2006/relationships/hyperlink" Target="https://www.jw.org/sv/medicinsk-information" TargetMode="External" Id="rId23" /><Relationship Type="http://schemas.openxmlformats.org/officeDocument/2006/relationships/hyperlink" Target="https://www.riksdagen.se/sv/dokument-lagar/dokument/svensk-forfattningssamling/socialtjanstlag-2001453_sfs-2001-453" TargetMode="External" Id="rId28" /><Relationship Type="http://schemas.openxmlformats.org/officeDocument/2006/relationships/footer" Target="footer3.xml" Id="rId36" /><Relationship Type="http://schemas.openxmlformats.org/officeDocument/2006/relationships/footnotes" Target="footnotes.xml" Id="rId10" /><Relationship Type="http://schemas.openxmlformats.org/officeDocument/2006/relationships/hyperlink" Target="http://www.vardhandboken.se/Texter/Transfusion-av-blodkomponenter/Oversikt/" TargetMode="External" Id="rId19" /><Relationship Type="http://schemas.openxmlformats.org/officeDocument/2006/relationships/image" Target="media/image1.png"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97/surrogate/V%c3%a5rdinsatser%20utan%20patientens%20samtycke%2c%20S%c3%84S.pdf" TargetMode="External" Id="rId14" /><Relationship Type="http://schemas.openxmlformats.org/officeDocument/2006/relationships/hyperlink" Target="https://mellanarkiv-offentlig.vgregion.se/alfresco/s/archive/stream/public/v1/source/available/sofia/sas9642-738863596-9/surrogate" TargetMode="External" Id="rId22" /><Relationship Type="http://schemas.openxmlformats.org/officeDocument/2006/relationships/hyperlink" Target="https://www.riksdagen.se/sv/dokument-lagar/dokument/svensk-forfattningssamling/lag-199052-med-sarskilda-bestammelser-om-vard_sfs-1990-52" TargetMode="External" Id="rId27" /><Relationship Type="http://schemas.openxmlformats.org/officeDocument/2006/relationships/hyperlink" Target="http://www.vardhandboken.se/Texter/Transfusion-av-blodkomponenter/Oversikt/" TargetMode="External" Id="rId30" /><Relationship Type="http://schemas.openxmlformats.org/officeDocument/2006/relationships/header" Target="header2.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6</Pages>
  <Words>868</Words>
  <Characters>9699</Characters>
  <Application>Microsoft Office Word</Application>
  <DocSecurity>0</DocSecurity>
  <Lines>80</Lines>
  <Paragraphs>21</Paragraphs>
  <ScaleCrop>false</ScaleCrop>
  <Manager/>
  <Company/>
  <LinksUpToDate>false</LinksUpToDate>
  <CharactersWithSpaces>10546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Blodprodukter – handläggning och alternativa behandlingssätt till transfusion från blodgivare, SÄS</dc:title>
  <dc:subject/>
  <dc:creator>patrik.jens.johansson@vgregion.se</dc:creator>
  <keywords/>
  <lastModifiedBy>Karin Åhlin</lastModifiedBy>
  <revision>100</revision>
  <lastPrinted>2016-03-31T19:56:00.0000000Z</lastPrinted>
  <dcterms:created xsi:type="dcterms:W3CDTF">2022-03-28T14:00:00.0000000Z</dcterms:created>
  <dcterms:modified xsi:type="dcterms:W3CDTF">2024-11-18T15:06:00.0000000Z</dcterms:modified>
</coreProperties>
</file>