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58DC" w14:textId="77777777" w:rsidR="00F20BC9" w:rsidRPr="00F20BC9" w:rsidRDefault="00F20BC9" w:rsidP="00757240">
      <w:pPr>
        <w:pStyle w:val="Rubrik1"/>
      </w:pPr>
      <w:bookmarkStart w:id="0" w:name="_Toc321146591"/>
      <w:proofErr w:type="spellStart"/>
      <w:r w:rsidRPr="00F20BC9">
        <w:t>Anafylaxibehandling</w:t>
      </w:r>
      <w:proofErr w:type="spellEnd"/>
      <w:r w:rsidRPr="00F20BC9">
        <w:t xml:space="preserve"> och utredning hos vuxna patienter inom akutsjukvården på SÄS samt råd om uppföljning</w:t>
      </w:r>
    </w:p>
    <w:p w14:paraId="196599CF" w14:textId="77777777" w:rsidR="00F20BC9" w:rsidRPr="00F20BC9" w:rsidRDefault="00F20BC9" w:rsidP="00F20BC9">
      <w:pPr>
        <w:keepNext/>
        <w:spacing w:after="80" w:line="240" w:lineRule="auto"/>
        <w:ind w:right="0"/>
        <w:outlineLvl w:val="0"/>
        <w:rPr>
          <w:rFonts w:ascii="Arial" w:hAnsi="Arial"/>
          <w:kern w:val="32"/>
          <w:sz w:val="32"/>
          <w:szCs w:val="20"/>
        </w:rPr>
      </w:pPr>
      <w:bookmarkStart w:id="1" w:name="_Toc256000005"/>
      <w:bookmarkStart w:id="2" w:name="_Toc256000000"/>
      <w:bookmarkStart w:id="3" w:name="_Toc429475141"/>
      <w:bookmarkStart w:id="4" w:name="_Toc31636917"/>
      <w:bookmarkStart w:id="5" w:name="_Toc98317060"/>
      <w:bookmarkStart w:id="6" w:name="_Toc98329330"/>
      <w:bookmarkStart w:id="7" w:name="_Toc160800351"/>
      <w:r w:rsidRPr="00757240">
        <w:rPr>
          <w:rStyle w:val="Rubrik2Char"/>
        </w:rPr>
        <w:t>Sammanfattnin</w:t>
      </w:r>
      <w:bookmarkEnd w:id="7"/>
      <w:r w:rsidRPr="00F20BC9">
        <w:rPr>
          <w:rFonts w:ascii="Arial" w:hAnsi="Arial"/>
          <w:kern w:val="32"/>
          <w:sz w:val="32"/>
          <w:szCs w:val="20"/>
        </w:rPr>
        <w:t>g</w:t>
      </w:r>
      <w:bookmarkEnd w:id="1"/>
      <w:bookmarkEnd w:id="2"/>
      <w:bookmarkEnd w:id="3"/>
      <w:bookmarkEnd w:id="4"/>
      <w:bookmarkEnd w:id="5"/>
      <w:bookmarkEnd w:id="6"/>
    </w:p>
    <w:p w14:paraId="69CA6247" w14:textId="77777777" w:rsidR="00F20BC9" w:rsidRPr="00F20BC9" w:rsidRDefault="00F20BC9" w:rsidP="00757240">
      <w:r w:rsidRPr="00F20BC9">
        <w:t xml:space="preserve">Riktlinjen beskriver behandling vid misstanke om </w:t>
      </w:r>
      <w:proofErr w:type="spellStart"/>
      <w:r w:rsidRPr="00F20BC9">
        <w:t>anafylaxi</w:t>
      </w:r>
      <w:proofErr w:type="spellEnd"/>
      <w:r w:rsidRPr="00F20BC9">
        <w:t xml:space="preserve"> (allergisk chock) hos vuxna patienter samt rutiner för provtagning utifrån symtom, förebyggande läkemedel och dokumentation i journalen. Behandling av barn handläggs enligt interna riktlinjer vid barn- och ungdomskliniken.</w:t>
      </w:r>
    </w:p>
    <w:p w14:paraId="2D7DDA9C" w14:textId="4C698C8D" w:rsidR="00CD2B6E" w:rsidRDefault="00F20BC9" w:rsidP="00757240">
      <w:r w:rsidRPr="00F20BC9">
        <w:t xml:space="preserve">För behandling av </w:t>
      </w:r>
      <w:hyperlink r:id="rId12" w:history="1">
        <w:r w:rsidRPr="00FF188B">
          <w:rPr>
            <w:rStyle w:val="Hyperlnk"/>
          </w:rPr>
          <w:t>Akut anafyl</w:t>
        </w:r>
        <w:r w:rsidR="00CD2B6E" w:rsidRPr="00FF188B">
          <w:rPr>
            <w:rStyle w:val="Hyperlnk"/>
          </w:rPr>
          <w:t>a</w:t>
        </w:r>
        <w:r w:rsidRPr="00FF188B">
          <w:rPr>
            <w:rStyle w:val="Hyperlnk"/>
          </w:rPr>
          <w:t>ktisk reaktion hos vuxna, SÄS</w:t>
        </w:r>
      </w:hyperlink>
      <w:r w:rsidRPr="00F20BC9">
        <w:t xml:space="preserve"> hänvisas till separat sjukhusövergripande rutin.</w:t>
      </w:r>
    </w:p>
    <w:p w14:paraId="702E3358" w14:textId="21B2BB7C" w:rsidR="00757240" w:rsidRDefault="00757240" w:rsidP="00757240">
      <w:pPr>
        <w:pStyle w:val="Rubrik2"/>
      </w:pPr>
      <w:bookmarkStart w:id="8" w:name="_Toc160800352"/>
      <w:r>
        <w:t>Förändringar sedan föregående version</w:t>
      </w:r>
      <w:bookmarkEnd w:id="8"/>
    </w:p>
    <w:p w14:paraId="19786EB2" w14:textId="4EBD6859" w:rsidR="00757240" w:rsidRPr="00F20BC9" w:rsidRDefault="00B33C41" w:rsidP="00F20BC9">
      <w:pPr>
        <w:spacing w:line="240" w:lineRule="auto"/>
        <w:ind w:right="0"/>
        <w:rPr>
          <w:szCs w:val="20"/>
        </w:rPr>
      </w:pPr>
      <w:r>
        <w:rPr>
          <w:szCs w:val="20"/>
        </w:rPr>
        <w:t>Redaktionella ändringar, giltighetstiden förlängd.</w:t>
      </w:r>
    </w:p>
    <w:p w14:paraId="0BBB02A4" w14:textId="77777777" w:rsidR="00F20BC9" w:rsidRPr="00FF188B" w:rsidRDefault="00F20BC9" w:rsidP="00FF188B">
      <w:pPr>
        <w:spacing w:before="360" w:after="20" w:line="240" w:lineRule="auto"/>
        <w:ind w:right="0"/>
        <w:outlineLvl w:val="6"/>
        <w:rPr>
          <w:rFonts w:asciiTheme="majorHAnsi" w:hAnsiTheme="majorHAnsi" w:cstheme="majorHAnsi"/>
          <w:sz w:val="28"/>
          <w:szCs w:val="28"/>
        </w:rPr>
      </w:pPr>
      <w:r w:rsidRPr="00FF188B">
        <w:rPr>
          <w:rFonts w:asciiTheme="majorHAnsi" w:hAnsiTheme="majorHAnsi" w:cstheme="majorHAnsi"/>
          <w:sz w:val="28"/>
          <w:szCs w:val="28"/>
        </w:rPr>
        <w:t>Innehållsförteckning</w:t>
      </w:r>
    </w:p>
    <w:p w14:paraId="02D0E41F" w14:textId="3F88A890" w:rsidR="0030644F" w:rsidRDefault="00B33C41">
      <w:pPr>
        <w:pStyle w:val="Innehll1"/>
        <w:rPr>
          <w:rFonts w:asciiTheme="minorHAnsi" w:eastAsiaTheme="minorEastAsia" w:hAnsiTheme="minorHAnsi" w:cstheme="minorBidi"/>
          <w:noProof/>
          <w:kern w:val="2"/>
          <w:sz w:val="22"/>
          <w:szCs w:val="22"/>
          <w14:ligatures w14:val="standardContextual"/>
        </w:rPr>
      </w:pPr>
      <w:r>
        <w:rPr>
          <w:rFonts w:ascii="Arial" w:hAnsi="Arial"/>
          <w:noProof/>
          <w:sz w:val="22"/>
          <w:szCs w:val="32"/>
        </w:rPr>
        <w:fldChar w:fldCharType="begin"/>
      </w:r>
      <w:r>
        <w:rPr>
          <w:rFonts w:ascii="Arial" w:hAnsi="Arial"/>
          <w:noProof/>
          <w:sz w:val="22"/>
          <w:szCs w:val="32"/>
        </w:rPr>
        <w:instrText xml:space="preserve"> TOC \h \z \t "Rubrik 2;1;Rubrik 3;2;Mellanrubrik VGR;3" </w:instrText>
      </w:r>
      <w:r>
        <w:rPr>
          <w:rFonts w:ascii="Arial" w:hAnsi="Arial"/>
          <w:noProof/>
          <w:sz w:val="22"/>
          <w:szCs w:val="32"/>
        </w:rPr>
        <w:fldChar w:fldCharType="separate"/>
      </w:r>
      <w:hyperlink w:anchor="_Toc160800351" w:history="1">
        <w:r w:rsidR="0030644F" w:rsidRPr="00ED29B4">
          <w:rPr>
            <w:rStyle w:val="Hyperlnk"/>
            <w:rFonts w:eastAsia="MS Gothic"/>
            <w:noProof/>
          </w:rPr>
          <w:t>Sammanfattnin</w:t>
        </w:r>
        <w:r w:rsidR="0030644F">
          <w:rPr>
            <w:noProof/>
            <w:webHidden/>
          </w:rPr>
          <w:tab/>
        </w:r>
        <w:r w:rsidR="0030644F">
          <w:rPr>
            <w:noProof/>
            <w:webHidden/>
          </w:rPr>
          <w:fldChar w:fldCharType="begin"/>
        </w:r>
        <w:r w:rsidR="0030644F">
          <w:rPr>
            <w:noProof/>
            <w:webHidden/>
          </w:rPr>
          <w:instrText xml:space="preserve"> PAGEREF _Toc160800351 \h </w:instrText>
        </w:r>
        <w:r w:rsidR="0030644F">
          <w:rPr>
            <w:noProof/>
            <w:webHidden/>
          </w:rPr>
        </w:r>
        <w:r w:rsidR="0030644F">
          <w:rPr>
            <w:noProof/>
            <w:webHidden/>
          </w:rPr>
          <w:fldChar w:fldCharType="separate"/>
        </w:r>
        <w:r w:rsidR="0030644F">
          <w:rPr>
            <w:noProof/>
            <w:webHidden/>
          </w:rPr>
          <w:t>1</w:t>
        </w:r>
        <w:r w:rsidR="0030644F">
          <w:rPr>
            <w:noProof/>
            <w:webHidden/>
          </w:rPr>
          <w:fldChar w:fldCharType="end"/>
        </w:r>
      </w:hyperlink>
    </w:p>
    <w:p w14:paraId="22CC258C" w14:textId="53507F8B" w:rsidR="0030644F" w:rsidRDefault="0030644F">
      <w:pPr>
        <w:pStyle w:val="Innehll1"/>
        <w:rPr>
          <w:rFonts w:asciiTheme="minorHAnsi" w:eastAsiaTheme="minorEastAsia" w:hAnsiTheme="minorHAnsi" w:cstheme="minorBidi"/>
          <w:noProof/>
          <w:kern w:val="2"/>
          <w:sz w:val="22"/>
          <w:szCs w:val="22"/>
          <w14:ligatures w14:val="standardContextual"/>
        </w:rPr>
      </w:pPr>
      <w:hyperlink w:anchor="_Toc160800352" w:history="1">
        <w:r w:rsidRPr="00ED29B4">
          <w:rPr>
            <w:rStyle w:val="Hyperlnk"/>
            <w:rFonts w:eastAsia="MS Gothic"/>
            <w:noProof/>
          </w:rPr>
          <w:t>Förändringar sedan föregående version</w:t>
        </w:r>
        <w:r>
          <w:rPr>
            <w:noProof/>
            <w:webHidden/>
          </w:rPr>
          <w:tab/>
        </w:r>
        <w:r>
          <w:rPr>
            <w:noProof/>
            <w:webHidden/>
          </w:rPr>
          <w:fldChar w:fldCharType="begin"/>
        </w:r>
        <w:r>
          <w:rPr>
            <w:noProof/>
            <w:webHidden/>
          </w:rPr>
          <w:instrText xml:space="preserve"> PAGEREF _Toc160800352 \h </w:instrText>
        </w:r>
        <w:r>
          <w:rPr>
            <w:noProof/>
            <w:webHidden/>
          </w:rPr>
        </w:r>
        <w:r>
          <w:rPr>
            <w:noProof/>
            <w:webHidden/>
          </w:rPr>
          <w:fldChar w:fldCharType="separate"/>
        </w:r>
        <w:r>
          <w:rPr>
            <w:noProof/>
            <w:webHidden/>
          </w:rPr>
          <w:t>1</w:t>
        </w:r>
        <w:r>
          <w:rPr>
            <w:noProof/>
            <w:webHidden/>
          </w:rPr>
          <w:fldChar w:fldCharType="end"/>
        </w:r>
      </w:hyperlink>
    </w:p>
    <w:p w14:paraId="0CC92CC1" w14:textId="20EC091C" w:rsidR="0030644F" w:rsidRDefault="0030644F">
      <w:pPr>
        <w:pStyle w:val="Innehll1"/>
        <w:rPr>
          <w:rFonts w:asciiTheme="minorHAnsi" w:eastAsiaTheme="minorEastAsia" w:hAnsiTheme="minorHAnsi" w:cstheme="minorBidi"/>
          <w:noProof/>
          <w:kern w:val="2"/>
          <w:sz w:val="22"/>
          <w:szCs w:val="22"/>
          <w14:ligatures w14:val="standardContextual"/>
        </w:rPr>
      </w:pPr>
      <w:hyperlink w:anchor="_Toc160800353" w:history="1">
        <w:r w:rsidRPr="00ED29B4">
          <w:rPr>
            <w:rStyle w:val="Hyperlnk"/>
            <w:rFonts w:eastAsia="MS Gothic"/>
            <w:noProof/>
          </w:rPr>
          <w:t>Förutsättningar</w:t>
        </w:r>
        <w:r>
          <w:rPr>
            <w:noProof/>
            <w:webHidden/>
          </w:rPr>
          <w:tab/>
        </w:r>
        <w:r>
          <w:rPr>
            <w:noProof/>
            <w:webHidden/>
          </w:rPr>
          <w:fldChar w:fldCharType="begin"/>
        </w:r>
        <w:r>
          <w:rPr>
            <w:noProof/>
            <w:webHidden/>
          </w:rPr>
          <w:instrText xml:space="preserve"> PAGEREF _Toc160800353 \h </w:instrText>
        </w:r>
        <w:r>
          <w:rPr>
            <w:noProof/>
            <w:webHidden/>
          </w:rPr>
        </w:r>
        <w:r>
          <w:rPr>
            <w:noProof/>
            <w:webHidden/>
          </w:rPr>
          <w:fldChar w:fldCharType="separate"/>
        </w:r>
        <w:r>
          <w:rPr>
            <w:noProof/>
            <w:webHidden/>
          </w:rPr>
          <w:t>2</w:t>
        </w:r>
        <w:r>
          <w:rPr>
            <w:noProof/>
            <w:webHidden/>
          </w:rPr>
          <w:fldChar w:fldCharType="end"/>
        </w:r>
      </w:hyperlink>
    </w:p>
    <w:p w14:paraId="1CC697C5" w14:textId="3496DAAF" w:rsidR="0030644F" w:rsidRDefault="0030644F">
      <w:pPr>
        <w:pStyle w:val="Innehll2"/>
        <w:rPr>
          <w:rFonts w:asciiTheme="minorHAnsi" w:eastAsiaTheme="minorEastAsia" w:hAnsiTheme="minorHAnsi" w:cstheme="minorBidi"/>
          <w:noProof/>
          <w:kern w:val="2"/>
          <w:sz w:val="22"/>
          <w:szCs w:val="22"/>
          <w14:ligatures w14:val="standardContextual"/>
        </w:rPr>
      </w:pPr>
      <w:hyperlink w:anchor="_Toc160800354" w:history="1">
        <w:r w:rsidRPr="00ED29B4">
          <w:rPr>
            <w:rStyle w:val="Hyperlnk"/>
            <w:rFonts w:eastAsia="MS Gothic"/>
            <w:noProof/>
          </w:rPr>
          <w:t>Verksamhetschefens ansvar</w:t>
        </w:r>
        <w:r>
          <w:rPr>
            <w:noProof/>
            <w:webHidden/>
          </w:rPr>
          <w:tab/>
        </w:r>
        <w:r>
          <w:rPr>
            <w:noProof/>
            <w:webHidden/>
          </w:rPr>
          <w:fldChar w:fldCharType="begin"/>
        </w:r>
        <w:r>
          <w:rPr>
            <w:noProof/>
            <w:webHidden/>
          </w:rPr>
          <w:instrText xml:space="preserve"> PAGEREF _Toc160800354 \h </w:instrText>
        </w:r>
        <w:r>
          <w:rPr>
            <w:noProof/>
            <w:webHidden/>
          </w:rPr>
        </w:r>
        <w:r>
          <w:rPr>
            <w:noProof/>
            <w:webHidden/>
          </w:rPr>
          <w:fldChar w:fldCharType="separate"/>
        </w:r>
        <w:r>
          <w:rPr>
            <w:noProof/>
            <w:webHidden/>
          </w:rPr>
          <w:t>2</w:t>
        </w:r>
        <w:r>
          <w:rPr>
            <w:noProof/>
            <w:webHidden/>
          </w:rPr>
          <w:fldChar w:fldCharType="end"/>
        </w:r>
      </w:hyperlink>
    </w:p>
    <w:p w14:paraId="09B92820" w14:textId="4BFFBB63" w:rsidR="0030644F" w:rsidRDefault="0030644F">
      <w:pPr>
        <w:pStyle w:val="Innehll1"/>
        <w:rPr>
          <w:rFonts w:asciiTheme="minorHAnsi" w:eastAsiaTheme="minorEastAsia" w:hAnsiTheme="minorHAnsi" w:cstheme="minorBidi"/>
          <w:noProof/>
          <w:kern w:val="2"/>
          <w:sz w:val="22"/>
          <w:szCs w:val="22"/>
          <w14:ligatures w14:val="standardContextual"/>
        </w:rPr>
      </w:pPr>
      <w:hyperlink w:anchor="_Toc160800355" w:history="1">
        <w:r w:rsidRPr="00ED29B4">
          <w:rPr>
            <w:rStyle w:val="Hyperlnk"/>
            <w:rFonts w:eastAsia="MS Gothic"/>
            <w:noProof/>
          </w:rPr>
          <w:t>Genomförande</w:t>
        </w:r>
        <w:r>
          <w:rPr>
            <w:noProof/>
            <w:webHidden/>
          </w:rPr>
          <w:tab/>
        </w:r>
        <w:r>
          <w:rPr>
            <w:noProof/>
            <w:webHidden/>
          </w:rPr>
          <w:fldChar w:fldCharType="begin"/>
        </w:r>
        <w:r>
          <w:rPr>
            <w:noProof/>
            <w:webHidden/>
          </w:rPr>
          <w:instrText xml:space="preserve"> PAGEREF _Toc160800355 \h </w:instrText>
        </w:r>
        <w:r>
          <w:rPr>
            <w:noProof/>
            <w:webHidden/>
          </w:rPr>
        </w:r>
        <w:r>
          <w:rPr>
            <w:noProof/>
            <w:webHidden/>
          </w:rPr>
          <w:fldChar w:fldCharType="separate"/>
        </w:r>
        <w:r>
          <w:rPr>
            <w:noProof/>
            <w:webHidden/>
          </w:rPr>
          <w:t>2</w:t>
        </w:r>
        <w:r>
          <w:rPr>
            <w:noProof/>
            <w:webHidden/>
          </w:rPr>
          <w:fldChar w:fldCharType="end"/>
        </w:r>
      </w:hyperlink>
    </w:p>
    <w:p w14:paraId="1F451903" w14:textId="6E0BAB0D" w:rsidR="0030644F" w:rsidRDefault="0030644F">
      <w:pPr>
        <w:pStyle w:val="Innehll2"/>
        <w:rPr>
          <w:rFonts w:asciiTheme="minorHAnsi" w:eastAsiaTheme="minorEastAsia" w:hAnsiTheme="minorHAnsi" w:cstheme="minorBidi"/>
          <w:noProof/>
          <w:kern w:val="2"/>
          <w:sz w:val="22"/>
          <w:szCs w:val="22"/>
          <w14:ligatures w14:val="standardContextual"/>
        </w:rPr>
      </w:pPr>
      <w:hyperlink w:anchor="_Toc160800356" w:history="1">
        <w:r w:rsidRPr="00ED29B4">
          <w:rPr>
            <w:rStyle w:val="Hyperlnk"/>
            <w:rFonts w:eastAsia="MS Gothic"/>
            <w:noProof/>
          </w:rPr>
          <w:t>Akutlarm</w:t>
        </w:r>
        <w:r>
          <w:rPr>
            <w:noProof/>
            <w:webHidden/>
          </w:rPr>
          <w:tab/>
        </w:r>
        <w:r>
          <w:rPr>
            <w:noProof/>
            <w:webHidden/>
          </w:rPr>
          <w:fldChar w:fldCharType="begin"/>
        </w:r>
        <w:r>
          <w:rPr>
            <w:noProof/>
            <w:webHidden/>
          </w:rPr>
          <w:instrText xml:space="preserve"> PAGEREF _Toc160800356 \h </w:instrText>
        </w:r>
        <w:r>
          <w:rPr>
            <w:noProof/>
            <w:webHidden/>
          </w:rPr>
        </w:r>
        <w:r>
          <w:rPr>
            <w:noProof/>
            <w:webHidden/>
          </w:rPr>
          <w:fldChar w:fldCharType="separate"/>
        </w:r>
        <w:r>
          <w:rPr>
            <w:noProof/>
            <w:webHidden/>
          </w:rPr>
          <w:t>2</w:t>
        </w:r>
        <w:r>
          <w:rPr>
            <w:noProof/>
            <w:webHidden/>
          </w:rPr>
          <w:fldChar w:fldCharType="end"/>
        </w:r>
      </w:hyperlink>
    </w:p>
    <w:p w14:paraId="38DD4336" w14:textId="506D3617" w:rsidR="0030644F" w:rsidRDefault="0030644F">
      <w:pPr>
        <w:pStyle w:val="Innehll2"/>
        <w:rPr>
          <w:rFonts w:asciiTheme="minorHAnsi" w:eastAsiaTheme="minorEastAsia" w:hAnsiTheme="minorHAnsi" w:cstheme="minorBidi"/>
          <w:noProof/>
          <w:kern w:val="2"/>
          <w:sz w:val="22"/>
          <w:szCs w:val="22"/>
          <w14:ligatures w14:val="standardContextual"/>
        </w:rPr>
      </w:pPr>
      <w:hyperlink w:anchor="_Toc160800357" w:history="1">
        <w:r w:rsidRPr="00ED29B4">
          <w:rPr>
            <w:rStyle w:val="Hyperlnk"/>
            <w:rFonts w:eastAsia="MS Gothic"/>
            <w:noProof/>
          </w:rPr>
          <w:t>Gradering av anafylaxi i 3 svårighetsgrader</w:t>
        </w:r>
        <w:r>
          <w:rPr>
            <w:noProof/>
            <w:webHidden/>
          </w:rPr>
          <w:tab/>
        </w:r>
        <w:r>
          <w:rPr>
            <w:noProof/>
            <w:webHidden/>
          </w:rPr>
          <w:fldChar w:fldCharType="begin"/>
        </w:r>
        <w:r>
          <w:rPr>
            <w:noProof/>
            <w:webHidden/>
          </w:rPr>
          <w:instrText xml:space="preserve"> PAGEREF _Toc160800357 \h </w:instrText>
        </w:r>
        <w:r>
          <w:rPr>
            <w:noProof/>
            <w:webHidden/>
          </w:rPr>
        </w:r>
        <w:r>
          <w:rPr>
            <w:noProof/>
            <w:webHidden/>
          </w:rPr>
          <w:fldChar w:fldCharType="separate"/>
        </w:r>
        <w:r>
          <w:rPr>
            <w:noProof/>
            <w:webHidden/>
          </w:rPr>
          <w:t>5</w:t>
        </w:r>
        <w:r>
          <w:rPr>
            <w:noProof/>
            <w:webHidden/>
          </w:rPr>
          <w:fldChar w:fldCharType="end"/>
        </w:r>
      </w:hyperlink>
    </w:p>
    <w:p w14:paraId="1B682E29" w14:textId="41DADCCA" w:rsidR="0030644F" w:rsidRDefault="0030644F">
      <w:pPr>
        <w:pStyle w:val="Innehll2"/>
        <w:rPr>
          <w:rFonts w:asciiTheme="minorHAnsi" w:eastAsiaTheme="minorEastAsia" w:hAnsiTheme="minorHAnsi" w:cstheme="minorBidi"/>
          <w:noProof/>
          <w:kern w:val="2"/>
          <w:sz w:val="22"/>
          <w:szCs w:val="22"/>
          <w14:ligatures w14:val="standardContextual"/>
        </w:rPr>
      </w:pPr>
      <w:hyperlink w:anchor="_Toc160800358" w:history="1">
        <w:r w:rsidRPr="00ED29B4">
          <w:rPr>
            <w:rStyle w:val="Hyperlnk"/>
            <w:rFonts w:eastAsia="MS Gothic"/>
            <w:noProof/>
          </w:rPr>
          <w:t>Observation /övervakning</w:t>
        </w:r>
        <w:r>
          <w:rPr>
            <w:noProof/>
            <w:webHidden/>
          </w:rPr>
          <w:tab/>
        </w:r>
        <w:r>
          <w:rPr>
            <w:noProof/>
            <w:webHidden/>
          </w:rPr>
          <w:fldChar w:fldCharType="begin"/>
        </w:r>
        <w:r>
          <w:rPr>
            <w:noProof/>
            <w:webHidden/>
          </w:rPr>
          <w:instrText xml:space="preserve"> PAGEREF _Toc160800358 \h </w:instrText>
        </w:r>
        <w:r>
          <w:rPr>
            <w:noProof/>
            <w:webHidden/>
          </w:rPr>
        </w:r>
        <w:r>
          <w:rPr>
            <w:noProof/>
            <w:webHidden/>
          </w:rPr>
          <w:fldChar w:fldCharType="separate"/>
        </w:r>
        <w:r>
          <w:rPr>
            <w:noProof/>
            <w:webHidden/>
          </w:rPr>
          <w:t>5</w:t>
        </w:r>
        <w:r>
          <w:rPr>
            <w:noProof/>
            <w:webHidden/>
          </w:rPr>
          <w:fldChar w:fldCharType="end"/>
        </w:r>
      </w:hyperlink>
    </w:p>
    <w:p w14:paraId="06BF8F93" w14:textId="3FCE55BF" w:rsidR="0030644F" w:rsidRDefault="0030644F">
      <w:pPr>
        <w:pStyle w:val="Innehll2"/>
        <w:rPr>
          <w:rFonts w:asciiTheme="minorHAnsi" w:eastAsiaTheme="minorEastAsia" w:hAnsiTheme="minorHAnsi" w:cstheme="minorBidi"/>
          <w:noProof/>
          <w:kern w:val="2"/>
          <w:sz w:val="22"/>
          <w:szCs w:val="22"/>
          <w14:ligatures w14:val="standardContextual"/>
        </w:rPr>
      </w:pPr>
      <w:hyperlink w:anchor="_Toc160800359" w:history="1">
        <w:r w:rsidRPr="00ED29B4">
          <w:rPr>
            <w:rStyle w:val="Hyperlnk"/>
            <w:rFonts w:eastAsia="MS Gothic"/>
            <w:noProof/>
          </w:rPr>
          <w:t>Provtagning</w:t>
        </w:r>
        <w:r>
          <w:rPr>
            <w:noProof/>
            <w:webHidden/>
          </w:rPr>
          <w:tab/>
        </w:r>
        <w:r>
          <w:rPr>
            <w:noProof/>
            <w:webHidden/>
          </w:rPr>
          <w:fldChar w:fldCharType="begin"/>
        </w:r>
        <w:r>
          <w:rPr>
            <w:noProof/>
            <w:webHidden/>
          </w:rPr>
          <w:instrText xml:space="preserve"> PAGEREF _Toc160800359 \h </w:instrText>
        </w:r>
        <w:r>
          <w:rPr>
            <w:noProof/>
            <w:webHidden/>
          </w:rPr>
        </w:r>
        <w:r>
          <w:rPr>
            <w:noProof/>
            <w:webHidden/>
          </w:rPr>
          <w:fldChar w:fldCharType="separate"/>
        </w:r>
        <w:r>
          <w:rPr>
            <w:noProof/>
            <w:webHidden/>
          </w:rPr>
          <w:t>6</w:t>
        </w:r>
        <w:r>
          <w:rPr>
            <w:noProof/>
            <w:webHidden/>
          </w:rPr>
          <w:fldChar w:fldCharType="end"/>
        </w:r>
      </w:hyperlink>
    </w:p>
    <w:p w14:paraId="7DF3A21C" w14:textId="64931DFD" w:rsidR="0030644F" w:rsidRDefault="0030644F">
      <w:pPr>
        <w:pStyle w:val="Innehll3"/>
        <w:rPr>
          <w:rFonts w:asciiTheme="minorHAnsi" w:eastAsiaTheme="minorEastAsia" w:hAnsiTheme="minorHAnsi" w:cstheme="minorBidi"/>
          <w:noProof/>
          <w:kern w:val="2"/>
          <w:sz w:val="22"/>
          <w:szCs w:val="22"/>
          <w14:ligatures w14:val="standardContextual"/>
        </w:rPr>
      </w:pPr>
      <w:hyperlink w:anchor="_Toc160800360" w:history="1">
        <w:r w:rsidRPr="00ED29B4">
          <w:rPr>
            <w:rStyle w:val="Hyperlnk"/>
            <w:rFonts w:eastAsia="MS Gothic"/>
            <w:noProof/>
          </w:rPr>
          <w:t>A. Misstänkt anafylaxi med anamnes på blodtrycksfall</w:t>
        </w:r>
        <w:r>
          <w:rPr>
            <w:noProof/>
            <w:webHidden/>
          </w:rPr>
          <w:tab/>
        </w:r>
        <w:r>
          <w:rPr>
            <w:noProof/>
            <w:webHidden/>
          </w:rPr>
          <w:fldChar w:fldCharType="begin"/>
        </w:r>
        <w:r>
          <w:rPr>
            <w:noProof/>
            <w:webHidden/>
          </w:rPr>
          <w:instrText xml:space="preserve"> PAGEREF _Toc160800360 \h </w:instrText>
        </w:r>
        <w:r>
          <w:rPr>
            <w:noProof/>
            <w:webHidden/>
          </w:rPr>
        </w:r>
        <w:r>
          <w:rPr>
            <w:noProof/>
            <w:webHidden/>
          </w:rPr>
          <w:fldChar w:fldCharType="separate"/>
        </w:r>
        <w:r>
          <w:rPr>
            <w:noProof/>
            <w:webHidden/>
          </w:rPr>
          <w:t>6</w:t>
        </w:r>
        <w:r>
          <w:rPr>
            <w:noProof/>
            <w:webHidden/>
          </w:rPr>
          <w:fldChar w:fldCharType="end"/>
        </w:r>
      </w:hyperlink>
    </w:p>
    <w:p w14:paraId="069F16B8" w14:textId="10979468" w:rsidR="0030644F" w:rsidRDefault="0030644F">
      <w:pPr>
        <w:pStyle w:val="Innehll3"/>
        <w:rPr>
          <w:rFonts w:asciiTheme="minorHAnsi" w:eastAsiaTheme="minorEastAsia" w:hAnsiTheme="minorHAnsi" w:cstheme="minorBidi"/>
          <w:noProof/>
          <w:kern w:val="2"/>
          <w:sz w:val="22"/>
          <w:szCs w:val="22"/>
          <w14:ligatures w14:val="standardContextual"/>
        </w:rPr>
      </w:pPr>
      <w:hyperlink w:anchor="_Toc160800361" w:history="1">
        <w:r w:rsidRPr="00ED29B4">
          <w:rPr>
            <w:rStyle w:val="Hyperlnk"/>
            <w:rFonts w:eastAsia="MS Gothic"/>
            <w:noProof/>
          </w:rPr>
          <w:t>B. Vid stora Quincke-ödem i ansiktet</w:t>
        </w:r>
        <w:r>
          <w:rPr>
            <w:noProof/>
            <w:webHidden/>
          </w:rPr>
          <w:tab/>
        </w:r>
        <w:r>
          <w:rPr>
            <w:noProof/>
            <w:webHidden/>
          </w:rPr>
          <w:fldChar w:fldCharType="begin"/>
        </w:r>
        <w:r>
          <w:rPr>
            <w:noProof/>
            <w:webHidden/>
          </w:rPr>
          <w:instrText xml:space="preserve"> PAGEREF _Toc160800361 \h </w:instrText>
        </w:r>
        <w:r>
          <w:rPr>
            <w:noProof/>
            <w:webHidden/>
          </w:rPr>
        </w:r>
        <w:r>
          <w:rPr>
            <w:noProof/>
            <w:webHidden/>
          </w:rPr>
          <w:fldChar w:fldCharType="separate"/>
        </w:r>
        <w:r>
          <w:rPr>
            <w:noProof/>
            <w:webHidden/>
          </w:rPr>
          <w:t>7</w:t>
        </w:r>
        <w:r>
          <w:rPr>
            <w:noProof/>
            <w:webHidden/>
          </w:rPr>
          <w:fldChar w:fldCharType="end"/>
        </w:r>
      </w:hyperlink>
    </w:p>
    <w:p w14:paraId="20373EC7" w14:textId="7AADD16D" w:rsidR="0030644F" w:rsidRDefault="0030644F">
      <w:pPr>
        <w:pStyle w:val="Innehll3"/>
        <w:rPr>
          <w:rFonts w:asciiTheme="minorHAnsi" w:eastAsiaTheme="minorEastAsia" w:hAnsiTheme="minorHAnsi" w:cstheme="minorBidi"/>
          <w:noProof/>
          <w:kern w:val="2"/>
          <w:sz w:val="22"/>
          <w:szCs w:val="22"/>
          <w14:ligatures w14:val="standardContextual"/>
        </w:rPr>
      </w:pPr>
      <w:hyperlink w:anchor="_Toc160800362" w:history="1">
        <w:r w:rsidRPr="00ED29B4">
          <w:rPr>
            <w:rStyle w:val="Hyperlnk"/>
            <w:rFonts w:eastAsia="MS Gothic"/>
            <w:noProof/>
          </w:rPr>
          <w:t>C. Vid oklar obstruktiv klinik (astma?)</w:t>
        </w:r>
        <w:r>
          <w:rPr>
            <w:noProof/>
            <w:webHidden/>
          </w:rPr>
          <w:tab/>
        </w:r>
        <w:r>
          <w:rPr>
            <w:noProof/>
            <w:webHidden/>
          </w:rPr>
          <w:fldChar w:fldCharType="begin"/>
        </w:r>
        <w:r>
          <w:rPr>
            <w:noProof/>
            <w:webHidden/>
          </w:rPr>
          <w:instrText xml:space="preserve"> PAGEREF _Toc160800362 \h </w:instrText>
        </w:r>
        <w:r>
          <w:rPr>
            <w:noProof/>
            <w:webHidden/>
          </w:rPr>
        </w:r>
        <w:r>
          <w:rPr>
            <w:noProof/>
            <w:webHidden/>
          </w:rPr>
          <w:fldChar w:fldCharType="separate"/>
        </w:r>
        <w:r>
          <w:rPr>
            <w:noProof/>
            <w:webHidden/>
          </w:rPr>
          <w:t>7</w:t>
        </w:r>
        <w:r>
          <w:rPr>
            <w:noProof/>
            <w:webHidden/>
          </w:rPr>
          <w:fldChar w:fldCharType="end"/>
        </w:r>
      </w:hyperlink>
    </w:p>
    <w:p w14:paraId="02701909" w14:textId="7F485CD3" w:rsidR="0030644F" w:rsidRDefault="0030644F">
      <w:pPr>
        <w:pStyle w:val="Innehll2"/>
        <w:rPr>
          <w:rFonts w:asciiTheme="minorHAnsi" w:eastAsiaTheme="minorEastAsia" w:hAnsiTheme="minorHAnsi" w:cstheme="minorBidi"/>
          <w:noProof/>
          <w:kern w:val="2"/>
          <w:sz w:val="22"/>
          <w:szCs w:val="22"/>
          <w14:ligatures w14:val="standardContextual"/>
        </w:rPr>
      </w:pPr>
      <w:hyperlink w:anchor="_Toc160800363" w:history="1">
        <w:r w:rsidRPr="00ED29B4">
          <w:rPr>
            <w:rStyle w:val="Hyperlnk"/>
            <w:rFonts w:eastAsia="MS Gothic"/>
            <w:noProof/>
          </w:rPr>
          <w:t>Förebyggande läkemedel</w:t>
        </w:r>
        <w:r>
          <w:rPr>
            <w:noProof/>
            <w:webHidden/>
          </w:rPr>
          <w:tab/>
        </w:r>
        <w:r>
          <w:rPr>
            <w:noProof/>
            <w:webHidden/>
          </w:rPr>
          <w:fldChar w:fldCharType="begin"/>
        </w:r>
        <w:r>
          <w:rPr>
            <w:noProof/>
            <w:webHidden/>
          </w:rPr>
          <w:instrText xml:space="preserve"> PAGEREF _Toc160800363 \h </w:instrText>
        </w:r>
        <w:r>
          <w:rPr>
            <w:noProof/>
            <w:webHidden/>
          </w:rPr>
        </w:r>
        <w:r>
          <w:rPr>
            <w:noProof/>
            <w:webHidden/>
          </w:rPr>
          <w:fldChar w:fldCharType="separate"/>
        </w:r>
        <w:r>
          <w:rPr>
            <w:noProof/>
            <w:webHidden/>
          </w:rPr>
          <w:t>7</w:t>
        </w:r>
        <w:r>
          <w:rPr>
            <w:noProof/>
            <w:webHidden/>
          </w:rPr>
          <w:fldChar w:fldCharType="end"/>
        </w:r>
      </w:hyperlink>
    </w:p>
    <w:p w14:paraId="217D1F5A" w14:textId="70CF6387" w:rsidR="0030644F" w:rsidRDefault="0030644F">
      <w:pPr>
        <w:pStyle w:val="Innehll2"/>
        <w:rPr>
          <w:rFonts w:asciiTheme="minorHAnsi" w:eastAsiaTheme="minorEastAsia" w:hAnsiTheme="minorHAnsi" w:cstheme="minorBidi"/>
          <w:noProof/>
          <w:kern w:val="2"/>
          <w:sz w:val="22"/>
          <w:szCs w:val="22"/>
          <w14:ligatures w14:val="standardContextual"/>
        </w:rPr>
      </w:pPr>
      <w:hyperlink w:anchor="_Toc160800364" w:history="1">
        <w:r w:rsidRPr="00ED29B4">
          <w:rPr>
            <w:rStyle w:val="Hyperlnk"/>
            <w:rFonts w:eastAsia="MS Gothic"/>
            <w:noProof/>
          </w:rPr>
          <w:t>Utvidgad anamnes innan patienten går hem – tips</w:t>
        </w:r>
        <w:r>
          <w:rPr>
            <w:noProof/>
            <w:webHidden/>
          </w:rPr>
          <w:tab/>
        </w:r>
        <w:r>
          <w:rPr>
            <w:noProof/>
            <w:webHidden/>
          </w:rPr>
          <w:fldChar w:fldCharType="begin"/>
        </w:r>
        <w:r>
          <w:rPr>
            <w:noProof/>
            <w:webHidden/>
          </w:rPr>
          <w:instrText xml:space="preserve"> PAGEREF _Toc160800364 \h </w:instrText>
        </w:r>
        <w:r>
          <w:rPr>
            <w:noProof/>
            <w:webHidden/>
          </w:rPr>
        </w:r>
        <w:r>
          <w:rPr>
            <w:noProof/>
            <w:webHidden/>
          </w:rPr>
          <w:fldChar w:fldCharType="separate"/>
        </w:r>
        <w:r>
          <w:rPr>
            <w:noProof/>
            <w:webHidden/>
          </w:rPr>
          <w:t>8</w:t>
        </w:r>
        <w:r>
          <w:rPr>
            <w:noProof/>
            <w:webHidden/>
          </w:rPr>
          <w:fldChar w:fldCharType="end"/>
        </w:r>
      </w:hyperlink>
    </w:p>
    <w:p w14:paraId="58287233" w14:textId="0686A6AF" w:rsidR="0030644F" w:rsidRDefault="0030644F">
      <w:pPr>
        <w:pStyle w:val="Innehll2"/>
        <w:rPr>
          <w:rFonts w:asciiTheme="minorHAnsi" w:eastAsiaTheme="minorEastAsia" w:hAnsiTheme="minorHAnsi" w:cstheme="minorBidi"/>
          <w:noProof/>
          <w:kern w:val="2"/>
          <w:sz w:val="22"/>
          <w:szCs w:val="22"/>
          <w14:ligatures w14:val="standardContextual"/>
        </w:rPr>
      </w:pPr>
      <w:hyperlink w:anchor="_Toc160800365" w:history="1">
        <w:r w:rsidRPr="00ED29B4">
          <w:rPr>
            <w:rStyle w:val="Hyperlnk"/>
            <w:rFonts w:eastAsia="MS Gothic"/>
            <w:noProof/>
          </w:rPr>
          <w:t>Journaldokumentation</w:t>
        </w:r>
        <w:r>
          <w:rPr>
            <w:noProof/>
            <w:webHidden/>
          </w:rPr>
          <w:tab/>
        </w:r>
        <w:r>
          <w:rPr>
            <w:noProof/>
            <w:webHidden/>
          </w:rPr>
          <w:fldChar w:fldCharType="begin"/>
        </w:r>
        <w:r>
          <w:rPr>
            <w:noProof/>
            <w:webHidden/>
          </w:rPr>
          <w:instrText xml:space="preserve"> PAGEREF _Toc160800365 \h </w:instrText>
        </w:r>
        <w:r>
          <w:rPr>
            <w:noProof/>
            <w:webHidden/>
          </w:rPr>
        </w:r>
        <w:r>
          <w:rPr>
            <w:noProof/>
            <w:webHidden/>
          </w:rPr>
          <w:fldChar w:fldCharType="separate"/>
        </w:r>
        <w:r>
          <w:rPr>
            <w:noProof/>
            <w:webHidden/>
          </w:rPr>
          <w:t>9</w:t>
        </w:r>
        <w:r>
          <w:rPr>
            <w:noProof/>
            <w:webHidden/>
          </w:rPr>
          <w:fldChar w:fldCharType="end"/>
        </w:r>
      </w:hyperlink>
    </w:p>
    <w:p w14:paraId="22B1E958" w14:textId="2FEDF78D" w:rsidR="0030644F" w:rsidRDefault="0030644F">
      <w:pPr>
        <w:pStyle w:val="Innehll3"/>
        <w:rPr>
          <w:rFonts w:asciiTheme="minorHAnsi" w:eastAsiaTheme="minorEastAsia" w:hAnsiTheme="minorHAnsi" w:cstheme="minorBidi"/>
          <w:noProof/>
          <w:kern w:val="2"/>
          <w:sz w:val="22"/>
          <w:szCs w:val="22"/>
          <w14:ligatures w14:val="standardContextual"/>
        </w:rPr>
      </w:pPr>
      <w:hyperlink w:anchor="_Toc160800366" w:history="1">
        <w:r w:rsidRPr="00ED29B4">
          <w:rPr>
            <w:rStyle w:val="Hyperlnk"/>
            <w:rFonts w:eastAsia="MS Gothic"/>
            <w:noProof/>
          </w:rPr>
          <w:t>Diagnoskoder</w:t>
        </w:r>
        <w:r>
          <w:rPr>
            <w:noProof/>
            <w:webHidden/>
          </w:rPr>
          <w:tab/>
        </w:r>
        <w:r>
          <w:rPr>
            <w:noProof/>
            <w:webHidden/>
          </w:rPr>
          <w:fldChar w:fldCharType="begin"/>
        </w:r>
        <w:r>
          <w:rPr>
            <w:noProof/>
            <w:webHidden/>
          </w:rPr>
          <w:instrText xml:space="preserve"> PAGEREF _Toc160800366 \h </w:instrText>
        </w:r>
        <w:r>
          <w:rPr>
            <w:noProof/>
            <w:webHidden/>
          </w:rPr>
        </w:r>
        <w:r>
          <w:rPr>
            <w:noProof/>
            <w:webHidden/>
          </w:rPr>
          <w:fldChar w:fldCharType="separate"/>
        </w:r>
        <w:r>
          <w:rPr>
            <w:noProof/>
            <w:webHidden/>
          </w:rPr>
          <w:t>9</w:t>
        </w:r>
        <w:r>
          <w:rPr>
            <w:noProof/>
            <w:webHidden/>
          </w:rPr>
          <w:fldChar w:fldCharType="end"/>
        </w:r>
      </w:hyperlink>
    </w:p>
    <w:p w14:paraId="1E518E24" w14:textId="38D6D79B" w:rsidR="0030644F" w:rsidRDefault="0030644F">
      <w:pPr>
        <w:pStyle w:val="Innehll1"/>
        <w:rPr>
          <w:rFonts w:asciiTheme="minorHAnsi" w:eastAsiaTheme="minorEastAsia" w:hAnsiTheme="minorHAnsi" w:cstheme="minorBidi"/>
          <w:noProof/>
          <w:kern w:val="2"/>
          <w:sz w:val="22"/>
          <w:szCs w:val="22"/>
          <w14:ligatures w14:val="standardContextual"/>
        </w:rPr>
      </w:pPr>
      <w:hyperlink w:anchor="_Toc160800367" w:history="1">
        <w:r w:rsidRPr="00ED29B4">
          <w:rPr>
            <w:rStyle w:val="Hyperlnk"/>
            <w:rFonts w:eastAsia="MS Gothic"/>
            <w:noProof/>
          </w:rPr>
          <w:t>Dokumentinformation</w:t>
        </w:r>
        <w:r>
          <w:rPr>
            <w:noProof/>
            <w:webHidden/>
          </w:rPr>
          <w:tab/>
        </w:r>
        <w:r>
          <w:rPr>
            <w:noProof/>
            <w:webHidden/>
          </w:rPr>
          <w:fldChar w:fldCharType="begin"/>
        </w:r>
        <w:r>
          <w:rPr>
            <w:noProof/>
            <w:webHidden/>
          </w:rPr>
          <w:instrText xml:space="preserve"> PAGEREF _Toc160800367 \h </w:instrText>
        </w:r>
        <w:r>
          <w:rPr>
            <w:noProof/>
            <w:webHidden/>
          </w:rPr>
        </w:r>
        <w:r>
          <w:rPr>
            <w:noProof/>
            <w:webHidden/>
          </w:rPr>
          <w:fldChar w:fldCharType="separate"/>
        </w:r>
        <w:r>
          <w:rPr>
            <w:noProof/>
            <w:webHidden/>
          </w:rPr>
          <w:t>9</w:t>
        </w:r>
        <w:r>
          <w:rPr>
            <w:noProof/>
            <w:webHidden/>
          </w:rPr>
          <w:fldChar w:fldCharType="end"/>
        </w:r>
      </w:hyperlink>
    </w:p>
    <w:p w14:paraId="39C6C542" w14:textId="31D7F385" w:rsidR="0030644F" w:rsidRDefault="0030644F">
      <w:pPr>
        <w:pStyle w:val="Innehll1"/>
        <w:rPr>
          <w:rFonts w:asciiTheme="minorHAnsi" w:eastAsiaTheme="minorEastAsia" w:hAnsiTheme="minorHAnsi" w:cstheme="minorBidi"/>
          <w:noProof/>
          <w:kern w:val="2"/>
          <w:sz w:val="22"/>
          <w:szCs w:val="22"/>
          <w14:ligatures w14:val="standardContextual"/>
        </w:rPr>
      </w:pPr>
      <w:hyperlink w:anchor="_Toc160800368" w:history="1">
        <w:r w:rsidRPr="00ED29B4">
          <w:rPr>
            <w:rStyle w:val="Hyperlnk"/>
            <w:rFonts w:eastAsia="MS Gothic"/>
            <w:noProof/>
          </w:rPr>
          <w:t>Referensförteckning</w:t>
        </w:r>
        <w:r>
          <w:rPr>
            <w:noProof/>
            <w:webHidden/>
          </w:rPr>
          <w:tab/>
        </w:r>
        <w:r>
          <w:rPr>
            <w:noProof/>
            <w:webHidden/>
          </w:rPr>
          <w:fldChar w:fldCharType="begin"/>
        </w:r>
        <w:r>
          <w:rPr>
            <w:noProof/>
            <w:webHidden/>
          </w:rPr>
          <w:instrText xml:space="preserve"> PAGEREF _Toc160800368 \h </w:instrText>
        </w:r>
        <w:r>
          <w:rPr>
            <w:noProof/>
            <w:webHidden/>
          </w:rPr>
        </w:r>
        <w:r>
          <w:rPr>
            <w:noProof/>
            <w:webHidden/>
          </w:rPr>
          <w:fldChar w:fldCharType="separate"/>
        </w:r>
        <w:r>
          <w:rPr>
            <w:noProof/>
            <w:webHidden/>
          </w:rPr>
          <w:t>10</w:t>
        </w:r>
        <w:r>
          <w:rPr>
            <w:noProof/>
            <w:webHidden/>
          </w:rPr>
          <w:fldChar w:fldCharType="end"/>
        </w:r>
      </w:hyperlink>
    </w:p>
    <w:p w14:paraId="198A4813" w14:textId="062FB32F" w:rsidR="0030644F" w:rsidRDefault="0030644F">
      <w:pPr>
        <w:pStyle w:val="Innehll1"/>
        <w:rPr>
          <w:rFonts w:asciiTheme="minorHAnsi" w:eastAsiaTheme="minorEastAsia" w:hAnsiTheme="minorHAnsi" w:cstheme="minorBidi"/>
          <w:noProof/>
          <w:kern w:val="2"/>
          <w:sz w:val="22"/>
          <w:szCs w:val="22"/>
          <w14:ligatures w14:val="standardContextual"/>
        </w:rPr>
      </w:pPr>
      <w:hyperlink w:anchor="_Toc160800369" w:history="1">
        <w:r w:rsidRPr="00ED29B4">
          <w:rPr>
            <w:rStyle w:val="Hyperlnk"/>
            <w:rFonts w:eastAsia="MS Gothic"/>
            <w:noProof/>
          </w:rPr>
          <w:t>Länkförteckning</w:t>
        </w:r>
        <w:r>
          <w:rPr>
            <w:noProof/>
            <w:webHidden/>
          </w:rPr>
          <w:tab/>
        </w:r>
        <w:r>
          <w:rPr>
            <w:noProof/>
            <w:webHidden/>
          </w:rPr>
          <w:fldChar w:fldCharType="begin"/>
        </w:r>
        <w:r>
          <w:rPr>
            <w:noProof/>
            <w:webHidden/>
          </w:rPr>
          <w:instrText xml:space="preserve"> PAGEREF _Toc160800369 \h </w:instrText>
        </w:r>
        <w:r>
          <w:rPr>
            <w:noProof/>
            <w:webHidden/>
          </w:rPr>
        </w:r>
        <w:r>
          <w:rPr>
            <w:noProof/>
            <w:webHidden/>
          </w:rPr>
          <w:fldChar w:fldCharType="separate"/>
        </w:r>
        <w:r>
          <w:rPr>
            <w:noProof/>
            <w:webHidden/>
          </w:rPr>
          <w:t>13</w:t>
        </w:r>
        <w:r>
          <w:rPr>
            <w:noProof/>
            <w:webHidden/>
          </w:rPr>
          <w:fldChar w:fldCharType="end"/>
        </w:r>
      </w:hyperlink>
    </w:p>
    <w:p w14:paraId="7820A241" w14:textId="68FBC53C" w:rsidR="00F20BC9" w:rsidRPr="00F20BC9" w:rsidRDefault="00B33C41" w:rsidP="00B33C41">
      <w:pPr>
        <w:pStyle w:val="Rubrik2"/>
        <w:spacing w:before="360"/>
      </w:pPr>
      <w:r>
        <w:rPr>
          <w:rFonts w:ascii="Arial" w:hAnsi="Arial"/>
          <w:noProof/>
          <w:sz w:val="22"/>
          <w:szCs w:val="32"/>
        </w:rPr>
        <w:fldChar w:fldCharType="end"/>
      </w:r>
      <w:bookmarkStart w:id="9" w:name="_Toc256000014"/>
      <w:bookmarkStart w:id="10" w:name="_Toc256000001"/>
      <w:bookmarkStart w:id="11" w:name="_Toc31636918"/>
      <w:bookmarkStart w:id="12" w:name="_Toc98317061"/>
      <w:bookmarkStart w:id="13" w:name="_Toc98329331"/>
      <w:bookmarkStart w:id="14" w:name="_Toc160800353"/>
      <w:r w:rsidR="00F20BC9" w:rsidRPr="00F20BC9">
        <w:t>Förutsättningar</w:t>
      </w:r>
      <w:bookmarkEnd w:id="9"/>
      <w:bookmarkEnd w:id="10"/>
      <w:bookmarkEnd w:id="11"/>
      <w:bookmarkEnd w:id="12"/>
      <w:bookmarkEnd w:id="13"/>
      <w:bookmarkEnd w:id="14"/>
    </w:p>
    <w:p w14:paraId="16FD91C0" w14:textId="77777777" w:rsidR="00F20BC9" w:rsidRPr="00F20BC9" w:rsidRDefault="00F20BC9" w:rsidP="00FF188B">
      <w:pPr>
        <w:pStyle w:val="Rubrik3"/>
        <w:spacing w:before="120"/>
      </w:pPr>
      <w:bookmarkStart w:id="15" w:name="_Toc256000015"/>
      <w:bookmarkStart w:id="16" w:name="_Toc256000002"/>
      <w:bookmarkStart w:id="17" w:name="_Toc31636919"/>
      <w:bookmarkStart w:id="18" w:name="_Toc98317062"/>
      <w:bookmarkStart w:id="19" w:name="_Toc98329332"/>
      <w:bookmarkStart w:id="20" w:name="_Toc160800354"/>
      <w:r w:rsidRPr="00F20BC9">
        <w:t>Verksamhetschefens ansvar</w:t>
      </w:r>
      <w:bookmarkEnd w:id="15"/>
      <w:bookmarkEnd w:id="16"/>
      <w:bookmarkEnd w:id="17"/>
      <w:bookmarkEnd w:id="18"/>
      <w:bookmarkEnd w:id="19"/>
      <w:bookmarkEnd w:id="20"/>
    </w:p>
    <w:p w14:paraId="11B34B93" w14:textId="46049B1C" w:rsidR="00F20BC9" w:rsidRPr="00F20BC9" w:rsidRDefault="00F20BC9" w:rsidP="00FF188B">
      <w:pPr>
        <w:rPr>
          <w:szCs w:val="20"/>
        </w:rPr>
      </w:pPr>
      <w:r w:rsidRPr="00F20BC9">
        <w:t>Verksamhetschef bör tillse att generella ordinationer av läkemedel enligt riktlinjen finns. Dessutom att rutin finns för ordination av dessa läkemedel i samband med att läkemedel med särskild risk för reaktion ordineras en patient.</w:t>
      </w:r>
    </w:p>
    <w:p w14:paraId="2666EE0B" w14:textId="77777777" w:rsidR="00F20BC9" w:rsidRPr="00F20BC9" w:rsidRDefault="00F20BC9" w:rsidP="00FF188B">
      <w:pPr>
        <w:pStyle w:val="Rubrik2"/>
      </w:pPr>
      <w:bookmarkStart w:id="21" w:name="_Toc256000016"/>
      <w:bookmarkStart w:id="22" w:name="_Toc256000003"/>
      <w:bookmarkStart w:id="23" w:name="_Toc31636920"/>
      <w:bookmarkStart w:id="24" w:name="_Toc98317063"/>
      <w:bookmarkStart w:id="25" w:name="_Toc98329333"/>
      <w:bookmarkStart w:id="26" w:name="_Toc429389346"/>
      <w:bookmarkStart w:id="27" w:name="_Toc429475142"/>
      <w:bookmarkStart w:id="28" w:name="_Toc160800355"/>
      <w:r w:rsidRPr="00F20BC9">
        <w:t>Genomförande</w:t>
      </w:r>
      <w:bookmarkEnd w:id="21"/>
      <w:bookmarkEnd w:id="22"/>
      <w:bookmarkEnd w:id="23"/>
      <w:bookmarkEnd w:id="24"/>
      <w:bookmarkEnd w:id="25"/>
      <w:bookmarkEnd w:id="28"/>
    </w:p>
    <w:p w14:paraId="55C6D2D8" w14:textId="77777777" w:rsidR="00F20BC9" w:rsidRPr="00F20BC9" w:rsidRDefault="00F20BC9" w:rsidP="00FF188B">
      <w:pPr>
        <w:pStyle w:val="Rubrik3"/>
        <w:spacing w:before="60"/>
      </w:pPr>
      <w:bookmarkStart w:id="29" w:name="_Toc256000017"/>
      <w:bookmarkStart w:id="30" w:name="_Toc256000004"/>
      <w:bookmarkStart w:id="31" w:name="_Toc429475143"/>
      <w:bookmarkStart w:id="32" w:name="_Toc31636921"/>
      <w:bookmarkStart w:id="33" w:name="_Toc98317064"/>
      <w:bookmarkStart w:id="34" w:name="_Toc98329334"/>
      <w:bookmarkStart w:id="35" w:name="_Toc160800356"/>
      <w:bookmarkEnd w:id="26"/>
      <w:bookmarkEnd w:id="27"/>
      <w:r w:rsidRPr="00F20BC9">
        <w:t>Akutlarm</w:t>
      </w:r>
      <w:bookmarkEnd w:id="29"/>
      <w:bookmarkEnd w:id="30"/>
      <w:bookmarkEnd w:id="31"/>
      <w:bookmarkEnd w:id="32"/>
      <w:bookmarkEnd w:id="33"/>
      <w:bookmarkEnd w:id="34"/>
      <w:bookmarkEnd w:id="35"/>
    </w:p>
    <w:p w14:paraId="479380CF" w14:textId="77777777" w:rsidR="00F20BC9" w:rsidRPr="00F20BC9" w:rsidRDefault="00F20BC9" w:rsidP="00F20BC9">
      <w:pPr>
        <w:spacing w:line="240" w:lineRule="auto"/>
        <w:ind w:right="0"/>
        <w:rPr>
          <w:szCs w:val="20"/>
        </w:rPr>
      </w:pPr>
      <w:r w:rsidRPr="00F20BC9">
        <w:rPr>
          <w:b/>
          <w:bCs/>
          <w:szCs w:val="20"/>
        </w:rPr>
        <w:t>Vid livshotande tillstånd: Akutlarm enligt ordinarie rutin, tfn 2010!</w:t>
      </w:r>
    </w:p>
    <w:tbl>
      <w:tblPr>
        <w:tblStyle w:val="Tabellrutnt"/>
        <w:tblW w:w="0" w:type="auto"/>
        <w:shd w:val="clear" w:color="auto" w:fill="E7E6E6"/>
        <w:tblLook w:val="04A0" w:firstRow="1" w:lastRow="0" w:firstColumn="1" w:lastColumn="0" w:noHBand="0" w:noVBand="1"/>
      </w:tblPr>
      <w:tblGrid>
        <w:gridCol w:w="8919"/>
      </w:tblGrid>
      <w:tr w:rsidR="00F20BC9" w:rsidRPr="00F20BC9" w14:paraId="53033B17" w14:textId="77777777" w:rsidTr="00F20BC9">
        <w:tc>
          <w:tcPr>
            <w:tcW w:w="10282" w:type="dxa"/>
            <w:shd w:val="clear" w:color="auto" w:fill="E7E6E6"/>
          </w:tcPr>
          <w:p w14:paraId="00C164F6" w14:textId="4ACF4E4C" w:rsidR="00F20BC9" w:rsidRPr="00F20BC9" w:rsidRDefault="00F20BC9" w:rsidP="00F327D6">
            <w:pPr>
              <w:keepNext/>
              <w:keepLines/>
              <w:ind w:right="0"/>
              <w:rPr>
                <w:szCs w:val="20"/>
              </w:rPr>
            </w:pPr>
            <w:bookmarkStart w:id="36" w:name="_Toc429389347"/>
            <w:bookmarkStart w:id="37" w:name="_Toc429475144"/>
            <w:r w:rsidRPr="00F20BC9">
              <w:rPr>
                <w:b/>
                <w:bCs/>
                <w:szCs w:val="20"/>
              </w:rPr>
              <w:t>Adrenalin</w:t>
            </w:r>
            <w:r w:rsidRPr="00F20BC9">
              <w:rPr>
                <w:szCs w:val="20"/>
              </w:rPr>
              <w:t xml:space="preserve"> är den viktigaste behandlingen. Följ </w:t>
            </w:r>
            <w:proofErr w:type="spellStart"/>
            <w:r w:rsidRPr="00F20BC9">
              <w:rPr>
                <w:szCs w:val="20"/>
              </w:rPr>
              <w:t>saturation</w:t>
            </w:r>
            <w:proofErr w:type="spellEnd"/>
            <w:r w:rsidRPr="00F20BC9">
              <w:rPr>
                <w:szCs w:val="20"/>
              </w:rPr>
              <w:t xml:space="preserve">, puls och blodtryck. Sätt PVK och ge vätska till alla med </w:t>
            </w:r>
            <w:proofErr w:type="spellStart"/>
            <w:r w:rsidRPr="00F20BC9">
              <w:rPr>
                <w:szCs w:val="20"/>
              </w:rPr>
              <w:t>anafylaxi</w:t>
            </w:r>
            <w:proofErr w:type="spellEnd"/>
            <w:r w:rsidRPr="00F20BC9">
              <w:rPr>
                <w:szCs w:val="20"/>
              </w:rPr>
              <w:t xml:space="preserve"> (allergisk chock). Adrenalin 0,3 mg (= 0,3 ml av 1</w:t>
            </w:r>
            <w:r w:rsidR="00C36565">
              <w:rPr>
                <w:szCs w:val="20"/>
              </w:rPr>
              <w:t> </w:t>
            </w:r>
            <w:r w:rsidRPr="00F20BC9">
              <w:rPr>
                <w:szCs w:val="20"/>
              </w:rPr>
              <w:t xml:space="preserve">mg/ml) intramuskulärt i lårets utsida. Överväg </w:t>
            </w:r>
            <w:proofErr w:type="gramStart"/>
            <w:r w:rsidRPr="00F20BC9">
              <w:rPr>
                <w:szCs w:val="20"/>
              </w:rPr>
              <w:t>0,5-0,6</w:t>
            </w:r>
            <w:proofErr w:type="gramEnd"/>
            <w:r w:rsidRPr="00F20BC9">
              <w:rPr>
                <w:szCs w:val="20"/>
              </w:rPr>
              <w:t xml:space="preserve"> mg adrenalin direkt vid vikt &gt;70 kg. </w:t>
            </w:r>
          </w:p>
          <w:p w14:paraId="164AEA17" w14:textId="77777777" w:rsidR="00F20BC9" w:rsidRPr="00F20BC9" w:rsidRDefault="00F20BC9" w:rsidP="00F327D6">
            <w:pPr>
              <w:keepNext/>
              <w:keepLines/>
              <w:ind w:right="0"/>
              <w:rPr>
                <w:szCs w:val="20"/>
              </w:rPr>
            </w:pPr>
            <w:r w:rsidRPr="00F20BC9">
              <w:rPr>
                <w:szCs w:val="20"/>
              </w:rPr>
              <w:t xml:space="preserve">Om du är minsta osäker på spädning av adrenalin, använd </w:t>
            </w:r>
            <w:proofErr w:type="spellStart"/>
            <w:r w:rsidRPr="00F20BC9">
              <w:rPr>
                <w:szCs w:val="20"/>
              </w:rPr>
              <w:t>Epipen</w:t>
            </w:r>
            <w:proofErr w:type="spellEnd"/>
            <w:r w:rsidRPr="00F20BC9">
              <w:rPr>
                <w:szCs w:val="20"/>
              </w:rPr>
              <w:t xml:space="preserve">, </w:t>
            </w:r>
            <w:proofErr w:type="spellStart"/>
            <w:r w:rsidRPr="00F20BC9">
              <w:rPr>
                <w:szCs w:val="20"/>
              </w:rPr>
              <w:t>Emerade</w:t>
            </w:r>
            <w:proofErr w:type="spellEnd"/>
            <w:r w:rsidRPr="00F20BC9">
              <w:rPr>
                <w:szCs w:val="20"/>
              </w:rPr>
              <w:t xml:space="preserve"> eller </w:t>
            </w:r>
            <w:proofErr w:type="spellStart"/>
            <w:r w:rsidRPr="00F20BC9">
              <w:rPr>
                <w:szCs w:val="20"/>
              </w:rPr>
              <w:t>Jext</w:t>
            </w:r>
            <w:proofErr w:type="spellEnd"/>
            <w:r w:rsidRPr="00F20BC9">
              <w:rPr>
                <w:szCs w:val="20"/>
              </w:rPr>
              <w:t>. Adrenalin kan ges upprepat om patienten blir sämre (eller inte bättre) var 5-10:e minut. Informera om biverkningar som hjärtklappning, darrningar och illamående.</w:t>
            </w:r>
          </w:p>
        </w:tc>
      </w:tr>
    </w:tbl>
    <w:p w14:paraId="3DFEB251" w14:textId="0B161895" w:rsidR="00F20BC9" w:rsidRPr="00F20BC9" w:rsidRDefault="00F20BC9" w:rsidP="00FB5C6F">
      <w:pPr>
        <w:spacing w:before="120" w:line="240" w:lineRule="auto"/>
        <w:ind w:right="0"/>
        <w:rPr>
          <w:szCs w:val="20"/>
        </w:rPr>
      </w:pPr>
      <w:r w:rsidRPr="00F20BC9">
        <w:rPr>
          <w:szCs w:val="20"/>
        </w:rPr>
        <w:t xml:space="preserve">Behandla enligt rutinen </w:t>
      </w:r>
      <w:hyperlink r:id="rId13" w:history="1">
        <w:r w:rsidRPr="00FB5C6F">
          <w:rPr>
            <w:rStyle w:val="Hyperlnk"/>
          </w:rPr>
          <w:t>Akut anafylaktisk reaktion hos vuxna, SÄS</w:t>
        </w:r>
      </w:hyperlink>
      <w:r w:rsidRPr="00F20BC9">
        <w:rPr>
          <w:szCs w:val="20"/>
        </w:rPr>
        <w:t>.</w:t>
      </w:r>
    </w:p>
    <w:p w14:paraId="6F0B9E32" w14:textId="77777777" w:rsidR="00F20BC9" w:rsidRPr="00F20BC9" w:rsidRDefault="00F20BC9" w:rsidP="00F20BC9">
      <w:pPr>
        <w:keepNext/>
        <w:spacing w:before="100" w:after="20" w:line="240" w:lineRule="auto"/>
        <w:ind w:right="0"/>
        <w:outlineLvl w:val="1"/>
        <w:rPr>
          <w:rFonts w:ascii="Arial" w:hAnsi="Arial" w:cs="Arial"/>
          <w:bCs/>
          <w:iCs/>
          <w:sz w:val="28"/>
          <w:szCs w:val="28"/>
        </w:rPr>
      </w:pPr>
      <w:bookmarkStart w:id="38" w:name="_Toc256000018"/>
      <w:bookmarkStart w:id="39" w:name="_Toc256000006"/>
      <w:bookmarkStart w:id="40" w:name="_Toc31636923"/>
      <w:bookmarkStart w:id="41" w:name="_Toc98317065"/>
      <w:bookmarkStart w:id="42" w:name="_Toc98329335"/>
      <w:r w:rsidRPr="00F20BC9">
        <w:rPr>
          <w:rFonts w:ascii="Arial" w:hAnsi="Arial" w:cs="Arial"/>
          <w:bCs/>
          <w:iCs/>
          <w:sz w:val="28"/>
          <w:szCs w:val="28"/>
        </w:rPr>
        <w:t>Provtagning</w:t>
      </w:r>
      <w:bookmarkEnd w:id="36"/>
      <w:bookmarkEnd w:id="37"/>
      <w:bookmarkEnd w:id="38"/>
      <w:bookmarkEnd w:id="39"/>
      <w:bookmarkEnd w:id="40"/>
      <w:bookmarkEnd w:id="41"/>
      <w:bookmarkEnd w:id="42"/>
    </w:p>
    <w:p w14:paraId="2BC0DD06" w14:textId="2EF9FB9B" w:rsidR="00F20BC9" w:rsidRPr="00F20BC9" w:rsidRDefault="00F20BC9" w:rsidP="00F327D6">
      <w:pPr>
        <w:ind w:right="0"/>
        <w:rPr>
          <w:szCs w:val="20"/>
        </w:rPr>
      </w:pPr>
      <w:r w:rsidRPr="00F20BC9">
        <w:rPr>
          <w:b/>
          <w:bCs/>
          <w:szCs w:val="20"/>
        </w:rPr>
        <w:t>S-</w:t>
      </w:r>
      <w:proofErr w:type="spellStart"/>
      <w:r w:rsidRPr="00F20BC9">
        <w:rPr>
          <w:b/>
          <w:bCs/>
          <w:szCs w:val="20"/>
        </w:rPr>
        <w:t>Tryptas</w:t>
      </w:r>
      <w:proofErr w:type="spellEnd"/>
      <w:r w:rsidRPr="00F20BC9">
        <w:rPr>
          <w:b/>
          <w:bCs/>
          <w:szCs w:val="20"/>
        </w:rPr>
        <w:t xml:space="preserve"> i guldgult </w:t>
      </w:r>
      <w:proofErr w:type="spellStart"/>
      <w:r w:rsidRPr="00F20BC9">
        <w:rPr>
          <w:b/>
          <w:bCs/>
          <w:szCs w:val="20"/>
        </w:rPr>
        <w:t>gelrör</w:t>
      </w:r>
      <w:proofErr w:type="spellEnd"/>
      <w:r w:rsidRPr="00F20BC9">
        <w:rPr>
          <w:szCs w:val="20"/>
        </w:rPr>
        <w:t xml:space="preserve">: Optimal tidpunkt är </w:t>
      </w:r>
      <w:proofErr w:type="gramStart"/>
      <w:r w:rsidRPr="00F20BC9">
        <w:rPr>
          <w:szCs w:val="20"/>
        </w:rPr>
        <w:t>45-60</w:t>
      </w:r>
      <w:proofErr w:type="gramEnd"/>
      <w:r w:rsidRPr="00F20BC9">
        <w:rPr>
          <w:szCs w:val="20"/>
        </w:rPr>
        <w:t xml:space="preserve"> minuter efter symtomdebut. Bör tas senast inom </w:t>
      </w:r>
      <w:proofErr w:type="gramStart"/>
      <w:r w:rsidRPr="00F20BC9">
        <w:rPr>
          <w:szCs w:val="20"/>
        </w:rPr>
        <w:t>4-7</w:t>
      </w:r>
      <w:proofErr w:type="gramEnd"/>
      <w:r w:rsidRPr="00F20BC9">
        <w:rPr>
          <w:szCs w:val="20"/>
        </w:rPr>
        <w:t xml:space="preserve"> timmar. Ange på </w:t>
      </w:r>
      <w:proofErr w:type="spellStart"/>
      <w:r w:rsidRPr="00F20BC9">
        <w:rPr>
          <w:szCs w:val="20"/>
        </w:rPr>
        <w:t>lab</w:t>
      </w:r>
      <w:proofErr w:type="spellEnd"/>
      <w:r w:rsidRPr="00F20BC9">
        <w:rPr>
          <w:szCs w:val="20"/>
        </w:rPr>
        <w:t>-remissen hur lång tid som gått från symtomdebut till provtagning. S-</w:t>
      </w:r>
      <w:proofErr w:type="spellStart"/>
      <w:r w:rsidRPr="00F20BC9">
        <w:rPr>
          <w:szCs w:val="20"/>
        </w:rPr>
        <w:t>Tryptas</w:t>
      </w:r>
      <w:proofErr w:type="spellEnd"/>
      <w:r w:rsidRPr="00F20BC9">
        <w:rPr>
          <w:szCs w:val="20"/>
        </w:rPr>
        <w:t xml:space="preserve"> bör även tas vid alla oklara blodtrycksfall. Analys på SÄS sedan juni-2019. Se mer info under rubrik </w:t>
      </w:r>
      <w:hyperlink w:anchor="_Provtagning" w:history="1">
        <w:r w:rsidRPr="00EE4020">
          <w:rPr>
            <w:rStyle w:val="Hyperlnk"/>
          </w:rPr>
          <w:t>Provtagning</w:t>
        </w:r>
      </w:hyperlink>
      <w:r w:rsidRPr="00F20BC9">
        <w:rPr>
          <w:szCs w:val="20"/>
        </w:rPr>
        <w:t>.</w:t>
      </w:r>
    </w:p>
    <w:p w14:paraId="16407CFA" w14:textId="77777777" w:rsidR="006E4105" w:rsidRDefault="006E4105">
      <w:pPr>
        <w:spacing w:after="0" w:line="240" w:lineRule="auto"/>
        <w:ind w:right="0"/>
        <w:rPr>
          <w:rFonts w:ascii="Arial" w:hAnsi="Arial" w:cs="Arial"/>
          <w:bCs/>
          <w:iCs/>
          <w:sz w:val="28"/>
          <w:szCs w:val="28"/>
        </w:rPr>
      </w:pPr>
      <w:bookmarkStart w:id="43" w:name="_Toc256000019"/>
      <w:bookmarkStart w:id="44" w:name="_Toc98317066"/>
      <w:bookmarkStart w:id="45" w:name="_Toc98329336"/>
      <w:r>
        <w:rPr>
          <w:rFonts w:ascii="Arial" w:hAnsi="Arial" w:cs="Arial"/>
          <w:bCs/>
          <w:iCs/>
          <w:sz w:val="28"/>
          <w:szCs w:val="28"/>
        </w:rPr>
        <w:br w:type="page"/>
      </w:r>
    </w:p>
    <w:p w14:paraId="20EC0892" w14:textId="0337FF0E" w:rsidR="00F20BC9" w:rsidRPr="00F20BC9" w:rsidRDefault="00F20BC9" w:rsidP="00F20BC9">
      <w:pPr>
        <w:keepNext/>
        <w:spacing w:before="100" w:after="20" w:line="240" w:lineRule="auto"/>
        <w:ind w:right="0"/>
        <w:outlineLvl w:val="1"/>
        <w:rPr>
          <w:rFonts w:ascii="Arial" w:hAnsi="Arial" w:cs="Arial"/>
          <w:bCs/>
          <w:iCs/>
          <w:sz w:val="28"/>
          <w:szCs w:val="28"/>
        </w:rPr>
      </w:pPr>
      <w:r w:rsidRPr="00F20BC9">
        <w:rPr>
          <w:rFonts w:ascii="Arial" w:hAnsi="Arial" w:cs="Arial"/>
          <w:bCs/>
          <w:iCs/>
          <w:sz w:val="28"/>
          <w:szCs w:val="28"/>
        </w:rPr>
        <w:lastRenderedPageBreak/>
        <w:t>Behandlingstabell – Indikation och akut behandling [</w:t>
      </w:r>
      <w:proofErr w:type="gramStart"/>
      <w:r w:rsidRPr="00F20BC9">
        <w:rPr>
          <w:rFonts w:ascii="Arial" w:hAnsi="Arial" w:cs="Arial"/>
          <w:bCs/>
          <w:iCs/>
          <w:sz w:val="28"/>
          <w:szCs w:val="28"/>
        </w:rPr>
        <w:t>1-5</w:t>
      </w:r>
      <w:proofErr w:type="gramEnd"/>
      <w:r w:rsidRPr="00F20BC9">
        <w:rPr>
          <w:rFonts w:ascii="Arial" w:hAnsi="Arial" w:cs="Arial"/>
          <w:bCs/>
          <w:iCs/>
          <w:sz w:val="28"/>
          <w:szCs w:val="28"/>
        </w:rPr>
        <w:t>]</w:t>
      </w:r>
      <w:bookmarkEnd w:id="43"/>
      <w:bookmarkEnd w:id="44"/>
      <w:bookmarkEnd w:id="45"/>
    </w:p>
    <w:tbl>
      <w:tblPr>
        <w:tblStyle w:val="Tabellrutnt"/>
        <w:tblW w:w="9639" w:type="dxa"/>
        <w:tblLook w:val="04A0" w:firstRow="1" w:lastRow="0" w:firstColumn="1" w:lastColumn="0" w:noHBand="0" w:noVBand="1"/>
      </w:tblPr>
      <w:tblGrid>
        <w:gridCol w:w="1783"/>
        <w:gridCol w:w="2271"/>
        <w:gridCol w:w="1962"/>
        <w:gridCol w:w="857"/>
        <w:gridCol w:w="1329"/>
        <w:gridCol w:w="1437"/>
      </w:tblGrid>
      <w:tr w:rsidR="00F20BC9" w:rsidRPr="00F20BC9" w14:paraId="735358C0" w14:textId="77777777" w:rsidTr="00A936B3">
        <w:trPr>
          <w:tblHeader/>
        </w:trPr>
        <w:tc>
          <w:tcPr>
            <w:tcW w:w="1903" w:type="dxa"/>
            <w:shd w:val="clear" w:color="auto" w:fill="E7E6E6"/>
          </w:tcPr>
          <w:p w14:paraId="1A119744" w14:textId="77777777" w:rsidR="00F20BC9" w:rsidRPr="001A7F12" w:rsidRDefault="00F20BC9" w:rsidP="00F20BC9">
            <w:pPr>
              <w:keepNext/>
              <w:keepLines/>
              <w:spacing w:before="30" w:after="30" w:line="240" w:lineRule="auto"/>
              <w:ind w:right="0"/>
              <w:rPr>
                <w:rFonts w:asciiTheme="majorHAnsi" w:hAnsiTheme="majorHAnsi" w:cstheme="majorHAnsi"/>
                <w:b/>
                <w:sz w:val="22"/>
                <w:szCs w:val="22"/>
              </w:rPr>
            </w:pPr>
            <w:r w:rsidRPr="001A7F12">
              <w:rPr>
                <w:rFonts w:asciiTheme="majorHAnsi" w:hAnsiTheme="majorHAnsi" w:cstheme="majorHAnsi"/>
                <w:b/>
                <w:sz w:val="22"/>
                <w:szCs w:val="22"/>
              </w:rPr>
              <w:t>Indikation</w:t>
            </w:r>
          </w:p>
        </w:tc>
        <w:tc>
          <w:tcPr>
            <w:tcW w:w="2341" w:type="dxa"/>
            <w:shd w:val="clear" w:color="auto" w:fill="E7E6E6"/>
          </w:tcPr>
          <w:p w14:paraId="2FE4D775" w14:textId="77777777" w:rsidR="00F20BC9" w:rsidRPr="001A7F12" w:rsidRDefault="00F20BC9" w:rsidP="00F20BC9">
            <w:pPr>
              <w:keepNext/>
              <w:keepLines/>
              <w:spacing w:before="30" w:after="30" w:line="240" w:lineRule="auto"/>
              <w:ind w:right="0"/>
              <w:rPr>
                <w:rFonts w:asciiTheme="majorHAnsi" w:hAnsiTheme="majorHAnsi" w:cstheme="majorHAnsi"/>
                <w:b/>
                <w:sz w:val="22"/>
                <w:szCs w:val="22"/>
              </w:rPr>
            </w:pPr>
            <w:r w:rsidRPr="001A7F12">
              <w:rPr>
                <w:rFonts w:asciiTheme="majorHAnsi" w:hAnsiTheme="majorHAnsi" w:cstheme="majorHAnsi"/>
                <w:b/>
                <w:sz w:val="22"/>
                <w:szCs w:val="22"/>
              </w:rPr>
              <w:t>Läkemedel</w:t>
            </w:r>
          </w:p>
        </w:tc>
        <w:tc>
          <w:tcPr>
            <w:tcW w:w="2200" w:type="dxa"/>
            <w:shd w:val="clear" w:color="auto" w:fill="E7E6E6"/>
          </w:tcPr>
          <w:p w14:paraId="792A6F7A" w14:textId="7E8727D3" w:rsidR="00F20BC9" w:rsidRPr="001A7F12" w:rsidRDefault="00F20BC9" w:rsidP="00F20BC9">
            <w:pPr>
              <w:keepNext/>
              <w:keepLines/>
              <w:spacing w:before="30" w:after="30" w:line="240" w:lineRule="auto"/>
              <w:ind w:right="0"/>
              <w:rPr>
                <w:rFonts w:asciiTheme="majorHAnsi" w:hAnsiTheme="majorHAnsi" w:cstheme="majorHAnsi"/>
                <w:b/>
                <w:sz w:val="22"/>
                <w:szCs w:val="22"/>
              </w:rPr>
            </w:pPr>
            <w:r w:rsidRPr="001A7F12">
              <w:rPr>
                <w:rFonts w:asciiTheme="majorHAnsi" w:hAnsiTheme="majorHAnsi" w:cstheme="majorHAnsi"/>
                <w:b/>
                <w:sz w:val="22"/>
                <w:szCs w:val="22"/>
              </w:rPr>
              <w:t>Administrerings</w:t>
            </w:r>
            <w:r w:rsidR="00356A83" w:rsidRPr="001A7F12">
              <w:rPr>
                <w:rFonts w:asciiTheme="majorHAnsi" w:hAnsiTheme="majorHAnsi" w:cstheme="majorHAnsi"/>
                <w:b/>
                <w:sz w:val="22"/>
                <w:szCs w:val="22"/>
              </w:rPr>
              <w:t>-</w:t>
            </w:r>
            <w:r w:rsidRPr="001A7F12">
              <w:rPr>
                <w:rFonts w:asciiTheme="majorHAnsi" w:hAnsiTheme="majorHAnsi" w:cstheme="majorHAnsi"/>
                <w:b/>
                <w:sz w:val="22"/>
                <w:szCs w:val="22"/>
              </w:rPr>
              <w:t>sätt</w:t>
            </w:r>
          </w:p>
        </w:tc>
        <w:tc>
          <w:tcPr>
            <w:tcW w:w="2224" w:type="dxa"/>
            <w:gridSpan w:val="2"/>
            <w:shd w:val="clear" w:color="auto" w:fill="E7E6E6"/>
          </w:tcPr>
          <w:p w14:paraId="6C03A290" w14:textId="77777777" w:rsidR="00F20BC9" w:rsidRPr="001A7F12" w:rsidRDefault="00F20BC9" w:rsidP="00F20BC9">
            <w:pPr>
              <w:keepNext/>
              <w:keepLines/>
              <w:spacing w:before="30" w:after="30" w:line="240" w:lineRule="auto"/>
              <w:ind w:right="0"/>
              <w:rPr>
                <w:rFonts w:asciiTheme="majorHAnsi" w:hAnsiTheme="majorHAnsi" w:cstheme="majorHAnsi"/>
                <w:b/>
                <w:sz w:val="22"/>
                <w:szCs w:val="22"/>
              </w:rPr>
            </w:pPr>
            <w:r w:rsidRPr="001A7F12">
              <w:rPr>
                <w:rFonts w:asciiTheme="majorHAnsi" w:hAnsiTheme="majorHAnsi" w:cstheme="majorHAnsi"/>
                <w:b/>
                <w:sz w:val="22"/>
                <w:szCs w:val="22"/>
              </w:rPr>
              <w:t>Dosering vuxna</w:t>
            </w:r>
          </w:p>
        </w:tc>
        <w:tc>
          <w:tcPr>
            <w:tcW w:w="1690" w:type="dxa"/>
            <w:shd w:val="clear" w:color="auto" w:fill="E7E6E6"/>
          </w:tcPr>
          <w:p w14:paraId="62806945" w14:textId="77777777" w:rsidR="00F20BC9" w:rsidRPr="001A7F12" w:rsidRDefault="00F20BC9" w:rsidP="00F20BC9">
            <w:pPr>
              <w:keepNext/>
              <w:keepLines/>
              <w:spacing w:before="30" w:after="30" w:line="240" w:lineRule="auto"/>
              <w:ind w:right="0"/>
              <w:rPr>
                <w:rFonts w:asciiTheme="majorHAnsi" w:hAnsiTheme="majorHAnsi" w:cstheme="majorHAnsi"/>
                <w:b/>
                <w:sz w:val="22"/>
                <w:szCs w:val="22"/>
              </w:rPr>
            </w:pPr>
            <w:r w:rsidRPr="001A7F12">
              <w:rPr>
                <w:rFonts w:asciiTheme="majorHAnsi" w:hAnsiTheme="majorHAnsi" w:cstheme="majorHAnsi"/>
                <w:b/>
                <w:sz w:val="22"/>
                <w:szCs w:val="22"/>
              </w:rPr>
              <w:t>Effekt</w:t>
            </w:r>
          </w:p>
        </w:tc>
      </w:tr>
      <w:tr w:rsidR="00F20BC9" w:rsidRPr="00F20BC9" w14:paraId="5B8CE4DD" w14:textId="77777777" w:rsidTr="00A936B3">
        <w:tc>
          <w:tcPr>
            <w:tcW w:w="1903" w:type="dxa"/>
          </w:tcPr>
          <w:p w14:paraId="5F80B209" w14:textId="77777777" w:rsidR="00F20BC9" w:rsidRPr="00F20BC9" w:rsidRDefault="00F20BC9" w:rsidP="00B5227B">
            <w:pPr>
              <w:pStyle w:val="Tabelltext"/>
            </w:pPr>
            <w:r w:rsidRPr="00F20BC9">
              <w:t xml:space="preserve">Kraftig </w:t>
            </w:r>
            <w:proofErr w:type="spellStart"/>
            <w:r w:rsidRPr="00F20BC9">
              <w:t>urtikaria</w:t>
            </w:r>
            <w:proofErr w:type="spellEnd"/>
          </w:p>
          <w:p w14:paraId="673AFFE0" w14:textId="77777777" w:rsidR="00F20BC9" w:rsidRPr="00F20BC9" w:rsidRDefault="00F20BC9" w:rsidP="00B5227B">
            <w:pPr>
              <w:pStyle w:val="Tabelltext"/>
            </w:pPr>
            <w:r w:rsidRPr="00F20BC9">
              <w:t>Andnöd</w:t>
            </w:r>
          </w:p>
          <w:p w14:paraId="5D7710D6" w14:textId="77777777" w:rsidR="00F20BC9" w:rsidRPr="00F20BC9" w:rsidRDefault="00F20BC9" w:rsidP="00B5227B">
            <w:pPr>
              <w:pStyle w:val="Tabelltext"/>
            </w:pPr>
            <w:proofErr w:type="spellStart"/>
            <w:r w:rsidRPr="00F20BC9">
              <w:t>Hypotension</w:t>
            </w:r>
            <w:proofErr w:type="spellEnd"/>
          </w:p>
          <w:p w14:paraId="3BCDC120" w14:textId="77777777" w:rsidR="00F20BC9" w:rsidRPr="00F20BC9" w:rsidRDefault="00F20BC9" w:rsidP="00B5227B">
            <w:pPr>
              <w:pStyle w:val="Tabelltext"/>
            </w:pPr>
            <w:r w:rsidRPr="00F20BC9">
              <w:t>Allmänpåverkan</w:t>
            </w:r>
          </w:p>
          <w:p w14:paraId="5F76CB3B" w14:textId="77777777" w:rsidR="00F20BC9" w:rsidRPr="00F20BC9" w:rsidRDefault="00F20BC9" w:rsidP="00B5227B">
            <w:pPr>
              <w:pStyle w:val="Tabelltext"/>
            </w:pPr>
            <w:r w:rsidRPr="00F20BC9">
              <w:t>Kraftiga buksmärtor och kräkningar</w:t>
            </w:r>
          </w:p>
        </w:tc>
        <w:tc>
          <w:tcPr>
            <w:tcW w:w="2341" w:type="dxa"/>
          </w:tcPr>
          <w:p w14:paraId="6B5F71C5" w14:textId="77777777" w:rsidR="00F20BC9" w:rsidRPr="00F20BC9" w:rsidRDefault="00F20BC9" w:rsidP="00B5227B">
            <w:pPr>
              <w:pStyle w:val="Tabelltext"/>
            </w:pPr>
            <w:proofErr w:type="spellStart"/>
            <w:r w:rsidRPr="00F20BC9">
              <w:t>Inj</w:t>
            </w:r>
            <w:proofErr w:type="spellEnd"/>
            <w:r w:rsidRPr="00F20BC9">
              <w:t xml:space="preserve"> </w:t>
            </w:r>
            <w:r w:rsidRPr="00F20BC9">
              <w:rPr>
                <w:b/>
                <w:bCs/>
              </w:rPr>
              <w:t>Adrenalin</w:t>
            </w:r>
            <w:r w:rsidRPr="00F20BC9">
              <w:t xml:space="preserve"> 1 mg/ml</w:t>
            </w:r>
          </w:p>
          <w:p w14:paraId="479C7C84" w14:textId="77777777" w:rsidR="00F20BC9" w:rsidRPr="00F20BC9" w:rsidRDefault="00F20BC9" w:rsidP="00B5227B">
            <w:pPr>
              <w:pStyle w:val="Tabelltext"/>
            </w:pPr>
            <w:r w:rsidRPr="00F20BC9">
              <w:t>eller</w:t>
            </w:r>
          </w:p>
          <w:p w14:paraId="5961A7CC" w14:textId="77777777" w:rsidR="00F20BC9" w:rsidRPr="00F20BC9" w:rsidRDefault="00F20BC9" w:rsidP="00B5227B">
            <w:pPr>
              <w:pStyle w:val="Tabelltext"/>
              <w:rPr>
                <w:b/>
                <w:bCs/>
              </w:rPr>
            </w:pPr>
            <w:proofErr w:type="spellStart"/>
            <w:r w:rsidRPr="00F20BC9">
              <w:rPr>
                <w:b/>
                <w:bCs/>
              </w:rPr>
              <w:t>Epipen</w:t>
            </w:r>
            <w:proofErr w:type="spellEnd"/>
            <w:r w:rsidRPr="00F20BC9">
              <w:rPr>
                <w:b/>
                <w:bCs/>
              </w:rPr>
              <w:t>/</w:t>
            </w:r>
            <w:proofErr w:type="spellStart"/>
            <w:r w:rsidRPr="00F20BC9">
              <w:rPr>
                <w:b/>
                <w:bCs/>
              </w:rPr>
              <w:t>Emerade</w:t>
            </w:r>
            <w:proofErr w:type="spellEnd"/>
            <w:r w:rsidRPr="00F20BC9">
              <w:rPr>
                <w:b/>
                <w:bCs/>
              </w:rPr>
              <w:t>/</w:t>
            </w:r>
            <w:proofErr w:type="spellStart"/>
            <w:r w:rsidRPr="00F20BC9">
              <w:rPr>
                <w:b/>
                <w:bCs/>
              </w:rPr>
              <w:t>Jext</w:t>
            </w:r>
            <w:proofErr w:type="spellEnd"/>
          </w:p>
        </w:tc>
        <w:tc>
          <w:tcPr>
            <w:tcW w:w="2200" w:type="dxa"/>
          </w:tcPr>
          <w:p w14:paraId="126F20C4" w14:textId="77777777" w:rsidR="00F20BC9" w:rsidRPr="00F20BC9" w:rsidRDefault="00F20BC9" w:rsidP="00B5227B">
            <w:pPr>
              <w:pStyle w:val="Tabelltext"/>
            </w:pPr>
            <w:r w:rsidRPr="00F20BC9">
              <w:t>Intramuskulärt i lårets utsida</w:t>
            </w:r>
          </w:p>
        </w:tc>
        <w:tc>
          <w:tcPr>
            <w:tcW w:w="2224" w:type="dxa"/>
            <w:gridSpan w:val="2"/>
          </w:tcPr>
          <w:p w14:paraId="4C48C902" w14:textId="77777777" w:rsidR="00F20BC9" w:rsidRPr="00F20BC9" w:rsidRDefault="00F20BC9" w:rsidP="00B5227B">
            <w:pPr>
              <w:pStyle w:val="Tabelltext"/>
            </w:pPr>
            <w:proofErr w:type="gramStart"/>
            <w:r w:rsidRPr="00F20BC9">
              <w:t>0,3-0,5</w:t>
            </w:r>
            <w:proofErr w:type="gramEnd"/>
            <w:r w:rsidRPr="00F20BC9">
              <w:t xml:space="preserve"> ml</w:t>
            </w:r>
          </w:p>
          <w:p w14:paraId="1F542859" w14:textId="4965050D" w:rsidR="00F20BC9" w:rsidRPr="00F20BC9" w:rsidRDefault="00F20BC9" w:rsidP="00B5227B">
            <w:pPr>
              <w:pStyle w:val="Tabelltext"/>
            </w:pPr>
            <w:proofErr w:type="spellStart"/>
            <w:r w:rsidRPr="00F20BC9">
              <w:t>Epipen</w:t>
            </w:r>
            <w:proofErr w:type="spellEnd"/>
            <w:r w:rsidRPr="00F20BC9">
              <w:t>/</w:t>
            </w:r>
            <w:proofErr w:type="spellStart"/>
            <w:r w:rsidRPr="00F20BC9">
              <w:t>Emerade</w:t>
            </w:r>
            <w:proofErr w:type="spellEnd"/>
            <w:r w:rsidRPr="00F20BC9">
              <w:t>/</w:t>
            </w:r>
            <w:proofErr w:type="spellStart"/>
            <w:r w:rsidRPr="00F20BC9">
              <w:t>Jext</w:t>
            </w:r>
            <w:proofErr w:type="spellEnd"/>
            <w:r w:rsidRPr="00F20BC9">
              <w:t xml:space="preserve"> (300 </w:t>
            </w:r>
            <w:proofErr w:type="spellStart"/>
            <w:r w:rsidRPr="00F20BC9">
              <w:t>ug</w:t>
            </w:r>
            <w:proofErr w:type="spellEnd"/>
            <w:r w:rsidRPr="00F20BC9">
              <w:t xml:space="preserve">), </w:t>
            </w:r>
            <w:proofErr w:type="spellStart"/>
            <w:r w:rsidRPr="00F20BC9">
              <w:t>Emerade</w:t>
            </w:r>
            <w:proofErr w:type="spellEnd"/>
            <w:r w:rsidRPr="00F20BC9">
              <w:t xml:space="preserve"> finns även som 500 </w:t>
            </w:r>
            <w:proofErr w:type="spellStart"/>
            <w:r w:rsidRPr="00F20BC9">
              <w:t>ug</w:t>
            </w:r>
            <w:proofErr w:type="spellEnd"/>
            <w:r w:rsidRPr="00F20BC9">
              <w:t xml:space="preserve"> vid vikt &gt;70kg)</w:t>
            </w:r>
          </w:p>
        </w:tc>
        <w:tc>
          <w:tcPr>
            <w:tcW w:w="1690" w:type="dxa"/>
          </w:tcPr>
          <w:p w14:paraId="7A9C90E8" w14:textId="77777777" w:rsidR="00F20BC9" w:rsidRPr="00F20BC9" w:rsidRDefault="00F20BC9" w:rsidP="00B5227B">
            <w:pPr>
              <w:pStyle w:val="Tabelltext"/>
            </w:pPr>
            <w:r w:rsidRPr="00F20BC9">
              <w:t>Inom 5 min.</w:t>
            </w:r>
          </w:p>
          <w:p w14:paraId="6370056C" w14:textId="77777777" w:rsidR="00F20BC9" w:rsidRPr="00F20BC9" w:rsidRDefault="00F20BC9" w:rsidP="00B5227B">
            <w:pPr>
              <w:pStyle w:val="Tabelltext"/>
            </w:pPr>
            <w:r w:rsidRPr="00F20BC9">
              <w:t xml:space="preserve">Upprepa var 5:e-10:e min </w:t>
            </w:r>
            <w:proofErr w:type="spellStart"/>
            <w:r w:rsidRPr="00F20BC9">
              <w:t>vb</w:t>
            </w:r>
            <w:proofErr w:type="spellEnd"/>
            <w:r w:rsidRPr="00F20BC9">
              <w:t>.</w:t>
            </w:r>
          </w:p>
        </w:tc>
      </w:tr>
      <w:tr w:rsidR="00F20BC9" w:rsidRPr="00F20BC9" w14:paraId="57141C69" w14:textId="77777777" w:rsidTr="00A936B3">
        <w:tc>
          <w:tcPr>
            <w:tcW w:w="1903" w:type="dxa"/>
          </w:tcPr>
          <w:p w14:paraId="4734C9F3" w14:textId="77777777" w:rsidR="00F20BC9" w:rsidRPr="00F20BC9" w:rsidRDefault="00F20BC9" w:rsidP="00B5227B">
            <w:pPr>
              <w:pStyle w:val="Tabelltext"/>
            </w:pPr>
            <w:r w:rsidRPr="00F20BC9">
              <w:t>Astma</w:t>
            </w:r>
          </w:p>
        </w:tc>
        <w:tc>
          <w:tcPr>
            <w:tcW w:w="2341" w:type="dxa"/>
          </w:tcPr>
          <w:p w14:paraId="4F345D0C" w14:textId="77777777" w:rsidR="00F20BC9" w:rsidRPr="00F20BC9" w:rsidRDefault="00F20BC9" w:rsidP="00B5227B">
            <w:pPr>
              <w:pStyle w:val="Tabelltext"/>
            </w:pPr>
            <w:proofErr w:type="spellStart"/>
            <w:r w:rsidRPr="00F20BC9">
              <w:t>Inh</w:t>
            </w:r>
            <w:proofErr w:type="spellEnd"/>
            <w:r w:rsidRPr="00F20BC9">
              <w:t xml:space="preserve"> </w:t>
            </w:r>
            <w:proofErr w:type="spellStart"/>
            <w:r w:rsidRPr="00F20BC9">
              <w:rPr>
                <w:b/>
                <w:bCs/>
              </w:rPr>
              <w:t>Ventoline</w:t>
            </w:r>
            <w:proofErr w:type="spellEnd"/>
            <w:r w:rsidRPr="00F20BC9">
              <w:t xml:space="preserve"> eller egen bronkvidgande medicin.</w:t>
            </w:r>
          </w:p>
        </w:tc>
        <w:tc>
          <w:tcPr>
            <w:tcW w:w="2200" w:type="dxa"/>
          </w:tcPr>
          <w:p w14:paraId="26E2732C" w14:textId="77777777" w:rsidR="00F20BC9" w:rsidRPr="00F20BC9" w:rsidRDefault="00F20BC9" w:rsidP="00B5227B">
            <w:pPr>
              <w:pStyle w:val="Tabelltext"/>
            </w:pPr>
            <w:r w:rsidRPr="00F20BC9">
              <w:t>Inhalation.</w:t>
            </w:r>
          </w:p>
          <w:p w14:paraId="58692258" w14:textId="77777777" w:rsidR="00F20BC9" w:rsidRPr="00F20BC9" w:rsidRDefault="00F20BC9" w:rsidP="00B5227B">
            <w:pPr>
              <w:pStyle w:val="Tabelltext"/>
            </w:pPr>
            <w:proofErr w:type="spellStart"/>
            <w:r w:rsidRPr="00F20BC9">
              <w:t>Nebulisering</w:t>
            </w:r>
            <w:proofErr w:type="spellEnd"/>
            <w:r w:rsidRPr="00F20BC9">
              <w:t>.</w:t>
            </w:r>
          </w:p>
        </w:tc>
        <w:tc>
          <w:tcPr>
            <w:tcW w:w="2224" w:type="dxa"/>
            <w:gridSpan w:val="2"/>
          </w:tcPr>
          <w:p w14:paraId="54576F1F" w14:textId="77777777" w:rsidR="00F20BC9" w:rsidRPr="00F20BC9" w:rsidRDefault="00F20BC9" w:rsidP="00B5227B">
            <w:pPr>
              <w:pStyle w:val="Tabelltext"/>
            </w:pPr>
            <w:r w:rsidRPr="00F20BC9">
              <w:t>5 mg</w:t>
            </w:r>
          </w:p>
          <w:p w14:paraId="394EDA58" w14:textId="77777777" w:rsidR="00F20BC9" w:rsidRPr="00F20BC9" w:rsidRDefault="00F20BC9" w:rsidP="00B5227B">
            <w:pPr>
              <w:pStyle w:val="Tabelltext"/>
            </w:pPr>
            <w:proofErr w:type="gramStart"/>
            <w:r w:rsidRPr="00F20BC9">
              <w:t>4-6</w:t>
            </w:r>
            <w:proofErr w:type="gramEnd"/>
            <w:r w:rsidRPr="00F20BC9">
              <w:t xml:space="preserve"> doser</w:t>
            </w:r>
          </w:p>
        </w:tc>
        <w:tc>
          <w:tcPr>
            <w:tcW w:w="1690" w:type="dxa"/>
          </w:tcPr>
          <w:p w14:paraId="211B32E5" w14:textId="77777777" w:rsidR="00F20BC9" w:rsidRPr="00F20BC9" w:rsidRDefault="00F20BC9" w:rsidP="00B5227B">
            <w:pPr>
              <w:pStyle w:val="Tabelltext"/>
            </w:pPr>
            <w:r w:rsidRPr="00F20BC9">
              <w:t>Inom 10 min.</w:t>
            </w:r>
          </w:p>
          <w:p w14:paraId="2B7C3543" w14:textId="77777777" w:rsidR="00F20BC9" w:rsidRPr="00F20BC9" w:rsidRDefault="00F20BC9" w:rsidP="00B5227B">
            <w:pPr>
              <w:pStyle w:val="Tabelltext"/>
            </w:pPr>
            <w:r w:rsidRPr="00F20BC9">
              <w:t xml:space="preserve">Upprepa var 10:e min </w:t>
            </w:r>
            <w:proofErr w:type="spellStart"/>
            <w:r w:rsidRPr="00F20BC9">
              <w:t>vb</w:t>
            </w:r>
            <w:proofErr w:type="spellEnd"/>
            <w:r w:rsidRPr="00F20BC9">
              <w:t>.</w:t>
            </w:r>
          </w:p>
        </w:tc>
      </w:tr>
      <w:tr w:rsidR="00F20BC9" w:rsidRPr="00F20BC9" w14:paraId="436A37AB" w14:textId="77777777" w:rsidTr="00A936B3">
        <w:tc>
          <w:tcPr>
            <w:tcW w:w="1903" w:type="dxa"/>
          </w:tcPr>
          <w:p w14:paraId="3992D684" w14:textId="77777777" w:rsidR="00F20BC9" w:rsidRPr="00F20BC9" w:rsidRDefault="00F20BC9" w:rsidP="00B5227B">
            <w:pPr>
              <w:pStyle w:val="Tabelltext"/>
            </w:pPr>
            <w:proofErr w:type="spellStart"/>
            <w:r w:rsidRPr="00F20BC9">
              <w:t>Hypoxi</w:t>
            </w:r>
            <w:proofErr w:type="spellEnd"/>
          </w:p>
        </w:tc>
        <w:tc>
          <w:tcPr>
            <w:tcW w:w="2341" w:type="dxa"/>
          </w:tcPr>
          <w:p w14:paraId="513C4EC8" w14:textId="77777777" w:rsidR="00F20BC9" w:rsidRPr="00F20BC9" w:rsidRDefault="00F20BC9" w:rsidP="00B5227B">
            <w:pPr>
              <w:pStyle w:val="Tabelltext"/>
              <w:rPr>
                <w:b/>
                <w:bCs/>
              </w:rPr>
            </w:pPr>
            <w:r w:rsidRPr="00F20BC9">
              <w:rPr>
                <w:b/>
                <w:bCs/>
              </w:rPr>
              <w:t>Syrgas</w:t>
            </w:r>
          </w:p>
        </w:tc>
        <w:tc>
          <w:tcPr>
            <w:tcW w:w="2200" w:type="dxa"/>
          </w:tcPr>
          <w:p w14:paraId="11A73DC7" w14:textId="77777777" w:rsidR="00F20BC9" w:rsidRPr="00F20BC9" w:rsidRDefault="00F20BC9" w:rsidP="00B5227B">
            <w:pPr>
              <w:pStyle w:val="Tabelltext"/>
            </w:pPr>
            <w:r w:rsidRPr="00F20BC9">
              <w:t>Vuxen mask.</w:t>
            </w:r>
          </w:p>
        </w:tc>
        <w:tc>
          <w:tcPr>
            <w:tcW w:w="2224" w:type="dxa"/>
            <w:gridSpan w:val="2"/>
          </w:tcPr>
          <w:p w14:paraId="57F9BD14" w14:textId="77777777" w:rsidR="00F20BC9" w:rsidRPr="00F20BC9" w:rsidRDefault="00F20BC9" w:rsidP="00B5227B">
            <w:pPr>
              <w:pStyle w:val="Tabelltext"/>
            </w:pPr>
            <w:r w:rsidRPr="00F20BC9">
              <w:t>&gt;5 l/min</w:t>
            </w:r>
          </w:p>
        </w:tc>
        <w:tc>
          <w:tcPr>
            <w:tcW w:w="1690" w:type="dxa"/>
          </w:tcPr>
          <w:p w14:paraId="22D7948A" w14:textId="77777777" w:rsidR="00F20BC9" w:rsidRPr="00F20BC9" w:rsidRDefault="00F20BC9" w:rsidP="00B5227B">
            <w:pPr>
              <w:pStyle w:val="Tabelltext"/>
            </w:pPr>
            <w:r w:rsidRPr="00F20BC9">
              <w:t>Omgående</w:t>
            </w:r>
          </w:p>
        </w:tc>
      </w:tr>
      <w:tr w:rsidR="00F20BC9" w:rsidRPr="00F20BC9" w14:paraId="385459B4" w14:textId="77777777" w:rsidTr="00A936B3">
        <w:tc>
          <w:tcPr>
            <w:tcW w:w="1903" w:type="dxa"/>
          </w:tcPr>
          <w:p w14:paraId="5CE6642D" w14:textId="77777777" w:rsidR="00F20BC9" w:rsidRPr="00F20BC9" w:rsidRDefault="00F20BC9" w:rsidP="00B5227B">
            <w:pPr>
              <w:pStyle w:val="Tabelltext"/>
            </w:pPr>
            <w:r w:rsidRPr="00F20BC9">
              <w:t xml:space="preserve">Allmänpåverkan och/eller </w:t>
            </w:r>
            <w:proofErr w:type="spellStart"/>
            <w:r w:rsidRPr="00F20BC9">
              <w:t>hypotension</w:t>
            </w:r>
            <w:proofErr w:type="spellEnd"/>
          </w:p>
        </w:tc>
        <w:tc>
          <w:tcPr>
            <w:tcW w:w="2341" w:type="dxa"/>
          </w:tcPr>
          <w:p w14:paraId="0D9DF003" w14:textId="77777777" w:rsidR="00F20BC9" w:rsidRPr="00F20BC9" w:rsidRDefault="00F20BC9" w:rsidP="00B5227B">
            <w:pPr>
              <w:pStyle w:val="Tabelltext"/>
            </w:pPr>
            <w:r w:rsidRPr="00F20BC9">
              <w:t xml:space="preserve">Infusion </w:t>
            </w:r>
            <w:r w:rsidRPr="00F20BC9">
              <w:rPr>
                <w:b/>
                <w:bCs/>
              </w:rPr>
              <w:t>Ringer-Acetat</w:t>
            </w:r>
          </w:p>
        </w:tc>
        <w:tc>
          <w:tcPr>
            <w:tcW w:w="2200" w:type="dxa"/>
          </w:tcPr>
          <w:p w14:paraId="7F0D5883" w14:textId="77777777" w:rsidR="00F20BC9" w:rsidRPr="00F20BC9" w:rsidRDefault="00F20BC9" w:rsidP="00B5227B">
            <w:pPr>
              <w:pStyle w:val="Tabelltext"/>
            </w:pPr>
            <w:r w:rsidRPr="00F20BC9">
              <w:t>Snabbt intravenöst.</w:t>
            </w:r>
          </w:p>
        </w:tc>
        <w:tc>
          <w:tcPr>
            <w:tcW w:w="2224" w:type="dxa"/>
            <w:gridSpan w:val="2"/>
          </w:tcPr>
          <w:p w14:paraId="3E0986FC" w14:textId="77777777" w:rsidR="00F20BC9" w:rsidRPr="00F20BC9" w:rsidRDefault="00F20BC9" w:rsidP="00B5227B">
            <w:pPr>
              <w:pStyle w:val="Tabelltext"/>
            </w:pPr>
            <w:r w:rsidRPr="00F20BC9">
              <w:t>Efter behov. Eftersträva normalt blodtryck.</w:t>
            </w:r>
          </w:p>
        </w:tc>
        <w:tc>
          <w:tcPr>
            <w:tcW w:w="1690" w:type="dxa"/>
          </w:tcPr>
          <w:p w14:paraId="0E8C52E2" w14:textId="77777777" w:rsidR="00F20BC9" w:rsidRPr="00F20BC9" w:rsidRDefault="00F20BC9" w:rsidP="00B5227B">
            <w:pPr>
              <w:pStyle w:val="Tabelltext"/>
            </w:pPr>
            <w:r w:rsidRPr="00F20BC9">
              <w:t>Snabb vid omgående volym</w:t>
            </w:r>
          </w:p>
        </w:tc>
      </w:tr>
      <w:tr w:rsidR="00F20BC9" w:rsidRPr="00F20BC9" w14:paraId="72D32B45" w14:textId="77777777" w:rsidTr="00A936B3">
        <w:tc>
          <w:tcPr>
            <w:tcW w:w="1903" w:type="dxa"/>
          </w:tcPr>
          <w:p w14:paraId="170231AC" w14:textId="77777777" w:rsidR="00F20BC9" w:rsidRPr="00F20BC9" w:rsidRDefault="00F20BC9" w:rsidP="00893E85">
            <w:pPr>
              <w:pStyle w:val="Tabelltext"/>
            </w:pPr>
            <w:r w:rsidRPr="00F20BC9">
              <w:t>Alla</w:t>
            </w:r>
          </w:p>
        </w:tc>
        <w:tc>
          <w:tcPr>
            <w:tcW w:w="2341" w:type="dxa"/>
          </w:tcPr>
          <w:p w14:paraId="4A3860CF" w14:textId="03FA9F79" w:rsidR="00F20BC9" w:rsidRPr="00F20BC9" w:rsidRDefault="00F20BC9" w:rsidP="00893E85">
            <w:pPr>
              <w:pStyle w:val="Tabelltext"/>
            </w:pPr>
            <w:proofErr w:type="spellStart"/>
            <w:r w:rsidRPr="00F20BC9">
              <w:t>T.Caredin</w:t>
            </w:r>
            <w:proofErr w:type="spellEnd"/>
            <w:r w:rsidRPr="00F20BC9">
              <w:t xml:space="preserve"> </w:t>
            </w:r>
            <w:proofErr w:type="spellStart"/>
            <w:r w:rsidRPr="00F20BC9">
              <w:t>munlösl</w:t>
            </w:r>
            <w:proofErr w:type="spellEnd"/>
            <w:r w:rsidRPr="00F20BC9">
              <w:t xml:space="preserve"> 5</w:t>
            </w:r>
            <w:r w:rsidR="009F21EF">
              <w:t> </w:t>
            </w:r>
            <w:r w:rsidRPr="00F20BC9">
              <w:t>mg (=</w:t>
            </w:r>
            <w:proofErr w:type="spellStart"/>
            <w:proofErr w:type="gramStart"/>
            <w:r w:rsidRPr="00F20BC9">
              <w:t>T.desloratadin</w:t>
            </w:r>
            <w:proofErr w:type="spellEnd"/>
            <w:proofErr w:type="gramEnd"/>
            <w:r w:rsidRPr="00F20BC9">
              <w:t xml:space="preserve"> 5</w:t>
            </w:r>
            <w:r w:rsidR="009F21EF">
              <w:t> </w:t>
            </w:r>
            <w:r w:rsidRPr="00F20BC9">
              <w:t xml:space="preserve">mg), alt </w:t>
            </w:r>
            <w:proofErr w:type="spellStart"/>
            <w:r w:rsidRPr="00F20BC9">
              <w:t>Loratadin</w:t>
            </w:r>
            <w:proofErr w:type="spellEnd"/>
            <w:r w:rsidRPr="00F20BC9">
              <w:t xml:space="preserve"> 10</w:t>
            </w:r>
            <w:r w:rsidR="00BA7CDE">
              <w:t> </w:t>
            </w:r>
            <w:r w:rsidRPr="00F20BC9">
              <w:t xml:space="preserve">mg, </w:t>
            </w:r>
            <w:r w:rsidR="002F0DEA">
              <w:t>e</w:t>
            </w:r>
            <w:r w:rsidRPr="00F20BC9">
              <w:t xml:space="preserve">ller </w:t>
            </w:r>
            <w:proofErr w:type="spellStart"/>
            <w:r w:rsidRPr="00F20BC9">
              <w:t>ev</w:t>
            </w:r>
            <w:proofErr w:type="spellEnd"/>
            <w:r w:rsidRPr="00F20BC9">
              <w:t xml:space="preserve"> </w:t>
            </w:r>
            <w:proofErr w:type="spellStart"/>
            <w:r w:rsidRPr="00F20BC9">
              <w:t>inj</w:t>
            </w:r>
            <w:proofErr w:type="spellEnd"/>
            <w:r w:rsidRPr="00F20BC9">
              <w:t xml:space="preserve"> </w:t>
            </w:r>
            <w:proofErr w:type="spellStart"/>
            <w:r w:rsidRPr="00F20BC9">
              <w:t>Tavegyl</w:t>
            </w:r>
            <w:proofErr w:type="spellEnd"/>
            <w:r w:rsidRPr="00F20BC9">
              <w:t xml:space="preserve"> 1 mg/</w:t>
            </w:r>
            <w:proofErr w:type="spellStart"/>
            <w:r w:rsidRPr="00F20BC9">
              <w:t>ml,om</w:t>
            </w:r>
            <w:proofErr w:type="spellEnd"/>
            <w:r w:rsidRPr="00F20BC9">
              <w:t xml:space="preserve"> patienten ej kan svälja och </w:t>
            </w:r>
            <w:proofErr w:type="spellStart"/>
            <w:r w:rsidRPr="00F20BC9">
              <w:t>bltr</w:t>
            </w:r>
            <w:proofErr w:type="spellEnd"/>
            <w:r w:rsidRPr="00F20BC9">
              <w:t xml:space="preserve"> är bra)</w:t>
            </w:r>
          </w:p>
        </w:tc>
        <w:tc>
          <w:tcPr>
            <w:tcW w:w="2200" w:type="dxa"/>
          </w:tcPr>
          <w:p w14:paraId="6FE6D06B" w14:textId="77777777" w:rsidR="00F20BC9" w:rsidRPr="00F20BC9" w:rsidRDefault="00F20BC9" w:rsidP="00893E85">
            <w:pPr>
              <w:pStyle w:val="Tabelltext"/>
            </w:pPr>
            <w:r w:rsidRPr="00F20BC9">
              <w:t>Per os.</w:t>
            </w:r>
          </w:p>
          <w:p w14:paraId="04D6964E" w14:textId="77777777" w:rsidR="00F20BC9" w:rsidRPr="00F20BC9" w:rsidRDefault="00F20BC9" w:rsidP="00893E85">
            <w:pPr>
              <w:pStyle w:val="Tabelltext"/>
            </w:pPr>
            <w:r w:rsidRPr="00F20BC9">
              <w:br/>
              <w:t xml:space="preserve">Per os </w:t>
            </w:r>
          </w:p>
          <w:p w14:paraId="3750E483" w14:textId="77777777" w:rsidR="00F20BC9" w:rsidRPr="00F20BC9" w:rsidRDefault="00F20BC9" w:rsidP="00893E85">
            <w:pPr>
              <w:pStyle w:val="Tabelltext"/>
            </w:pPr>
            <w:r w:rsidRPr="00F20BC9">
              <w:t>Långsamt intravenöst (eventuellt intramuskulärt).</w:t>
            </w:r>
          </w:p>
        </w:tc>
        <w:tc>
          <w:tcPr>
            <w:tcW w:w="2224" w:type="dxa"/>
            <w:gridSpan w:val="2"/>
          </w:tcPr>
          <w:p w14:paraId="355B3594" w14:textId="77777777" w:rsidR="00F20BC9" w:rsidRPr="00F20BC9" w:rsidRDefault="00F20BC9" w:rsidP="00893E85">
            <w:pPr>
              <w:pStyle w:val="Tabelltext"/>
            </w:pPr>
            <w:r w:rsidRPr="00F20BC9">
              <w:t xml:space="preserve">10 mg </w:t>
            </w:r>
          </w:p>
          <w:p w14:paraId="07234D41" w14:textId="77777777" w:rsidR="00F20BC9" w:rsidRPr="00F20BC9" w:rsidRDefault="00F20BC9" w:rsidP="00893E85">
            <w:pPr>
              <w:pStyle w:val="Tabelltext"/>
            </w:pPr>
            <w:r w:rsidRPr="00F20BC9">
              <w:br/>
              <w:t>20 mg</w:t>
            </w:r>
          </w:p>
          <w:p w14:paraId="70576BF6" w14:textId="77777777" w:rsidR="00F20BC9" w:rsidRPr="00F20BC9" w:rsidRDefault="00F20BC9" w:rsidP="00893E85">
            <w:pPr>
              <w:pStyle w:val="Tabelltext"/>
            </w:pPr>
            <w:r w:rsidRPr="00F20BC9">
              <w:t>(2 ml)</w:t>
            </w:r>
          </w:p>
        </w:tc>
        <w:tc>
          <w:tcPr>
            <w:tcW w:w="1690" w:type="dxa"/>
          </w:tcPr>
          <w:p w14:paraId="64D5A2CB" w14:textId="77777777" w:rsidR="00F20BC9" w:rsidRPr="00F20BC9" w:rsidRDefault="00F20BC9" w:rsidP="00893E85">
            <w:pPr>
              <w:pStyle w:val="Tabelltext"/>
            </w:pPr>
            <w:r w:rsidRPr="00F20BC9">
              <w:t xml:space="preserve">Inom </w:t>
            </w:r>
            <w:proofErr w:type="gramStart"/>
            <w:r w:rsidRPr="00F20BC9">
              <w:t>30-60</w:t>
            </w:r>
            <w:proofErr w:type="gramEnd"/>
            <w:r w:rsidRPr="00F20BC9">
              <w:t xml:space="preserve"> min.</w:t>
            </w:r>
          </w:p>
        </w:tc>
      </w:tr>
      <w:tr w:rsidR="00F20BC9" w:rsidRPr="00F20BC9" w14:paraId="7BFD84AB" w14:textId="77777777" w:rsidTr="00A936B3">
        <w:tc>
          <w:tcPr>
            <w:tcW w:w="1903" w:type="dxa"/>
          </w:tcPr>
          <w:p w14:paraId="2A2FFAFE" w14:textId="77777777" w:rsidR="00F20BC9" w:rsidRPr="00F20BC9" w:rsidRDefault="00F20BC9" w:rsidP="00893E85">
            <w:pPr>
              <w:pStyle w:val="Tabelltext"/>
            </w:pPr>
            <w:r w:rsidRPr="00F20BC9">
              <w:t>Alla</w:t>
            </w:r>
          </w:p>
        </w:tc>
        <w:tc>
          <w:tcPr>
            <w:tcW w:w="2341" w:type="dxa"/>
          </w:tcPr>
          <w:p w14:paraId="0DBC9EBE" w14:textId="77777777" w:rsidR="00F20BC9" w:rsidRPr="00F20BC9" w:rsidRDefault="00F20BC9" w:rsidP="00893E85">
            <w:pPr>
              <w:pStyle w:val="Tabelltext"/>
            </w:pPr>
            <w:proofErr w:type="spellStart"/>
            <w:r w:rsidRPr="00F20BC9">
              <w:t>Tabl</w:t>
            </w:r>
            <w:proofErr w:type="spellEnd"/>
            <w:r w:rsidRPr="00F20BC9">
              <w:t xml:space="preserve"> </w:t>
            </w:r>
            <w:proofErr w:type="spellStart"/>
            <w:r w:rsidRPr="00F20BC9">
              <w:rPr>
                <w:b/>
                <w:bCs/>
              </w:rPr>
              <w:t>Betapred</w:t>
            </w:r>
            <w:proofErr w:type="spellEnd"/>
            <w:r w:rsidRPr="00F20BC9">
              <w:t xml:space="preserve"> 0,5 mg eller</w:t>
            </w:r>
          </w:p>
          <w:p w14:paraId="1822A8E8" w14:textId="77777777" w:rsidR="00F20BC9" w:rsidRPr="00F20BC9" w:rsidRDefault="00F20BC9" w:rsidP="00893E85">
            <w:pPr>
              <w:pStyle w:val="Tabelltext"/>
            </w:pPr>
            <w:proofErr w:type="spellStart"/>
            <w:r w:rsidRPr="00F20BC9">
              <w:t>inj</w:t>
            </w:r>
            <w:proofErr w:type="spellEnd"/>
            <w:r w:rsidRPr="00F20BC9">
              <w:t xml:space="preserve"> </w:t>
            </w:r>
            <w:proofErr w:type="spellStart"/>
            <w:r w:rsidRPr="00F20BC9">
              <w:rPr>
                <w:b/>
                <w:bCs/>
              </w:rPr>
              <w:t>Betapred</w:t>
            </w:r>
            <w:proofErr w:type="spellEnd"/>
            <w:r w:rsidRPr="00F20BC9">
              <w:t xml:space="preserve"> 4 mg/ml</w:t>
            </w:r>
          </w:p>
        </w:tc>
        <w:tc>
          <w:tcPr>
            <w:tcW w:w="2200" w:type="dxa"/>
          </w:tcPr>
          <w:p w14:paraId="04B68382" w14:textId="77777777" w:rsidR="00F20BC9" w:rsidRPr="00F20BC9" w:rsidRDefault="00F20BC9" w:rsidP="00893E85">
            <w:pPr>
              <w:pStyle w:val="Tabelltext"/>
            </w:pPr>
            <w:r w:rsidRPr="00F20BC9">
              <w:t>Per os.</w:t>
            </w:r>
          </w:p>
          <w:p w14:paraId="68DFC0AE" w14:textId="77777777" w:rsidR="00F20BC9" w:rsidRPr="00F20BC9" w:rsidRDefault="00F20BC9" w:rsidP="00893E85">
            <w:pPr>
              <w:pStyle w:val="Tabelltext"/>
            </w:pPr>
            <w:r w:rsidRPr="00F20BC9">
              <w:t>Intravenöst (eventuellt intramuskulärt).</w:t>
            </w:r>
          </w:p>
        </w:tc>
        <w:tc>
          <w:tcPr>
            <w:tcW w:w="2224" w:type="dxa"/>
            <w:gridSpan w:val="2"/>
          </w:tcPr>
          <w:p w14:paraId="6AEFC4BA" w14:textId="77777777" w:rsidR="00F20BC9" w:rsidRPr="00F20BC9" w:rsidRDefault="00F20BC9" w:rsidP="00893E85">
            <w:pPr>
              <w:pStyle w:val="Tabelltext"/>
            </w:pPr>
            <w:r w:rsidRPr="00F20BC9">
              <w:t xml:space="preserve">10 </w:t>
            </w:r>
            <w:proofErr w:type="spellStart"/>
            <w:r w:rsidRPr="00F20BC9">
              <w:t>st</w:t>
            </w:r>
            <w:proofErr w:type="spellEnd"/>
          </w:p>
          <w:p w14:paraId="0B5AF488" w14:textId="77777777" w:rsidR="00F20BC9" w:rsidRPr="00F20BC9" w:rsidRDefault="00F20BC9" w:rsidP="00893E85">
            <w:pPr>
              <w:pStyle w:val="Tabelltext"/>
            </w:pPr>
            <w:r w:rsidRPr="00F20BC9">
              <w:t>2 ml</w:t>
            </w:r>
          </w:p>
        </w:tc>
        <w:tc>
          <w:tcPr>
            <w:tcW w:w="1690" w:type="dxa"/>
          </w:tcPr>
          <w:p w14:paraId="3B63BAAE" w14:textId="2A22F076" w:rsidR="00F20BC9" w:rsidRPr="00F20BC9" w:rsidRDefault="00F20BC9" w:rsidP="00893E85">
            <w:pPr>
              <w:pStyle w:val="Tabelltext"/>
            </w:pPr>
            <w:r w:rsidRPr="00F20BC9">
              <w:t xml:space="preserve">Först efter </w:t>
            </w:r>
            <w:r w:rsidR="00FA5435">
              <w:br/>
            </w:r>
            <w:proofErr w:type="gramStart"/>
            <w:r w:rsidRPr="00F20BC9">
              <w:t>2-3</w:t>
            </w:r>
            <w:proofErr w:type="gramEnd"/>
            <w:r w:rsidRPr="00F20BC9">
              <w:t> tim.</w:t>
            </w:r>
          </w:p>
        </w:tc>
      </w:tr>
      <w:tr w:rsidR="00F20BC9" w:rsidRPr="00F20BC9" w14:paraId="2D18AA9B" w14:textId="77777777" w:rsidTr="00A936B3">
        <w:tc>
          <w:tcPr>
            <w:tcW w:w="1903" w:type="dxa"/>
            <w:vMerge w:val="restart"/>
          </w:tcPr>
          <w:p w14:paraId="47D77DB2" w14:textId="77777777" w:rsidR="00F20BC9" w:rsidRPr="00F20BC9" w:rsidRDefault="00F20BC9" w:rsidP="00893E85">
            <w:pPr>
              <w:pStyle w:val="Tabelltext"/>
            </w:pPr>
            <w:proofErr w:type="spellStart"/>
            <w:r w:rsidRPr="00F20BC9">
              <w:t>Hypotension</w:t>
            </w:r>
            <w:proofErr w:type="spellEnd"/>
            <w:r w:rsidRPr="00F20BC9">
              <w:t xml:space="preserve"> och medvetslöshet trots behandling ovan</w:t>
            </w:r>
          </w:p>
        </w:tc>
        <w:tc>
          <w:tcPr>
            <w:tcW w:w="2341" w:type="dxa"/>
            <w:vMerge w:val="restart"/>
          </w:tcPr>
          <w:p w14:paraId="30FDECF5" w14:textId="77777777" w:rsidR="00F20BC9" w:rsidRPr="00F20BC9" w:rsidRDefault="00F20BC9" w:rsidP="00893E85">
            <w:pPr>
              <w:pStyle w:val="Tabelltext"/>
            </w:pPr>
            <w:proofErr w:type="spellStart"/>
            <w:r w:rsidRPr="00F20BC9">
              <w:t>Inj</w:t>
            </w:r>
            <w:proofErr w:type="spellEnd"/>
            <w:r w:rsidRPr="00F20BC9">
              <w:t xml:space="preserve"> </w:t>
            </w:r>
            <w:r w:rsidRPr="00F20BC9">
              <w:rPr>
                <w:b/>
                <w:bCs/>
              </w:rPr>
              <w:t>Adrenalin</w:t>
            </w:r>
            <w:r w:rsidRPr="00F20BC9">
              <w:t xml:space="preserve"> 0,1 mg/ml</w:t>
            </w:r>
          </w:p>
          <w:p w14:paraId="18783DEF" w14:textId="1D56F214" w:rsidR="00F20BC9" w:rsidRPr="00F20BC9" w:rsidRDefault="00F20BC9" w:rsidP="00893E85">
            <w:pPr>
              <w:pStyle w:val="Tabelltext"/>
              <w:rPr>
                <w:b/>
                <w:bCs/>
              </w:rPr>
            </w:pPr>
            <w:r w:rsidRPr="00F20BC9">
              <w:rPr>
                <w:b/>
                <w:bCs/>
              </w:rPr>
              <w:t>OBS! L</w:t>
            </w:r>
            <w:r w:rsidR="00B71C27">
              <w:rPr>
                <w:b/>
                <w:bCs/>
              </w:rPr>
              <w:t>Ä</w:t>
            </w:r>
            <w:r w:rsidRPr="00F20BC9">
              <w:rPr>
                <w:b/>
                <w:bCs/>
              </w:rPr>
              <w:t>GRE STYRKA!</w:t>
            </w:r>
          </w:p>
          <w:p w14:paraId="57ECC5E0" w14:textId="77777777" w:rsidR="00F20BC9" w:rsidRPr="00F20BC9" w:rsidRDefault="00F20BC9" w:rsidP="00893E85">
            <w:pPr>
              <w:pStyle w:val="Tabelltext"/>
            </w:pPr>
            <w:r w:rsidRPr="00F20BC9">
              <w:t xml:space="preserve">EKG, täta puls- och </w:t>
            </w:r>
            <w:proofErr w:type="spellStart"/>
            <w:r w:rsidRPr="00F20BC9">
              <w:t>bltr</w:t>
            </w:r>
            <w:proofErr w:type="spellEnd"/>
            <w:r w:rsidRPr="00F20BC9">
              <w:t>-kontroller.</w:t>
            </w:r>
          </w:p>
        </w:tc>
        <w:tc>
          <w:tcPr>
            <w:tcW w:w="2200" w:type="dxa"/>
          </w:tcPr>
          <w:p w14:paraId="31700A3A" w14:textId="77777777" w:rsidR="00F20BC9" w:rsidRPr="00F20BC9" w:rsidRDefault="00F20BC9" w:rsidP="00893E85">
            <w:pPr>
              <w:pStyle w:val="Tabelltext"/>
            </w:pPr>
            <w:r w:rsidRPr="00F20BC9">
              <w:t>Långsamt intravenöst (minuter)</w:t>
            </w:r>
          </w:p>
        </w:tc>
        <w:tc>
          <w:tcPr>
            <w:tcW w:w="2224" w:type="dxa"/>
            <w:gridSpan w:val="2"/>
          </w:tcPr>
          <w:p w14:paraId="32452378" w14:textId="77777777" w:rsidR="00F20BC9" w:rsidRPr="00F20BC9" w:rsidRDefault="00F20BC9" w:rsidP="00893E85">
            <w:pPr>
              <w:pStyle w:val="Tabelltext"/>
            </w:pPr>
            <w:proofErr w:type="gramStart"/>
            <w:r w:rsidRPr="00F20BC9">
              <w:t>1-3</w:t>
            </w:r>
            <w:proofErr w:type="gramEnd"/>
            <w:r w:rsidRPr="00F20BC9">
              <w:t xml:space="preserve"> ml</w:t>
            </w:r>
          </w:p>
        </w:tc>
        <w:tc>
          <w:tcPr>
            <w:tcW w:w="1690" w:type="dxa"/>
          </w:tcPr>
          <w:p w14:paraId="216E889D" w14:textId="77777777" w:rsidR="00F20BC9" w:rsidRPr="00F20BC9" w:rsidRDefault="00F20BC9" w:rsidP="00893E85">
            <w:pPr>
              <w:pStyle w:val="Tabelltext"/>
            </w:pPr>
            <w:r w:rsidRPr="00F20BC9">
              <w:t>Inom 1 min.</w:t>
            </w:r>
          </w:p>
          <w:p w14:paraId="287BB698" w14:textId="77777777" w:rsidR="00F20BC9" w:rsidRPr="00F20BC9" w:rsidRDefault="00F20BC9" w:rsidP="00893E85">
            <w:pPr>
              <w:pStyle w:val="Tabelltext"/>
            </w:pPr>
            <w:r w:rsidRPr="00F20BC9">
              <w:t>Upprepa v b.</w:t>
            </w:r>
          </w:p>
        </w:tc>
      </w:tr>
      <w:tr w:rsidR="00F20BC9" w:rsidRPr="00F20BC9" w14:paraId="3FB8806F" w14:textId="77777777" w:rsidTr="00A936B3">
        <w:tc>
          <w:tcPr>
            <w:tcW w:w="1903" w:type="dxa"/>
            <w:vMerge/>
          </w:tcPr>
          <w:p w14:paraId="2655B76E" w14:textId="77777777" w:rsidR="00F20BC9" w:rsidRPr="00F20BC9" w:rsidRDefault="00F20BC9" w:rsidP="00893E85">
            <w:pPr>
              <w:pStyle w:val="Tabelltext"/>
            </w:pPr>
          </w:p>
        </w:tc>
        <w:tc>
          <w:tcPr>
            <w:tcW w:w="2341" w:type="dxa"/>
            <w:vMerge/>
          </w:tcPr>
          <w:p w14:paraId="416AB680" w14:textId="77777777" w:rsidR="00F20BC9" w:rsidRPr="00F20BC9" w:rsidRDefault="00F20BC9" w:rsidP="00893E85">
            <w:pPr>
              <w:pStyle w:val="Tabelltext"/>
            </w:pPr>
          </w:p>
        </w:tc>
        <w:tc>
          <w:tcPr>
            <w:tcW w:w="6114" w:type="dxa"/>
            <w:gridSpan w:val="4"/>
          </w:tcPr>
          <w:p w14:paraId="35E8278A" w14:textId="77777777" w:rsidR="00F20BC9" w:rsidRPr="00F20BC9" w:rsidRDefault="00F20BC9" w:rsidP="00893E85">
            <w:pPr>
              <w:pStyle w:val="Tabelltext"/>
            </w:pPr>
            <w:r w:rsidRPr="00F20BC9">
              <w:t xml:space="preserve">Adrenalin intravenöst kan ges om upprepade doser Adrenalin intramuskulärt ej gett effekt. </w:t>
            </w:r>
          </w:p>
          <w:p w14:paraId="2641A736" w14:textId="77777777" w:rsidR="00F20BC9" w:rsidRPr="00F20BC9" w:rsidRDefault="00F20BC9" w:rsidP="00893E85">
            <w:pPr>
              <w:pStyle w:val="Tabelltext"/>
            </w:pPr>
            <w:r w:rsidRPr="00F20BC9">
              <w:t xml:space="preserve">Ges långsamt under EKG-övervakning. Upprepade doser i det lägre dosintervallet är att föredra. Detta ger lägre risk för </w:t>
            </w:r>
            <w:proofErr w:type="spellStart"/>
            <w:r w:rsidRPr="00F20BC9">
              <w:t>kardiella</w:t>
            </w:r>
            <w:proofErr w:type="spellEnd"/>
            <w:r w:rsidRPr="00F20BC9">
              <w:t xml:space="preserve"> biverkningar.</w:t>
            </w:r>
          </w:p>
        </w:tc>
      </w:tr>
      <w:tr w:rsidR="00F20BC9" w:rsidRPr="00F20BC9" w14:paraId="354AFA63" w14:textId="77777777" w:rsidTr="00A936B3">
        <w:tc>
          <w:tcPr>
            <w:tcW w:w="1903" w:type="dxa"/>
          </w:tcPr>
          <w:p w14:paraId="2423F68C" w14:textId="77777777" w:rsidR="00F20BC9" w:rsidRPr="00F20BC9" w:rsidRDefault="00F20BC9" w:rsidP="00893E85">
            <w:pPr>
              <w:pStyle w:val="Tabelltext"/>
            </w:pPr>
            <w:r w:rsidRPr="00F20BC9">
              <w:t xml:space="preserve">Om dålig effekt av ovanstående misstänkt </w:t>
            </w:r>
            <w:proofErr w:type="spellStart"/>
            <w:r w:rsidRPr="00F20BC9">
              <w:t>acidos</w:t>
            </w:r>
            <w:proofErr w:type="spellEnd"/>
          </w:p>
        </w:tc>
        <w:tc>
          <w:tcPr>
            <w:tcW w:w="2341" w:type="dxa"/>
          </w:tcPr>
          <w:p w14:paraId="12B612A2" w14:textId="77777777" w:rsidR="00F20BC9" w:rsidRPr="00F20BC9" w:rsidRDefault="00F20BC9" w:rsidP="00893E85">
            <w:pPr>
              <w:pStyle w:val="Tabelltext"/>
            </w:pPr>
            <w:r w:rsidRPr="00F20BC9">
              <w:t xml:space="preserve">Infusion </w:t>
            </w:r>
            <w:proofErr w:type="spellStart"/>
            <w:r w:rsidRPr="00F20BC9">
              <w:rPr>
                <w:b/>
                <w:bCs/>
              </w:rPr>
              <w:t>Tribonat</w:t>
            </w:r>
            <w:proofErr w:type="spellEnd"/>
            <w:r w:rsidRPr="00F20BC9">
              <w:rPr>
                <w:b/>
                <w:bCs/>
              </w:rPr>
              <w:t>/Bikarbonat</w:t>
            </w:r>
          </w:p>
        </w:tc>
        <w:tc>
          <w:tcPr>
            <w:tcW w:w="3057" w:type="dxa"/>
            <w:gridSpan w:val="2"/>
          </w:tcPr>
          <w:p w14:paraId="6DF5860C" w14:textId="77777777" w:rsidR="00F20BC9" w:rsidRPr="00F20BC9" w:rsidRDefault="00F20BC9" w:rsidP="00893E85">
            <w:pPr>
              <w:pStyle w:val="Tabelltext"/>
            </w:pPr>
            <w:r w:rsidRPr="00F20BC9">
              <w:t>Intravenöst</w:t>
            </w:r>
          </w:p>
        </w:tc>
        <w:tc>
          <w:tcPr>
            <w:tcW w:w="3057" w:type="dxa"/>
            <w:gridSpan w:val="2"/>
          </w:tcPr>
          <w:p w14:paraId="7F247936" w14:textId="77777777" w:rsidR="00F20BC9" w:rsidRPr="00F20BC9" w:rsidRDefault="00F20BC9" w:rsidP="00893E85">
            <w:pPr>
              <w:pStyle w:val="Tabelltext"/>
            </w:pPr>
            <w:r w:rsidRPr="00F20BC9">
              <w:t>I samråd med narkosläkare, kontrollera blodgaser.</w:t>
            </w:r>
          </w:p>
        </w:tc>
      </w:tr>
    </w:tbl>
    <w:p w14:paraId="187485DA" w14:textId="1D2984AF" w:rsidR="00F20BC9" w:rsidRPr="00F20BC9" w:rsidRDefault="00F20BC9" w:rsidP="00ED1EAD">
      <w:pPr>
        <w:pStyle w:val="Punktlista"/>
        <w:spacing w:before="120"/>
      </w:pPr>
      <w:bookmarkStart w:id="46" w:name="_Behandlingstabell_-_Indikation"/>
      <w:bookmarkStart w:id="47" w:name="_Toc256000007"/>
      <w:bookmarkStart w:id="48" w:name="_Toc31636924"/>
      <w:bookmarkEnd w:id="46"/>
      <w:r w:rsidRPr="00F20BC9">
        <w:t xml:space="preserve">På vitalindikation är det tillåtet att ge adrenalin intravenöst </w:t>
      </w:r>
      <w:proofErr w:type="gramStart"/>
      <w:r w:rsidRPr="00F20BC9">
        <w:t>1-3</w:t>
      </w:r>
      <w:proofErr w:type="gramEnd"/>
      <w:r w:rsidRPr="00F20BC9">
        <w:t xml:space="preserve"> ml av 0,1 mg/ml (</w:t>
      </w:r>
      <w:r w:rsidRPr="00F20BC9">
        <w:rPr>
          <w:b/>
          <w:bCs/>
        </w:rPr>
        <w:t>OBS!</w:t>
      </w:r>
      <w:r w:rsidRPr="00F20BC9">
        <w:t xml:space="preserve"> Annan styrka), men patienten bör då vara uppkopplad för hjärtöver</w:t>
      </w:r>
      <w:r w:rsidR="00BD22B1">
        <w:softHyphen/>
      </w:r>
      <w:r w:rsidRPr="00F20BC9">
        <w:t>vakning med EKG och erhålla täta blodtrycks- och pulskontroller.</w:t>
      </w:r>
      <w:r w:rsidR="00BD22B1">
        <w:t xml:space="preserve"> </w:t>
      </w:r>
      <w:r w:rsidRPr="00F20BC9">
        <w:t>Vid vaket tillstånd är alltid intramuskulärt adrenalin säkrast.</w:t>
      </w:r>
    </w:p>
    <w:p w14:paraId="493FC686" w14:textId="77777777" w:rsidR="00F20BC9" w:rsidRPr="00F20BC9" w:rsidRDefault="00F20BC9" w:rsidP="001371EB">
      <w:pPr>
        <w:pStyle w:val="Punktlista"/>
      </w:pPr>
      <w:r w:rsidRPr="00F20BC9">
        <w:t xml:space="preserve">Hastig uppresning av patienter med </w:t>
      </w:r>
      <w:proofErr w:type="spellStart"/>
      <w:r w:rsidRPr="00F20BC9">
        <w:t>anafylaxi</w:t>
      </w:r>
      <w:proofErr w:type="spellEnd"/>
      <w:r w:rsidRPr="00F20BC9">
        <w:t xml:space="preserve"> kan leda till livshotande blodtrycksfall.</w:t>
      </w:r>
    </w:p>
    <w:p w14:paraId="2EAFE3B7" w14:textId="77777777" w:rsidR="00F20BC9" w:rsidRPr="00F20BC9" w:rsidRDefault="00F20BC9" w:rsidP="00A96040">
      <w:pPr>
        <w:pStyle w:val="Normalmedindrag"/>
      </w:pPr>
      <w:r w:rsidRPr="00F20BC9">
        <w:lastRenderedPageBreak/>
        <w:t xml:space="preserve">Intravenösa antihistaminer: </w:t>
      </w:r>
      <w:proofErr w:type="spellStart"/>
      <w:r w:rsidRPr="00F20BC9">
        <w:t>Tavegyl</w:t>
      </w:r>
      <w:proofErr w:type="spellEnd"/>
      <w:r w:rsidRPr="00F20BC9">
        <w:t xml:space="preserve"> ges endast om patienten ej kan ta </w:t>
      </w:r>
      <w:proofErr w:type="spellStart"/>
      <w:r w:rsidRPr="00F20BC9">
        <w:t>desloratadin</w:t>
      </w:r>
      <w:proofErr w:type="spellEnd"/>
      <w:r w:rsidRPr="00F20BC9">
        <w:t xml:space="preserve"> 5 mg, </w:t>
      </w:r>
      <w:proofErr w:type="spellStart"/>
      <w:r w:rsidRPr="00F20BC9">
        <w:t>loratadin</w:t>
      </w:r>
      <w:proofErr w:type="spellEnd"/>
      <w:r w:rsidRPr="00F20BC9">
        <w:t xml:space="preserve"> 10 mg, eller </w:t>
      </w:r>
      <w:proofErr w:type="spellStart"/>
      <w:r w:rsidRPr="00F20BC9">
        <w:t>cetiricin</w:t>
      </w:r>
      <w:proofErr w:type="spellEnd"/>
      <w:r w:rsidRPr="00F20BC9">
        <w:t xml:space="preserve"> 10 mg per os. </w:t>
      </w:r>
      <w:proofErr w:type="spellStart"/>
      <w:r w:rsidRPr="00F20BC9">
        <w:rPr>
          <w:b/>
          <w:bCs/>
        </w:rPr>
        <w:t>Caredin</w:t>
      </w:r>
      <w:proofErr w:type="spellEnd"/>
      <w:r w:rsidRPr="00F20BC9">
        <w:rPr>
          <w:b/>
          <w:bCs/>
        </w:rPr>
        <w:t xml:space="preserve"> 5 mg munlöslig är </w:t>
      </w:r>
      <w:proofErr w:type="spellStart"/>
      <w:r w:rsidRPr="00F20BC9">
        <w:rPr>
          <w:b/>
          <w:bCs/>
        </w:rPr>
        <w:t>desloratadin</w:t>
      </w:r>
      <w:proofErr w:type="spellEnd"/>
      <w:r w:rsidRPr="00F20BC9">
        <w:rPr>
          <w:b/>
          <w:bCs/>
        </w:rPr>
        <w:t>, läggs på tungan</w:t>
      </w:r>
      <w:r w:rsidRPr="00F20BC9">
        <w:t>. Antihistaminer kan blockera alfa-</w:t>
      </w:r>
      <w:proofErr w:type="spellStart"/>
      <w:r w:rsidRPr="00F20BC9">
        <w:t>adrenerga</w:t>
      </w:r>
      <w:proofErr w:type="spellEnd"/>
      <w:r w:rsidRPr="00F20BC9">
        <w:t xml:space="preserve"> receptorer och kan t.o.m. orsaka </w:t>
      </w:r>
      <w:proofErr w:type="spellStart"/>
      <w:r w:rsidRPr="00F20BC9">
        <w:t>hypotension</w:t>
      </w:r>
      <w:proofErr w:type="spellEnd"/>
      <w:r w:rsidRPr="00F20BC9">
        <w:t xml:space="preserve"> vid intravenös administrering. Ett anafylaktiskt blodtrycksfall bör därför ha hävts innan </w:t>
      </w:r>
      <w:proofErr w:type="spellStart"/>
      <w:r w:rsidRPr="00F20BC9">
        <w:t>Tavegyl</w:t>
      </w:r>
      <w:proofErr w:type="spellEnd"/>
      <w:r w:rsidRPr="00F20BC9">
        <w:t xml:space="preserve"> ges.</w:t>
      </w:r>
    </w:p>
    <w:p w14:paraId="2CBF9F93" w14:textId="77777777" w:rsidR="00F20BC9" w:rsidRPr="00F20BC9" w:rsidRDefault="00F20BC9" w:rsidP="00A96040">
      <w:pPr>
        <w:pStyle w:val="Normalmedindrag"/>
      </w:pPr>
      <w:r w:rsidRPr="00F20BC9">
        <w:rPr>
          <w:b/>
          <w:bCs/>
        </w:rPr>
        <w:t>OBS!</w:t>
      </w:r>
      <w:r w:rsidRPr="00F20BC9">
        <w:t xml:space="preserve"> Om patienten endast har nässelutslag (</w:t>
      </w:r>
      <w:proofErr w:type="spellStart"/>
      <w:r w:rsidRPr="00F20BC9">
        <w:t>urtikaria</w:t>
      </w:r>
      <w:proofErr w:type="spellEnd"/>
      <w:r w:rsidRPr="00F20BC9">
        <w:t xml:space="preserve">), d.v.s. </w:t>
      </w:r>
      <w:proofErr w:type="gramStart"/>
      <w:r w:rsidRPr="00F20BC9">
        <w:t>symtom begränsade</w:t>
      </w:r>
      <w:proofErr w:type="gramEnd"/>
      <w:r w:rsidRPr="00F20BC9">
        <w:t xml:space="preserve"> till huden och inga andra ”farliga” symtom, kan det räcka med enbart antihistaminbehandling i hög tablettdos (2+0+2). </w:t>
      </w:r>
      <w:r w:rsidRPr="00F20BC9">
        <w:rPr>
          <w:b/>
          <w:bCs/>
        </w:rPr>
        <w:t xml:space="preserve">Vid återkommande nässelutslag: Risk för överdiagnostisering av </w:t>
      </w:r>
      <w:proofErr w:type="spellStart"/>
      <w:r w:rsidRPr="00F20BC9">
        <w:rPr>
          <w:b/>
          <w:bCs/>
        </w:rPr>
        <w:t>anafylaxi</w:t>
      </w:r>
      <w:proofErr w:type="spellEnd"/>
      <w:r w:rsidRPr="00F20BC9">
        <w:rPr>
          <w:b/>
          <w:bCs/>
        </w:rPr>
        <w:t xml:space="preserve"> </w:t>
      </w:r>
      <w:r w:rsidRPr="00F20BC9">
        <w:t>[</w:t>
      </w:r>
      <w:proofErr w:type="gramStart"/>
      <w:r w:rsidRPr="00F20BC9">
        <w:t>31-32</w:t>
      </w:r>
      <w:proofErr w:type="gramEnd"/>
      <w:r w:rsidRPr="00F20BC9">
        <w:t>].</w:t>
      </w:r>
    </w:p>
    <w:p w14:paraId="4E5997CD" w14:textId="77777777" w:rsidR="00F20BC9" w:rsidRPr="00F20BC9" w:rsidRDefault="00F20BC9" w:rsidP="001371EB">
      <w:pPr>
        <w:pStyle w:val="Punktlista"/>
      </w:pPr>
      <w:r w:rsidRPr="00F20BC9">
        <w:t xml:space="preserve">Eventuellt Atropin 1 mg intravenöst mot </w:t>
      </w:r>
      <w:proofErr w:type="spellStart"/>
      <w:r w:rsidRPr="00F20BC9">
        <w:t>bronkospasm</w:t>
      </w:r>
      <w:proofErr w:type="spellEnd"/>
      <w:r w:rsidRPr="00F20BC9">
        <w:t xml:space="preserve">. </w:t>
      </w:r>
      <w:proofErr w:type="spellStart"/>
      <w:r w:rsidRPr="00F20BC9">
        <w:t>Blodgas</w:t>
      </w:r>
      <w:proofErr w:type="spellEnd"/>
      <w:r w:rsidRPr="00F20BC9">
        <w:t>.</w:t>
      </w:r>
    </w:p>
    <w:p w14:paraId="5E2185A9" w14:textId="77777777" w:rsidR="00F20BC9" w:rsidRPr="00F20BC9" w:rsidRDefault="00F20BC9" w:rsidP="001371EB">
      <w:pPr>
        <w:pStyle w:val="Punktlista"/>
      </w:pPr>
      <w:r w:rsidRPr="00F20BC9">
        <w:t xml:space="preserve">Vid betablockerad patient med resistent </w:t>
      </w:r>
      <w:proofErr w:type="spellStart"/>
      <w:r w:rsidRPr="00F20BC9">
        <w:t>hypotension</w:t>
      </w:r>
      <w:proofErr w:type="spellEnd"/>
      <w:r w:rsidRPr="00F20BC9">
        <w:t xml:space="preserve"> och bradykardi, överväg injektion </w:t>
      </w:r>
      <w:proofErr w:type="spellStart"/>
      <w:r w:rsidRPr="00F20BC9">
        <w:t>Glucagon</w:t>
      </w:r>
      <w:proofErr w:type="spellEnd"/>
      <w:r w:rsidRPr="00F20BC9">
        <w:t xml:space="preserve"> 1 mg/ml, </w:t>
      </w:r>
      <w:proofErr w:type="gramStart"/>
      <w:r w:rsidRPr="00F20BC9">
        <w:t>1-3</w:t>
      </w:r>
      <w:proofErr w:type="gramEnd"/>
      <w:r w:rsidRPr="00F20BC9">
        <w:t xml:space="preserve"> ml intravenöst (1 mg var 5:e minut) respektive Atropin.</w:t>
      </w:r>
    </w:p>
    <w:p w14:paraId="47119DB4" w14:textId="77777777" w:rsidR="00F20BC9" w:rsidRPr="00F20BC9" w:rsidRDefault="00F20BC9" w:rsidP="001371EB">
      <w:pPr>
        <w:pStyle w:val="Punktlista"/>
      </w:pPr>
      <w:r w:rsidRPr="00F20BC9">
        <w:rPr>
          <w:b/>
          <w:bCs/>
        </w:rPr>
        <w:t>Dokumentera reaktionen inklusive tidpunkt</w:t>
      </w:r>
      <w:r w:rsidRPr="00F20BC9">
        <w:t>.</w:t>
      </w:r>
    </w:p>
    <w:p w14:paraId="0C0BD50D" w14:textId="77777777" w:rsidR="00FE0B81" w:rsidRDefault="00FE0B81">
      <w:pPr>
        <w:spacing w:after="0" w:line="240" w:lineRule="auto"/>
        <w:ind w:right="0"/>
        <w:rPr>
          <w:rFonts w:asciiTheme="majorHAnsi" w:eastAsiaTheme="majorEastAsia" w:hAnsiTheme="majorHAnsi" w:cstheme="majorBidi"/>
          <w:bCs/>
          <w:color w:val="000000" w:themeColor="text1"/>
          <w:sz w:val="36"/>
        </w:rPr>
      </w:pPr>
      <w:bookmarkStart w:id="49" w:name="_Toc256000020"/>
      <w:bookmarkStart w:id="50" w:name="_Toc98317067"/>
      <w:bookmarkStart w:id="51" w:name="_Toc98329337"/>
      <w:r>
        <w:br w:type="page"/>
      </w:r>
    </w:p>
    <w:p w14:paraId="09DBDF28" w14:textId="4AD5EDAD" w:rsidR="00F20BC9" w:rsidRPr="00F20BC9" w:rsidRDefault="00F20BC9" w:rsidP="00FE0B81">
      <w:pPr>
        <w:pStyle w:val="Rubrik3"/>
      </w:pPr>
      <w:bookmarkStart w:id="52" w:name="_Toc160800357"/>
      <w:r w:rsidRPr="00F20BC9">
        <w:lastRenderedPageBreak/>
        <w:t xml:space="preserve">Gradering av </w:t>
      </w:r>
      <w:proofErr w:type="spellStart"/>
      <w:r w:rsidRPr="00F20BC9">
        <w:t>anafylaxi</w:t>
      </w:r>
      <w:proofErr w:type="spellEnd"/>
      <w:r w:rsidRPr="00F20BC9">
        <w:t xml:space="preserve"> i 3 svårighetsgrader</w:t>
      </w:r>
      <w:bookmarkEnd w:id="47"/>
      <w:bookmarkEnd w:id="48"/>
      <w:bookmarkEnd w:id="49"/>
      <w:bookmarkEnd w:id="50"/>
      <w:bookmarkEnd w:id="51"/>
      <w:bookmarkEnd w:id="52"/>
    </w:p>
    <w:p w14:paraId="4FED0125" w14:textId="2FA84A80" w:rsidR="00F20BC9" w:rsidRPr="00F20BC9" w:rsidRDefault="00F20BC9" w:rsidP="003C7524">
      <w:pPr>
        <w:keepNext/>
        <w:keepLines/>
        <w:ind w:right="0"/>
        <w:rPr>
          <w:szCs w:val="20"/>
        </w:rPr>
      </w:pPr>
      <w:r w:rsidRPr="00F20BC9">
        <w:rPr>
          <w:szCs w:val="20"/>
        </w:rPr>
        <w:t xml:space="preserve">Bedöm graden av </w:t>
      </w:r>
      <w:proofErr w:type="spellStart"/>
      <w:r w:rsidRPr="00F20BC9">
        <w:rPr>
          <w:szCs w:val="20"/>
        </w:rPr>
        <w:t>anafylaxi</w:t>
      </w:r>
      <w:proofErr w:type="spellEnd"/>
      <w:r w:rsidRPr="00F20BC9">
        <w:rPr>
          <w:szCs w:val="20"/>
        </w:rPr>
        <w:t xml:space="preserve"> (grad </w:t>
      </w:r>
      <w:proofErr w:type="gramStart"/>
      <w:r w:rsidRPr="00F20BC9">
        <w:rPr>
          <w:szCs w:val="20"/>
        </w:rPr>
        <w:t>1-3</w:t>
      </w:r>
      <w:proofErr w:type="gramEnd"/>
      <w:r w:rsidRPr="00F20BC9">
        <w:rPr>
          <w:szCs w:val="20"/>
        </w:rPr>
        <w:t>) enligt tabell nedan. Graden bestäms från det organsystem som har den svåraste nivån. I regel är minst 2 organsystem engagerade (</w:t>
      </w:r>
      <w:proofErr w:type="gramStart"/>
      <w:r w:rsidRPr="00F20BC9">
        <w:rPr>
          <w:szCs w:val="20"/>
        </w:rPr>
        <w:t>t.ex.</w:t>
      </w:r>
      <w:proofErr w:type="gramEnd"/>
      <w:r w:rsidRPr="00F20BC9">
        <w:rPr>
          <w:szCs w:val="20"/>
        </w:rPr>
        <w:t xml:space="preserve"> hud + cirkulation eller hud + andningsvägar eller hud + buksymtom), men i enstaka fall ses t.ex. isolerat blodtrycksfall. </w:t>
      </w:r>
      <w:r w:rsidRPr="00F20BC9">
        <w:rPr>
          <w:b/>
          <w:bCs/>
          <w:szCs w:val="20"/>
        </w:rPr>
        <w:t>OBS!</w:t>
      </w:r>
      <w:r w:rsidRPr="00F20BC9">
        <w:rPr>
          <w:szCs w:val="20"/>
        </w:rPr>
        <w:t xml:space="preserve"> </w:t>
      </w:r>
      <w:proofErr w:type="spellStart"/>
      <w:r w:rsidRPr="00F20BC9">
        <w:rPr>
          <w:b/>
          <w:bCs/>
          <w:szCs w:val="20"/>
        </w:rPr>
        <w:t>Anafylaxi</w:t>
      </w:r>
      <w:proofErr w:type="spellEnd"/>
      <w:r w:rsidRPr="00F20BC9">
        <w:rPr>
          <w:b/>
          <w:bCs/>
          <w:szCs w:val="20"/>
        </w:rPr>
        <w:t xml:space="preserve"> kan förekomma utan hudsymtom!</w:t>
      </w:r>
      <w:r w:rsidRPr="00F20BC9">
        <w:rPr>
          <w:szCs w:val="20"/>
        </w:rPr>
        <w:t xml:space="preserve"> [</w:t>
      </w:r>
      <w:proofErr w:type="gramStart"/>
      <w:r w:rsidRPr="00F20BC9">
        <w:rPr>
          <w:szCs w:val="20"/>
        </w:rPr>
        <w:t>2-4</w:t>
      </w:r>
      <w:proofErr w:type="gramEnd"/>
      <w:r w:rsidRPr="00F20BC9">
        <w:rPr>
          <w:szCs w:val="20"/>
        </w:rPr>
        <w:t xml:space="preserve">]. </w:t>
      </w:r>
      <w:r w:rsidRPr="00F20BC9">
        <w:rPr>
          <w:b/>
          <w:bCs/>
          <w:szCs w:val="20"/>
        </w:rPr>
        <w:t xml:space="preserve">Stor risk att </w:t>
      </w:r>
      <w:proofErr w:type="spellStart"/>
      <w:r w:rsidRPr="00F20BC9">
        <w:rPr>
          <w:b/>
          <w:bCs/>
          <w:szCs w:val="20"/>
        </w:rPr>
        <w:t>anafylaxi</w:t>
      </w:r>
      <w:proofErr w:type="spellEnd"/>
      <w:r w:rsidRPr="00F20BC9">
        <w:rPr>
          <w:b/>
          <w:bCs/>
          <w:szCs w:val="20"/>
        </w:rPr>
        <w:t>-diagnos missas</w:t>
      </w:r>
      <w:r w:rsidRPr="00F20BC9">
        <w:rPr>
          <w:szCs w:val="20"/>
        </w:rPr>
        <w:t xml:space="preserve">. Enbart återkommande hudsymtom eller </w:t>
      </w:r>
      <w:proofErr w:type="spellStart"/>
      <w:r w:rsidRPr="00F20BC9">
        <w:rPr>
          <w:szCs w:val="20"/>
        </w:rPr>
        <w:t>Quicke</w:t>
      </w:r>
      <w:proofErr w:type="spellEnd"/>
      <w:r w:rsidRPr="00F20BC9">
        <w:rPr>
          <w:szCs w:val="20"/>
        </w:rPr>
        <w:t>-ödem, har ofta annan etiologi än allergi.</w:t>
      </w:r>
    </w:p>
    <w:tbl>
      <w:tblPr>
        <w:tblpPr w:leftFromText="142" w:rightFromText="142" w:vertAnchor="text" w:horzAnchor="margin" w:tblpY="86"/>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91"/>
        <w:gridCol w:w="1204"/>
        <w:gridCol w:w="1734"/>
        <w:gridCol w:w="2133"/>
        <w:gridCol w:w="1204"/>
        <w:gridCol w:w="1204"/>
        <w:gridCol w:w="1336"/>
      </w:tblGrid>
      <w:tr w:rsidR="00F20BC9" w:rsidRPr="00F20BC9" w14:paraId="4583EBE6" w14:textId="77777777" w:rsidTr="008370A8">
        <w:trPr>
          <w:cantSplit/>
        </w:trPr>
        <w:tc>
          <w:tcPr>
            <w:tcW w:w="1475" w:type="dxa"/>
            <w:shd w:val="clear" w:color="auto" w:fill="E7E6E6"/>
          </w:tcPr>
          <w:p w14:paraId="28CB27F0" w14:textId="77777777" w:rsidR="00F20BC9" w:rsidRPr="0043279E" w:rsidRDefault="00F20BC9" w:rsidP="0043279E">
            <w:pPr>
              <w:pStyle w:val="Tabelltext"/>
              <w:rPr>
                <w:b/>
                <w:bCs/>
              </w:rPr>
            </w:pPr>
            <w:r w:rsidRPr="0043279E">
              <w:rPr>
                <w:b/>
                <w:bCs/>
              </w:rPr>
              <w:t xml:space="preserve">Diagnos </w:t>
            </w:r>
            <w:r w:rsidRPr="0043279E">
              <w:rPr>
                <w:b/>
                <w:bCs/>
              </w:rPr>
              <w:br/>
              <w:t>Kod</w:t>
            </w:r>
          </w:p>
        </w:tc>
        <w:tc>
          <w:tcPr>
            <w:tcW w:w="1276" w:type="dxa"/>
            <w:shd w:val="clear" w:color="auto" w:fill="E7E6E6"/>
          </w:tcPr>
          <w:p w14:paraId="14C7D8AA" w14:textId="77777777" w:rsidR="00F20BC9" w:rsidRPr="0043279E" w:rsidRDefault="00F20BC9" w:rsidP="0043279E">
            <w:pPr>
              <w:pStyle w:val="Tabelltext"/>
              <w:rPr>
                <w:b/>
                <w:bCs/>
              </w:rPr>
            </w:pPr>
            <w:r w:rsidRPr="0043279E">
              <w:rPr>
                <w:b/>
                <w:bCs/>
              </w:rPr>
              <w:t>Hud</w:t>
            </w:r>
          </w:p>
        </w:tc>
        <w:tc>
          <w:tcPr>
            <w:tcW w:w="1842" w:type="dxa"/>
            <w:shd w:val="clear" w:color="auto" w:fill="E7E6E6"/>
          </w:tcPr>
          <w:p w14:paraId="51CFA741" w14:textId="77777777" w:rsidR="00F20BC9" w:rsidRPr="0043279E" w:rsidRDefault="00F20BC9" w:rsidP="0043279E">
            <w:pPr>
              <w:pStyle w:val="Tabelltext"/>
              <w:rPr>
                <w:b/>
                <w:bCs/>
              </w:rPr>
            </w:pPr>
            <w:r w:rsidRPr="0043279E">
              <w:rPr>
                <w:b/>
                <w:bCs/>
              </w:rPr>
              <w:t>Ögon och näsa</w:t>
            </w:r>
          </w:p>
        </w:tc>
        <w:tc>
          <w:tcPr>
            <w:tcW w:w="2268" w:type="dxa"/>
            <w:shd w:val="clear" w:color="auto" w:fill="E7E6E6"/>
          </w:tcPr>
          <w:p w14:paraId="26505CFB" w14:textId="77777777" w:rsidR="00F20BC9" w:rsidRPr="0043279E" w:rsidRDefault="00F20BC9" w:rsidP="0043279E">
            <w:pPr>
              <w:pStyle w:val="Tabelltext"/>
              <w:rPr>
                <w:b/>
                <w:bCs/>
              </w:rPr>
            </w:pPr>
            <w:r w:rsidRPr="0043279E">
              <w:rPr>
                <w:b/>
                <w:bCs/>
              </w:rPr>
              <w:t>Mun och mag-tarm</w:t>
            </w:r>
          </w:p>
        </w:tc>
        <w:tc>
          <w:tcPr>
            <w:tcW w:w="1276" w:type="dxa"/>
            <w:shd w:val="clear" w:color="auto" w:fill="E7E6E6"/>
          </w:tcPr>
          <w:p w14:paraId="740BC007" w14:textId="77777777" w:rsidR="00F20BC9" w:rsidRPr="0043279E" w:rsidRDefault="00F20BC9" w:rsidP="0043279E">
            <w:pPr>
              <w:pStyle w:val="Tabelltext"/>
              <w:rPr>
                <w:b/>
                <w:bCs/>
              </w:rPr>
            </w:pPr>
            <w:r w:rsidRPr="0043279E">
              <w:rPr>
                <w:b/>
                <w:bCs/>
              </w:rPr>
              <w:t>Luftvägar</w:t>
            </w:r>
          </w:p>
        </w:tc>
        <w:tc>
          <w:tcPr>
            <w:tcW w:w="1276" w:type="dxa"/>
            <w:shd w:val="clear" w:color="auto" w:fill="E7E6E6"/>
          </w:tcPr>
          <w:p w14:paraId="01D2CB40" w14:textId="77777777" w:rsidR="00F20BC9" w:rsidRPr="0043279E" w:rsidRDefault="00F20BC9" w:rsidP="0043279E">
            <w:pPr>
              <w:pStyle w:val="Tabelltext"/>
              <w:rPr>
                <w:b/>
                <w:bCs/>
              </w:rPr>
            </w:pPr>
            <w:r w:rsidRPr="0043279E">
              <w:rPr>
                <w:b/>
                <w:bCs/>
              </w:rPr>
              <w:t>Hjärta-kärl</w:t>
            </w:r>
          </w:p>
        </w:tc>
        <w:tc>
          <w:tcPr>
            <w:tcW w:w="1417" w:type="dxa"/>
            <w:shd w:val="clear" w:color="auto" w:fill="E7E6E6"/>
          </w:tcPr>
          <w:p w14:paraId="0ECC0FB9" w14:textId="77777777" w:rsidR="00F20BC9" w:rsidRPr="0043279E" w:rsidRDefault="00F20BC9" w:rsidP="0043279E">
            <w:pPr>
              <w:pStyle w:val="Tabelltext"/>
              <w:rPr>
                <w:b/>
                <w:bCs/>
              </w:rPr>
            </w:pPr>
            <w:r w:rsidRPr="0043279E">
              <w:rPr>
                <w:b/>
                <w:bCs/>
              </w:rPr>
              <w:t>Allmänna symtom</w:t>
            </w:r>
          </w:p>
        </w:tc>
      </w:tr>
      <w:tr w:rsidR="00F20BC9" w:rsidRPr="00F20BC9" w14:paraId="4C634053" w14:textId="77777777" w:rsidTr="008370A8">
        <w:trPr>
          <w:cantSplit/>
        </w:trPr>
        <w:tc>
          <w:tcPr>
            <w:tcW w:w="1475" w:type="dxa"/>
            <w:shd w:val="clear" w:color="auto" w:fill="auto"/>
          </w:tcPr>
          <w:p w14:paraId="70FDB02B" w14:textId="65330647" w:rsidR="00F20BC9" w:rsidRDefault="00F20BC9" w:rsidP="0043279E">
            <w:pPr>
              <w:pStyle w:val="Tabelltext"/>
            </w:pPr>
            <w:r w:rsidRPr="0043279E">
              <w:t>Överkänslig-hets-/allergi</w:t>
            </w:r>
            <w:r w:rsidR="00B40F06">
              <w:softHyphen/>
            </w:r>
            <w:r w:rsidRPr="0043279E">
              <w:t>reaktion</w:t>
            </w:r>
            <w:r w:rsidRPr="0043279E">
              <w:br/>
            </w:r>
          </w:p>
          <w:p w14:paraId="0EDADC6D" w14:textId="77777777" w:rsidR="00B40F06" w:rsidRPr="0043279E" w:rsidRDefault="00B40F06" w:rsidP="0043279E">
            <w:pPr>
              <w:pStyle w:val="Tabelltext"/>
            </w:pPr>
          </w:p>
          <w:p w14:paraId="4F5C44C0" w14:textId="77777777" w:rsidR="00F20BC9" w:rsidRPr="0043279E" w:rsidRDefault="00F20BC9" w:rsidP="0043279E">
            <w:pPr>
              <w:pStyle w:val="Tabelltext"/>
            </w:pPr>
            <w:r w:rsidRPr="0043279E">
              <w:t xml:space="preserve">Ej </w:t>
            </w:r>
            <w:proofErr w:type="spellStart"/>
            <w:r w:rsidRPr="0043279E">
              <w:t>anafylaxi</w:t>
            </w:r>
            <w:proofErr w:type="spellEnd"/>
          </w:p>
        </w:tc>
        <w:tc>
          <w:tcPr>
            <w:tcW w:w="1276" w:type="dxa"/>
            <w:shd w:val="clear" w:color="auto" w:fill="auto"/>
          </w:tcPr>
          <w:p w14:paraId="21C65F94" w14:textId="5DD1DB00" w:rsidR="00F20BC9" w:rsidRPr="0043279E" w:rsidRDefault="00F20BC9" w:rsidP="0043279E">
            <w:pPr>
              <w:pStyle w:val="Tabelltext"/>
            </w:pPr>
            <w:r w:rsidRPr="0043279E">
              <w:t>Klåda</w:t>
            </w:r>
            <w:r w:rsidR="0011007E">
              <w:t>.</w:t>
            </w:r>
          </w:p>
          <w:p w14:paraId="524D84D6" w14:textId="56CB6757" w:rsidR="00F20BC9" w:rsidRPr="0043279E" w:rsidRDefault="00F20BC9" w:rsidP="0043279E">
            <w:pPr>
              <w:pStyle w:val="Tabelltext"/>
            </w:pPr>
            <w:r w:rsidRPr="0043279E">
              <w:t>Flush</w:t>
            </w:r>
            <w:r w:rsidR="0011007E">
              <w:t>.</w:t>
            </w:r>
          </w:p>
          <w:p w14:paraId="02EDD7F1" w14:textId="54486B5E" w:rsidR="00F20BC9" w:rsidRPr="0043279E" w:rsidRDefault="00F20BC9" w:rsidP="0043279E">
            <w:pPr>
              <w:pStyle w:val="Tabelltext"/>
            </w:pPr>
            <w:proofErr w:type="spellStart"/>
            <w:r w:rsidRPr="0043279E">
              <w:t>Urtikaria</w:t>
            </w:r>
            <w:proofErr w:type="spellEnd"/>
            <w:r w:rsidR="0011007E">
              <w:t>.</w:t>
            </w:r>
          </w:p>
          <w:p w14:paraId="7981F5FD" w14:textId="794BCB2A" w:rsidR="00F20BC9" w:rsidRPr="0043279E" w:rsidRDefault="00F20BC9" w:rsidP="0043279E">
            <w:pPr>
              <w:pStyle w:val="Tabelltext"/>
            </w:pPr>
            <w:proofErr w:type="spellStart"/>
            <w:r w:rsidRPr="0043279E">
              <w:t>Angioödem</w:t>
            </w:r>
            <w:proofErr w:type="spellEnd"/>
            <w:r w:rsidR="0011007E">
              <w:t>.</w:t>
            </w:r>
          </w:p>
        </w:tc>
        <w:tc>
          <w:tcPr>
            <w:tcW w:w="1842" w:type="dxa"/>
            <w:shd w:val="clear" w:color="auto" w:fill="auto"/>
          </w:tcPr>
          <w:p w14:paraId="09C6E905" w14:textId="77777777" w:rsidR="00F20BC9" w:rsidRPr="0043279E" w:rsidRDefault="00F20BC9" w:rsidP="0043279E">
            <w:pPr>
              <w:pStyle w:val="Tabelltext"/>
            </w:pPr>
            <w:r w:rsidRPr="0043279E">
              <w:t>Konjunktivit med klåda och rodnad.</w:t>
            </w:r>
          </w:p>
          <w:p w14:paraId="2EE623D5" w14:textId="77777777" w:rsidR="00F20BC9" w:rsidRPr="0043279E" w:rsidRDefault="00F20BC9" w:rsidP="0043279E">
            <w:pPr>
              <w:pStyle w:val="Tabelltext"/>
            </w:pPr>
            <w:r w:rsidRPr="0043279E">
              <w:t>Rinit med klåda, nästäppa, rinnsnuva, nysningar.</w:t>
            </w:r>
          </w:p>
        </w:tc>
        <w:tc>
          <w:tcPr>
            <w:tcW w:w="2268" w:type="dxa"/>
            <w:shd w:val="clear" w:color="auto" w:fill="auto"/>
          </w:tcPr>
          <w:p w14:paraId="4DF97300" w14:textId="77777777" w:rsidR="00F20BC9" w:rsidRPr="0043279E" w:rsidRDefault="00F20BC9" w:rsidP="0043279E">
            <w:pPr>
              <w:pStyle w:val="Tabelltext"/>
            </w:pPr>
            <w:r w:rsidRPr="0043279E">
              <w:t>Munklåda.</w:t>
            </w:r>
          </w:p>
          <w:p w14:paraId="75BDB1EB" w14:textId="77777777" w:rsidR="00F20BC9" w:rsidRPr="0043279E" w:rsidRDefault="00F20BC9" w:rsidP="0043279E">
            <w:pPr>
              <w:pStyle w:val="Tabelltext"/>
            </w:pPr>
            <w:r w:rsidRPr="0043279E">
              <w:t>Läppsvullnad.</w:t>
            </w:r>
          </w:p>
          <w:p w14:paraId="095F8C4B" w14:textId="77777777" w:rsidR="00F20BC9" w:rsidRPr="0043279E" w:rsidRDefault="00F20BC9" w:rsidP="0043279E">
            <w:pPr>
              <w:pStyle w:val="Tabelltext"/>
            </w:pPr>
            <w:r w:rsidRPr="0043279E">
              <w:t>Svullnadskänsla i mun och svalg.</w:t>
            </w:r>
          </w:p>
          <w:p w14:paraId="5DBB85C5" w14:textId="02284453" w:rsidR="00F20BC9" w:rsidRPr="0043279E" w:rsidRDefault="00F20BC9" w:rsidP="0011007E">
            <w:pPr>
              <w:pStyle w:val="Tabelltext"/>
            </w:pPr>
            <w:r w:rsidRPr="0043279E">
              <w:t xml:space="preserve">Illamående, </w:t>
            </w:r>
            <w:r w:rsidRPr="0043279E">
              <w:br/>
              <w:t>lindrig buksmärta, enstaka kräkningar</w:t>
            </w:r>
          </w:p>
        </w:tc>
        <w:tc>
          <w:tcPr>
            <w:tcW w:w="1276" w:type="dxa"/>
            <w:shd w:val="clear" w:color="auto" w:fill="auto"/>
          </w:tcPr>
          <w:p w14:paraId="7E07C322" w14:textId="77777777" w:rsidR="00F20BC9" w:rsidRPr="0043279E" w:rsidRDefault="00F20BC9" w:rsidP="0043279E">
            <w:pPr>
              <w:pStyle w:val="Tabelltext"/>
            </w:pPr>
          </w:p>
        </w:tc>
        <w:tc>
          <w:tcPr>
            <w:tcW w:w="1276" w:type="dxa"/>
            <w:shd w:val="clear" w:color="auto" w:fill="auto"/>
          </w:tcPr>
          <w:p w14:paraId="0AD5F720" w14:textId="77777777" w:rsidR="00F20BC9" w:rsidRPr="0043279E" w:rsidRDefault="00F20BC9" w:rsidP="0043279E">
            <w:pPr>
              <w:pStyle w:val="Tabelltext"/>
            </w:pPr>
          </w:p>
        </w:tc>
        <w:tc>
          <w:tcPr>
            <w:tcW w:w="1417" w:type="dxa"/>
            <w:shd w:val="clear" w:color="auto" w:fill="auto"/>
          </w:tcPr>
          <w:p w14:paraId="4D763F32" w14:textId="77777777" w:rsidR="00F20BC9" w:rsidRPr="0043279E" w:rsidRDefault="00F20BC9" w:rsidP="0043279E">
            <w:pPr>
              <w:pStyle w:val="Tabelltext"/>
            </w:pPr>
            <w:r w:rsidRPr="0043279E">
              <w:t>Trötthet</w:t>
            </w:r>
          </w:p>
        </w:tc>
      </w:tr>
      <w:tr w:rsidR="00F20BC9" w:rsidRPr="00F20BC9" w14:paraId="3586E713" w14:textId="77777777" w:rsidTr="008370A8">
        <w:trPr>
          <w:cantSplit/>
        </w:trPr>
        <w:tc>
          <w:tcPr>
            <w:tcW w:w="1475" w:type="dxa"/>
            <w:shd w:val="clear" w:color="auto" w:fill="auto"/>
          </w:tcPr>
          <w:p w14:paraId="16A77DDB" w14:textId="77777777" w:rsidR="00F20BC9" w:rsidRPr="0043279E" w:rsidRDefault="00F20BC9" w:rsidP="0043279E">
            <w:pPr>
              <w:pStyle w:val="Tabelltext"/>
            </w:pPr>
            <w:proofErr w:type="spellStart"/>
            <w:r w:rsidRPr="0043279E">
              <w:t>Anafylaxi</w:t>
            </w:r>
            <w:proofErr w:type="spellEnd"/>
            <w:r w:rsidRPr="0043279E">
              <w:t xml:space="preserve"> </w:t>
            </w:r>
            <w:r w:rsidRPr="0043279E">
              <w:br/>
              <w:t>Grad 1</w:t>
            </w:r>
          </w:p>
        </w:tc>
        <w:tc>
          <w:tcPr>
            <w:tcW w:w="1276" w:type="dxa"/>
            <w:shd w:val="clear" w:color="auto" w:fill="auto"/>
          </w:tcPr>
          <w:p w14:paraId="3293FBE6" w14:textId="77777777" w:rsidR="00F20BC9" w:rsidRPr="0043279E" w:rsidRDefault="00F20BC9" w:rsidP="0043279E">
            <w:pPr>
              <w:pStyle w:val="Tabelltext"/>
            </w:pPr>
            <w:r w:rsidRPr="0043279E">
              <w:sym w:font="Symbol" w:char="F0AF"/>
            </w:r>
            <w:r w:rsidRPr="0043279E">
              <w:sym w:font="Symbol" w:char="F020"/>
            </w:r>
          </w:p>
          <w:p w14:paraId="72336903" w14:textId="77777777" w:rsidR="00F20BC9" w:rsidRPr="0043279E" w:rsidRDefault="00F20BC9" w:rsidP="0043279E">
            <w:pPr>
              <w:pStyle w:val="Tabelltext"/>
            </w:pPr>
          </w:p>
        </w:tc>
        <w:tc>
          <w:tcPr>
            <w:tcW w:w="1842" w:type="dxa"/>
            <w:shd w:val="clear" w:color="auto" w:fill="auto"/>
          </w:tcPr>
          <w:p w14:paraId="39509CB7" w14:textId="77777777" w:rsidR="00F20BC9" w:rsidRPr="0043279E" w:rsidRDefault="00F20BC9" w:rsidP="0043279E">
            <w:pPr>
              <w:pStyle w:val="Tabelltext"/>
            </w:pPr>
            <w:r w:rsidRPr="0043279E">
              <w:sym w:font="Symbol" w:char="F0AF"/>
            </w:r>
            <w:r w:rsidRPr="0043279E">
              <w:sym w:font="Symbol" w:char="F020"/>
            </w:r>
          </w:p>
          <w:p w14:paraId="6498DF70" w14:textId="77777777" w:rsidR="00F20BC9" w:rsidRPr="0043279E" w:rsidRDefault="00F20BC9" w:rsidP="0043279E">
            <w:pPr>
              <w:pStyle w:val="Tabelltext"/>
            </w:pPr>
          </w:p>
        </w:tc>
        <w:tc>
          <w:tcPr>
            <w:tcW w:w="2268" w:type="dxa"/>
            <w:shd w:val="clear" w:color="auto" w:fill="auto"/>
          </w:tcPr>
          <w:p w14:paraId="57C0A60D" w14:textId="77777777" w:rsidR="00F20BC9" w:rsidRPr="0043279E" w:rsidRDefault="00F20BC9" w:rsidP="0043279E">
            <w:pPr>
              <w:pStyle w:val="Tabelltext"/>
            </w:pPr>
            <w:r w:rsidRPr="0043279E">
              <w:t>Ökande buksmärta.</w:t>
            </w:r>
          </w:p>
          <w:p w14:paraId="14AF1CD0" w14:textId="77777777" w:rsidR="00F20BC9" w:rsidRPr="0043279E" w:rsidRDefault="00F20BC9" w:rsidP="0043279E">
            <w:pPr>
              <w:pStyle w:val="Tabelltext"/>
            </w:pPr>
            <w:r w:rsidRPr="0043279E">
              <w:t>Diarré.</w:t>
            </w:r>
          </w:p>
          <w:p w14:paraId="1CF1141B" w14:textId="77777777" w:rsidR="00F20BC9" w:rsidRPr="0043279E" w:rsidRDefault="00F20BC9" w:rsidP="0043279E">
            <w:pPr>
              <w:pStyle w:val="Tabelltext"/>
            </w:pPr>
            <w:r w:rsidRPr="0043279E">
              <w:t>Upprepade kräkningar.</w:t>
            </w:r>
          </w:p>
        </w:tc>
        <w:tc>
          <w:tcPr>
            <w:tcW w:w="1276" w:type="dxa"/>
            <w:shd w:val="clear" w:color="auto" w:fill="auto"/>
          </w:tcPr>
          <w:p w14:paraId="679D20A7" w14:textId="77777777" w:rsidR="00F20BC9" w:rsidRPr="0043279E" w:rsidRDefault="00F20BC9" w:rsidP="0043279E">
            <w:pPr>
              <w:pStyle w:val="Tabelltext"/>
            </w:pPr>
            <w:r w:rsidRPr="0043279E">
              <w:t>Heshet.</w:t>
            </w:r>
          </w:p>
          <w:p w14:paraId="11FAA680" w14:textId="2D40BA04" w:rsidR="00F20BC9" w:rsidRPr="0043279E" w:rsidRDefault="00F20BC9" w:rsidP="0043279E">
            <w:pPr>
              <w:pStyle w:val="Tabelltext"/>
            </w:pPr>
            <w:r w:rsidRPr="0043279E">
              <w:t xml:space="preserve">Lindrig </w:t>
            </w:r>
            <w:proofErr w:type="spellStart"/>
            <w:r w:rsidRPr="0043279E">
              <w:t>bronkob</w:t>
            </w:r>
            <w:r w:rsidR="006874AF">
              <w:t>-</w:t>
            </w:r>
            <w:r w:rsidRPr="0043279E">
              <w:t>struktion</w:t>
            </w:r>
            <w:proofErr w:type="spellEnd"/>
            <w:r w:rsidRPr="0043279E">
              <w:t>.</w:t>
            </w:r>
          </w:p>
        </w:tc>
        <w:tc>
          <w:tcPr>
            <w:tcW w:w="1276" w:type="dxa"/>
            <w:shd w:val="clear" w:color="auto" w:fill="auto"/>
          </w:tcPr>
          <w:p w14:paraId="57D22B54" w14:textId="77777777" w:rsidR="00F20BC9" w:rsidRPr="0043279E" w:rsidRDefault="00F20BC9" w:rsidP="0043279E">
            <w:pPr>
              <w:pStyle w:val="Tabelltext"/>
            </w:pPr>
          </w:p>
        </w:tc>
        <w:tc>
          <w:tcPr>
            <w:tcW w:w="1417" w:type="dxa"/>
            <w:shd w:val="clear" w:color="auto" w:fill="auto"/>
          </w:tcPr>
          <w:p w14:paraId="34D52383" w14:textId="77777777" w:rsidR="00F20BC9" w:rsidRPr="0043279E" w:rsidRDefault="00F20BC9" w:rsidP="0043279E">
            <w:pPr>
              <w:pStyle w:val="Tabelltext"/>
            </w:pPr>
            <w:r w:rsidRPr="0043279E">
              <w:t>Uttalad trötthet.</w:t>
            </w:r>
          </w:p>
          <w:p w14:paraId="6FC024F0" w14:textId="77777777" w:rsidR="00F20BC9" w:rsidRPr="0043279E" w:rsidRDefault="00F20BC9" w:rsidP="0043279E">
            <w:pPr>
              <w:pStyle w:val="Tabelltext"/>
            </w:pPr>
            <w:r w:rsidRPr="0043279E">
              <w:t>Rastlöshet.</w:t>
            </w:r>
          </w:p>
          <w:p w14:paraId="39560EEA" w14:textId="77777777" w:rsidR="00F20BC9" w:rsidRPr="0043279E" w:rsidRDefault="00F20BC9" w:rsidP="0043279E">
            <w:pPr>
              <w:pStyle w:val="Tabelltext"/>
            </w:pPr>
            <w:r w:rsidRPr="0043279E">
              <w:t>Oro.</w:t>
            </w:r>
          </w:p>
        </w:tc>
      </w:tr>
      <w:tr w:rsidR="00F20BC9" w:rsidRPr="00F20BC9" w14:paraId="2D87FB0D" w14:textId="77777777" w:rsidTr="008370A8">
        <w:trPr>
          <w:cantSplit/>
        </w:trPr>
        <w:tc>
          <w:tcPr>
            <w:tcW w:w="1475" w:type="dxa"/>
            <w:shd w:val="clear" w:color="auto" w:fill="auto"/>
          </w:tcPr>
          <w:p w14:paraId="135B82FF" w14:textId="77777777" w:rsidR="00F20BC9" w:rsidRPr="0043279E" w:rsidRDefault="00F20BC9" w:rsidP="0043279E">
            <w:pPr>
              <w:pStyle w:val="Tabelltext"/>
            </w:pPr>
            <w:proofErr w:type="spellStart"/>
            <w:r w:rsidRPr="0043279E">
              <w:t>Anafylaxi</w:t>
            </w:r>
            <w:proofErr w:type="spellEnd"/>
            <w:r w:rsidRPr="0043279E">
              <w:t xml:space="preserve"> </w:t>
            </w:r>
            <w:r w:rsidRPr="0043279E">
              <w:br/>
              <w:t>Grad 2</w:t>
            </w:r>
          </w:p>
        </w:tc>
        <w:tc>
          <w:tcPr>
            <w:tcW w:w="1276" w:type="dxa"/>
            <w:shd w:val="clear" w:color="auto" w:fill="auto"/>
          </w:tcPr>
          <w:p w14:paraId="38BD21DE" w14:textId="77777777" w:rsidR="00F20BC9" w:rsidRPr="0043279E" w:rsidRDefault="00F20BC9" w:rsidP="0043279E">
            <w:pPr>
              <w:pStyle w:val="Tabelltext"/>
            </w:pPr>
            <w:r w:rsidRPr="0043279E">
              <w:sym w:font="Symbol" w:char="F0AF"/>
            </w:r>
            <w:r w:rsidRPr="0043279E">
              <w:sym w:font="Symbol" w:char="F020"/>
            </w:r>
          </w:p>
          <w:p w14:paraId="4AC90216" w14:textId="77777777" w:rsidR="00F20BC9" w:rsidRPr="0043279E" w:rsidRDefault="00F20BC9" w:rsidP="0043279E">
            <w:pPr>
              <w:pStyle w:val="Tabelltext"/>
            </w:pPr>
          </w:p>
        </w:tc>
        <w:tc>
          <w:tcPr>
            <w:tcW w:w="1842" w:type="dxa"/>
            <w:shd w:val="clear" w:color="auto" w:fill="auto"/>
          </w:tcPr>
          <w:p w14:paraId="1C61E7ED" w14:textId="77777777" w:rsidR="00F20BC9" w:rsidRPr="0043279E" w:rsidRDefault="00F20BC9" w:rsidP="0043279E">
            <w:pPr>
              <w:pStyle w:val="Tabelltext"/>
            </w:pPr>
            <w:r w:rsidRPr="0043279E">
              <w:sym w:font="Symbol" w:char="F0AF"/>
            </w:r>
            <w:r w:rsidRPr="0043279E">
              <w:sym w:font="Symbol" w:char="F020"/>
            </w:r>
          </w:p>
          <w:p w14:paraId="730B3215" w14:textId="77777777" w:rsidR="00F20BC9" w:rsidRPr="0043279E" w:rsidRDefault="00F20BC9" w:rsidP="0043279E">
            <w:pPr>
              <w:pStyle w:val="Tabelltext"/>
            </w:pPr>
          </w:p>
        </w:tc>
        <w:tc>
          <w:tcPr>
            <w:tcW w:w="2268" w:type="dxa"/>
            <w:shd w:val="clear" w:color="auto" w:fill="auto"/>
          </w:tcPr>
          <w:p w14:paraId="0F8D384F" w14:textId="77777777" w:rsidR="00F20BC9" w:rsidRPr="0043279E" w:rsidRDefault="00F20BC9" w:rsidP="0043279E">
            <w:pPr>
              <w:pStyle w:val="Tabelltext"/>
            </w:pPr>
            <w:r w:rsidRPr="0043279E">
              <w:sym w:font="Symbol" w:char="F0AF"/>
            </w:r>
            <w:r w:rsidRPr="0043279E">
              <w:sym w:font="Symbol" w:char="F020"/>
            </w:r>
          </w:p>
          <w:p w14:paraId="37B5D8BC" w14:textId="77777777" w:rsidR="00F20BC9" w:rsidRPr="0043279E" w:rsidRDefault="00F20BC9" w:rsidP="0043279E">
            <w:pPr>
              <w:pStyle w:val="Tabelltext"/>
            </w:pPr>
          </w:p>
        </w:tc>
        <w:tc>
          <w:tcPr>
            <w:tcW w:w="1276" w:type="dxa"/>
            <w:shd w:val="clear" w:color="auto" w:fill="auto"/>
          </w:tcPr>
          <w:p w14:paraId="56487A50" w14:textId="77777777" w:rsidR="00F20BC9" w:rsidRPr="0043279E" w:rsidRDefault="00F20BC9" w:rsidP="0043279E">
            <w:pPr>
              <w:pStyle w:val="Tabelltext"/>
            </w:pPr>
            <w:proofErr w:type="spellStart"/>
            <w:r w:rsidRPr="0043279E">
              <w:t>Skällhosta</w:t>
            </w:r>
            <w:proofErr w:type="spellEnd"/>
            <w:r w:rsidRPr="0043279E">
              <w:t>, sväljnings-besvär.</w:t>
            </w:r>
          </w:p>
          <w:p w14:paraId="35893CFC" w14:textId="05843C2C" w:rsidR="00F20BC9" w:rsidRPr="0043279E" w:rsidRDefault="00F20BC9" w:rsidP="0043279E">
            <w:pPr>
              <w:pStyle w:val="Tabelltext"/>
            </w:pPr>
            <w:r w:rsidRPr="0043279E">
              <w:t>Medelsvår bronkob</w:t>
            </w:r>
            <w:r w:rsidR="00F34754">
              <w:softHyphen/>
            </w:r>
            <w:r w:rsidRPr="0043279E">
              <w:t>struktion.</w:t>
            </w:r>
          </w:p>
        </w:tc>
        <w:tc>
          <w:tcPr>
            <w:tcW w:w="1276" w:type="dxa"/>
            <w:shd w:val="clear" w:color="auto" w:fill="auto"/>
          </w:tcPr>
          <w:p w14:paraId="6CF554EE" w14:textId="77777777" w:rsidR="00F20BC9" w:rsidRPr="0043279E" w:rsidRDefault="00F20BC9" w:rsidP="0043279E">
            <w:pPr>
              <w:pStyle w:val="Tabelltext"/>
            </w:pPr>
          </w:p>
        </w:tc>
        <w:tc>
          <w:tcPr>
            <w:tcW w:w="1417" w:type="dxa"/>
            <w:shd w:val="clear" w:color="auto" w:fill="auto"/>
          </w:tcPr>
          <w:p w14:paraId="1AC80FF2" w14:textId="77777777" w:rsidR="00F20BC9" w:rsidRPr="0043279E" w:rsidRDefault="00F20BC9" w:rsidP="0043279E">
            <w:pPr>
              <w:pStyle w:val="Tabelltext"/>
            </w:pPr>
            <w:r w:rsidRPr="0043279E">
              <w:t>Svimnings-känsla.</w:t>
            </w:r>
          </w:p>
          <w:p w14:paraId="08187688" w14:textId="77777777" w:rsidR="00F20BC9" w:rsidRPr="0043279E" w:rsidRDefault="00F20BC9" w:rsidP="0043279E">
            <w:pPr>
              <w:pStyle w:val="Tabelltext"/>
            </w:pPr>
            <w:r w:rsidRPr="0043279E">
              <w:t>Katastrof-känsla.</w:t>
            </w:r>
          </w:p>
        </w:tc>
      </w:tr>
      <w:tr w:rsidR="00F20BC9" w:rsidRPr="00F20BC9" w14:paraId="2CF49813" w14:textId="77777777" w:rsidTr="008370A8">
        <w:trPr>
          <w:cantSplit/>
        </w:trPr>
        <w:tc>
          <w:tcPr>
            <w:tcW w:w="1475" w:type="dxa"/>
            <w:shd w:val="clear" w:color="auto" w:fill="auto"/>
          </w:tcPr>
          <w:p w14:paraId="54B6EBAD" w14:textId="77777777" w:rsidR="00F20BC9" w:rsidRPr="0043279E" w:rsidRDefault="00F20BC9" w:rsidP="0043279E">
            <w:pPr>
              <w:pStyle w:val="Tabelltext"/>
            </w:pPr>
            <w:proofErr w:type="spellStart"/>
            <w:r w:rsidRPr="0043279E">
              <w:t>Anafylaxi</w:t>
            </w:r>
            <w:proofErr w:type="spellEnd"/>
            <w:r w:rsidRPr="0043279E">
              <w:br/>
              <w:t>Grad 3</w:t>
            </w:r>
          </w:p>
        </w:tc>
        <w:tc>
          <w:tcPr>
            <w:tcW w:w="1276" w:type="dxa"/>
            <w:shd w:val="clear" w:color="auto" w:fill="auto"/>
          </w:tcPr>
          <w:p w14:paraId="087C3068" w14:textId="77777777" w:rsidR="00F20BC9" w:rsidRPr="0043279E" w:rsidRDefault="00F20BC9" w:rsidP="0043279E">
            <w:pPr>
              <w:pStyle w:val="Tabelltext"/>
            </w:pPr>
            <w:r w:rsidRPr="0043279E">
              <w:sym w:font="Symbol" w:char="F0AF"/>
            </w:r>
            <w:r w:rsidRPr="0043279E">
              <w:sym w:font="Symbol" w:char="F020"/>
            </w:r>
          </w:p>
          <w:p w14:paraId="1F59B01E" w14:textId="77777777" w:rsidR="00F20BC9" w:rsidRPr="0043279E" w:rsidRDefault="00F20BC9" w:rsidP="0043279E">
            <w:pPr>
              <w:pStyle w:val="Tabelltext"/>
            </w:pPr>
          </w:p>
        </w:tc>
        <w:tc>
          <w:tcPr>
            <w:tcW w:w="1842" w:type="dxa"/>
            <w:shd w:val="clear" w:color="auto" w:fill="auto"/>
          </w:tcPr>
          <w:p w14:paraId="4EC63A6D" w14:textId="77777777" w:rsidR="00F20BC9" w:rsidRPr="0043279E" w:rsidRDefault="00F20BC9" w:rsidP="0043279E">
            <w:pPr>
              <w:pStyle w:val="Tabelltext"/>
            </w:pPr>
            <w:r w:rsidRPr="0043279E">
              <w:sym w:font="Symbol" w:char="F0AF"/>
            </w:r>
            <w:r w:rsidRPr="0043279E">
              <w:sym w:font="Symbol" w:char="F020"/>
            </w:r>
          </w:p>
          <w:p w14:paraId="25BC4509" w14:textId="77777777" w:rsidR="00F20BC9" w:rsidRPr="0043279E" w:rsidRDefault="00F20BC9" w:rsidP="0043279E">
            <w:pPr>
              <w:pStyle w:val="Tabelltext"/>
            </w:pPr>
          </w:p>
        </w:tc>
        <w:tc>
          <w:tcPr>
            <w:tcW w:w="2268" w:type="dxa"/>
            <w:shd w:val="clear" w:color="auto" w:fill="auto"/>
          </w:tcPr>
          <w:p w14:paraId="42B13127" w14:textId="77777777" w:rsidR="00F20BC9" w:rsidRPr="0043279E" w:rsidRDefault="00F20BC9" w:rsidP="0043279E">
            <w:pPr>
              <w:pStyle w:val="Tabelltext"/>
            </w:pPr>
            <w:r w:rsidRPr="0043279E">
              <w:t xml:space="preserve">Urin- och </w:t>
            </w:r>
            <w:proofErr w:type="spellStart"/>
            <w:r w:rsidRPr="0043279E">
              <w:t>faeces</w:t>
            </w:r>
            <w:r w:rsidRPr="0043279E">
              <w:softHyphen/>
              <w:t>avgång</w:t>
            </w:r>
            <w:proofErr w:type="spellEnd"/>
            <w:r w:rsidRPr="0043279E">
              <w:t>.</w:t>
            </w:r>
          </w:p>
        </w:tc>
        <w:tc>
          <w:tcPr>
            <w:tcW w:w="1276" w:type="dxa"/>
            <w:shd w:val="clear" w:color="auto" w:fill="auto"/>
          </w:tcPr>
          <w:p w14:paraId="22B77891" w14:textId="77777777" w:rsidR="00F20BC9" w:rsidRPr="0043279E" w:rsidRDefault="00F20BC9" w:rsidP="0043279E">
            <w:pPr>
              <w:pStyle w:val="Tabelltext"/>
            </w:pPr>
            <w:proofErr w:type="spellStart"/>
            <w:r w:rsidRPr="0043279E">
              <w:t>Hypoxi</w:t>
            </w:r>
            <w:proofErr w:type="spellEnd"/>
            <w:r w:rsidRPr="0043279E">
              <w:t>, Cyanos.</w:t>
            </w:r>
          </w:p>
          <w:p w14:paraId="73990C85" w14:textId="6D0BBE3F" w:rsidR="00F20BC9" w:rsidRPr="0043279E" w:rsidRDefault="00F20BC9" w:rsidP="0043279E">
            <w:pPr>
              <w:pStyle w:val="Tabelltext"/>
            </w:pPr>
            <w:r w:rsidRPr="0043279E">
              <w:t>Svår bronk-obstrukti</w:t>
            </w:r>
            <w:r w:rsidR="00605008">
              <w:t>on</w:t>
            </w:r>
          </w:p>
          <w:p w14:paraId="51822CD9" w14:textId="77777777" w:rsidR="00F20BC9" w:rsidRPr="0043279E" w:rsidRDefault="00F20BC9" w:rsidP="0043279E">
            <w:pPr>
              <w:pStyle w:val="Tabelltext"/>
            </w:pPr>
            <w:r w:rsidRPr="0043279E">
              <w:t>Andnings-stopp.</w:t>
            </w:r>
          </w:p>
        </w:tc>
        <w:tc>
          <w:tcPr>
            <w:tcW w:w="1276" w:type="dxa"/>
            <w:shd w:val="clear" w:color="auto" w:fill="auto"/>
          </w:tcPr>
          <w:p w14:paraId="09FF5548" w14:textId="77777777" w:rsidR="00F20BC9" w:rsidRPr="0043279E" w:rsidRDefault="00F20BC9" w:rsidP="0043279E">
            <w:pPr>
              <w:pStyle w:val="Tabelltext"/>
            </w:pPr>
            <w:r w:rsidRPr="0043279E">
              <w:t>Hypotoni.</w:t>
            </w:r>
          </w:p>
          <w:p w14:paraId="23775378" w14:textId="77777777" w:rsidR="00F20BC9" w:rsidRPr="0043279E" w:rsidRDefault="00F20BC9" w:rsidP="0043279E">
            <w:pPr>
              <w:pStyle w:val="Tabelltext"/>
            </w:pPr>
            <w:r w:rsidRPr="0043279E">
              <w:t>Bradykardi.</w:t>
            </w:r>
          </w:p>
          <w:p w14:paraId="33C9F1CB" w14:textId="77777777" w:rsidR="00F20BC9" w:rsidRPr="0043279E" w:rsidRDefault="00F20BC9" w:rsidP="0043279E">
            <w:pPr>
              <w:pStyle w:val="Tabelltext"/>
            </w:pPr>
            <w:r w:rsidRPr="0043279E">
              <w:t>Arytmi.</w:t>
            </w:r>
          </w:p>
          <w:p w14:paraId="654DD25C" w14:textId="77777777" w:rsidR="00F20BC9" w:rsidRPr="0043279E" w:rsidRDefault="00F20BC9" w:rsidP="0043279E">
            <w:pPr>
              <w:pStyle w:val="Tabelltext"/>
            </w:pPr>
            <w:r w:rsidRPr="0043279E">
              <w:t>Hjärtstopp.</w:t>
            </w:r>
          </w:p>
        </w:tc>
        <w:tc>
          <w:tcPr>
            <w:tcW w:w="1417" w:type="dxa"/>
            <w:shd w:val="clear" w:color="auto" w:fill="auto"/>
          </w:tcPr>
          <w:p w14:paraId="758BF68D" w14:textId="77777777" w:rsidR="00F20BC9" w:rsidRPr="0043279E" w:rsidRDefault="00F20BC9" w:rsidP="0043279E">
            <w:pPr>
              <w:pStyle w:val="Tabelltext"/>
            </w:pPr>
            <w:r w:rsidRPr="0043279E">
              <w:t>Förvirring.</w:t>
            </w:r>
          </w:p>
          <w:p w14:paraId="157E64FA" w14:textId="77777777" w:rsidR="00F20BC9" w:rsidRPr="0043279E" w:rsidRDefault="00F20BC9" w:rsidP="0043279E">
            <w:pPr>
              <w:pStyle w:val="Tabelltext"/>
            </w:pPr>
            <w:r w:rsidRPr="0043279E">
              <w:t>Medvetslös-het.</w:t>
            </w:r>
          </w:p>
        </w:tc>
      </w:tr>
    </w:tbl>
    <w:p w14:paraId="3E7ACECB" w14:textId="77777777" w:rsidR="00F20BC9" w:rsidRPr="00F20BC9" w:rsidRDefault="00F20BC9" w:rsidP="00F327D6">
      <w:pPr>
        <w:pStyle w:val="Rubrik3"/>
        <w:spacing w:before="180" w:after="20"/>
      </w:pPr>
      <w:bookmarkStart w:id="53" w:name="_Toc256000021"/>
      <w:bookmarkStart w:id="54" w:name="_Toc98317068"/>
      <w:bookmarkStart w:id="55" w:name="_Toc98329338"/>
      <w:bookmarkStart w:id="56" w:name="_Toc160800358"/>
      <w:r w:rsidRPr="00F20BC9">
        <w:t>Observation /övervakning</w:t>
      </w:r>
      <w:bookmarkEnd w:id="53"/>
      <w:bookmarkEnd w:id="54"/>
      <w:bookmarkEnd w:id="55"/>
      <w:bookmarkEnd w:id="56"/>
    </w:p>
    <w:p w14:paraId="085C1CF0" w14:textId="77777777" w:rsidR="00F20BC9" w:rsidRPr="00F20BC9" w:rsidRDefault="00F20BC9" w:rsidP="00F20BC9">
      <w:pPr>
        <w:tabs>
          <w:tab w:val="left" w:pos="357"/>
        </w:tabs>
        <w:spacing w:after="60" w:line="240" w:lineRule="auto"/>
        <w:ind w:left="357" w:right="0" w:hanging="357"/>
        <w:rPr>
          <w:b/>
          <w:bCs/>
          <w:szCs w:val="20"/>
        </w:rPr>
      </w:pPr>
      <w:r w:rsidRPr="00F20BC9">
        <w:rPr>
          <w:b/>
          <w:bCs/>
          <w:szCs w:val="20"/>
        </w:rPr>
        <w:t>Observation</w:t>
      </w:r>
      <w:r w:rsidRPr="00F20BC9">
        <w:rPr>
          <w:bCs/>
          <w:szCs w:val="20"/>
        </w:rPr>
        <w:t xml:space="preserve"> </w:t>
      </w:r>
      <w:r w:rsidRPr="00F20BC9">
        <w:rPr>
          <w:b/>
          <w:szCs w:val="20"/>
        </w:rPr>
        <w:t>efteråt</w:t>
      </w:r>
      <w:r w:rsidRPr="00F20BC9">
        <w:rPr>
          <w:bCs/>
          <w:szCs w:val="20"/>
        </w:rPr>
        <w:t>:</w:t>
      </w:r>
    </w:p>
    <w:p w14:paraId="50CED8D6" w14:textId="77777777" w:rsidR="00F20BC9" w:rsidRPr="00F20BC9" w:rsidRDefault="00F20BC9" w:rsidP="00DB0094">
      <w:pPr>
        <w:pStyle w:val="Punktlista"/>
      </w:pPr>
      <w:r w:rsidRPr="00F20BC9">
        <w:t xml:space="preserve">Vid </w:t>
      </w:r>
      <w:proofErr w:type="spellStart"/>
      <w:r w:rsidRPr="00F20BC9">
        <w:t>anafylaxi</w:t>
      </w:r>
      <w:proofErr w:type="spellEnd"/>
      <w:r w:rsidRPr="00F20BC9">
        <w:t xml:space="preserve"> grad 1 ska patienten observeras minst 4 timmar.</w:t>
      </w:r>
    </w:p>
    <w:p w14:paraId="2A6165AE" w14:textId="77777777" w:rsidR="00F20BC9" w:rsidRPr="00F20BC9" w:rsidRDefault="00F20BC9" w:rsidP="00DB0094">
      <w:pPr>
        <w:pStyle w:val="Punktlista"/>
      </w:pPr>
      <w:r w:rsidRPr="00F20BC9">
        <w:t xml:space="preserve">Vid </w:t>
      </w:r>
      <w:proofErr w:type="spellStart"/>
      <w:r w:rsidRPr="00F20BC9">
        <w:t>anafylaxi</w:t>
      </w:r>
      <w:proofErr w:type="spellEnd"/>
      <w:r w:rsidRPr="00F20BC9">
        <w:t xml:space="preserve"> grad 2 ska patienten observeras minst 8 timmar på sjukhus.</w:t>
      </w:r>
    </w:p>
    <w:p w14:paraId="7586992D" w14:textId="77777777" w:rsidR="00F20BC9" w:rsidRPr="00F20BC9" w:rsidRDefault="00F20BC9" w:rsidP="00DB0094">
      <w:pPr>
        <w:pStyle w:val="Punktlista"/>
      </w:pPr>
      <w:r w:rsidRPr="00F20BC9">
        <w:t xml:space="preserve">Vid </w:t>
      </w:r>
      <w:proofErr w:type="spellStart"/>
      <w:r w:rsidRPr="00F20BC9">
        <w:t>anafylaxi</w:t>
      </w:r>
      <w:proofErr w:type="spellEnd"/>
      <w:r w:rsidRPr="00F20BC9">
        <w:t xml:space="preserve"> grad 3 ska patienten observeras minst 12 timmar på sjukhus.</w:t>
      </w:r>
    </w:p>
    <w:p w14:paraId="47AF52CD" w14:textId="7E28200C" w:rsidR="00F20BC9" w:rsidRPr="00F20BC9" w:rsidRDefault="00F20BC9" w:rsidP="00F327D6">
      <w:pPr>
        <w:spacing w:before="120"/>
      </w:pPr>
      <w:r w:rsidRPr="00F20BC9">
        <w:t xml:space="preserve">Efter </w:t>
      </w:r>
      <w:proofErr w:type="spellStart"/>
      <w:r w:rsidRPr="00F20BC9">
        <w:t>anafylaxi</w:t>
      </w:r>
      <w:proofErr w:type="spellEnd"/>
      <w:r w:rsidRPr="00F20BC9">
        <w:t xml:space="preserve"> remiss till allergimottagningen för uppföljning. </w:t>
      </w:r>
      <w:r w:rsidRPr="00F20BC9">
        <w:br/>
      </w:r>
      <w:r w:rsidRPr="00F20BC9">
        <w:rPr>
          <w:b/>
          <w:bCs/>
        </w:rPr>
        <w:t>OBS!</w:t>
      </w:r>
      <w:r w:rsidRPr="00F20BC9">
        <w:t xml:space="preserve"> Uppdatera alla t</w:t>
      </w:r>
      <w:r w:rsidR="00A24D13">
        <w:t>elefon</w:t>
      </w:r>
      <w:r w:rsidRPr="00F20BC9">
        <w:t>nummer till patienten i journalen, innan remiss dikteras.</w:t>
      </w:r>
    </w:p>
    <w:p w14:paraId="2C085B44" w14:textId="77777777" w:rsidR="00F20BC9" w:rsidRPr="00F20BC9" w:rsidRDefault="00F20BC9" w:rsidP="009C2B64">
      <w:pPr>
        <w:pStyle w:val="Rubrik3"/>
      </w:pPr>
      <w:bookmarkStart w:id="57" w:name="_Provtagning"/>
      <w:bookmarkStart w:id="58" w:name="_Toc256000022"/>
      <w:bookmarkStart w:id="59" w:name="_Toc31636925"/>
      <w:bookmarkStart w:id="60" w:name="_Toc256000008"/>
      <w:bookmarkStart w:id="61" w:name="_Toc98317069"/>
      <w:bookmarkStart w:id="62" w:name="_Toc98329339"/>
      <w:bookmarkStart w:id="63" w:name="_Toc160800359"/>
      <w:bookmarkEnd w:id="57"/>
      <w:r w:rsidRPr="00F20BC9">
        <w:lastRenderedPageBreak/>
        <w:t>Provtagning</w:t>
      </w:r>
      <w:bookmarkEnd w:id="58"/>
      <w:bookmarkEnd w:id="59"/>
      <w:bookmarkEnd w:id="60"/>
      <w:bookmarkEnd w:id="61"/>
      <w:bookmarkEnd w:id="62"/>
      <w:bookmarkEnd w:id="63"/>
    </w:p>
    <w:p w14:paraId="57A1FC8B" w14:textId="77777777" w:rsidR="00F20BC9" w:rsidRPr="00F20BC9" w:rsidRDefault="00F20BC9" w:rsidP="009C2B64">
      <w:pPr>
        <w:pStyle w:val="MellanrubrikVGR"/>
        <w:spacing w:before="120"/>
      </w:pPr>
      <w:bookmarkStart w:id="64" w:name="_Toc160800360"/>
      <w:r w:rsidRPr="00F20BC9">
        <w:t xml:space="preserve">A. Misstänkt </w:t>
      </w:r>
      <w:proofErr w:type="spellStart"/>
      <w:r w:rsidRPr="00F20BC9">
        <w:t>anafylaxi</w:t>
      </w:r>
      <w:proofErr w:type="spellEnd"/>
      <w:r w:rsidRPr="00F20BC9">
        <w:t xml:space="preserve"> med anamnes på blodtrycksfall</w:t>
      </w:r>
      <w:bookmarkEnd w:id="64"/>
    </w:p>
    <w:p w14:paraId="7C8ADCC9" w14:textId="7644F591" w:rsidR="009F1D7F" w:rsidRDefault="00F20BC9" w:rsidP="009C2B64">
      <w:pPr>
        <w:keepNext/>
        <w:keepLines/>
      </w:pPr>
      <w:r w:rsidRPr="00F20BC9">
        <w:rPr>
          <w:b/>
          <w:bCs/>
        </w:rPr>
        <w:t>S-</w:t>
      </w:r>
      <w:proofErr w:type="spellStart"/>
      <w:r w:rsidRPr="00F20BC9">
        <w:rPr>
          <w:b/>
          <w:bCs/>
        </w:rPr>
        <w:t>Tryptas</w:t>
      </w:r>
      <w:proofErr w:type="spellEnd"/>
      <w:r w:rsidRPr="00F20BC9">
        <w:t xml:space="preserve"> i guldgult </w:t>
      </w:r>
      <w:proofErr w:type="spellStart"/>
      <w:r w:rsidRPr="00F20BC9">
        <w:t>gelrör</w:t>
      </w:r>
      <w:proofErr w:type="spellEnd"/>
      <w:r w:rsidRPr="00F20BC9">
        <w:t xml:space="preserve"> [</w:t>
      </w:r>
      <w:proofErr w:type="gramStart"/>
      <w:r w:rsidRPr="00F20BC9">
        <w:t>3-28</w:t>
      </w:r>
      <w:proofErr w:type="gramEnd"/>
      <w:r w:rsidRPr="00F20BC9">
        <w:t>]: Lab-analysen som kan bekräfta en allergisk chock p.g.a. massiv mastcells-</w:t>
      </w:r>
      <w:proofErr w:type="spellStart"/>
      <w:r w:rsidRPr="00F20BC9">
        <w:t>degranulering</w:t>
      </w:r>
      <w:proofErr w:type="spellEnd"/>
      <w:r w:rsidRPr="00F20BC9">
        <w:t xml:space="preserve">, skickas till </w:t>
      </w:r>
      <w:r w:rsidR="00180114">
        <w:t>k</w:t>
      </w:r>
      <w:r w:rsidRPr="00F20BC9">
        <w:t>em</w:t>
      </w:r>
      <w:r w:rsidR="00180114">
        <w:t xml:space="preserve"> </w:t>
      </w:r>
      <w:proofErr w:type="spellStart"/>
      <w:r w:rsidRPr="00F20BC9">
        <w:t>lab</w:t>
      </w:r>
      <w:proofErr w:type="spellEnd"/>
      <w:r w:rsidRPr="00F20BC9">
        <w:t xml:space="preserve"> på SÄS. Optimal tidpunkt är cirka </w:t>
      </w:r>
      <w:proofErr w:type="gramStart"/>
      <w:r w:rsidRPr="00F20BC9">
        <w:t>45-60</w:t>
      </w:r>
      <w:proofErr w:type="gramEnd"/>
      <w:r w:rsidRPr="00F20BC9">
        <w:t xml:space="preserve"> min efter symtomdebut; bör tas senast inom 4-7 timmar.</w:t>
      </w:r>
    </w:p>
    <w:p w14:paraId="7C624D37" w14:textId="4E8DA0E7" w:rsidR="00F20BC9" w:rsidRPr="00F20BC9" w:rsidRDefault="00F20BC9" w:rsidP="009C2B64">
      <w:pPr>
        <w:keepNext/>
        <w:keepLines/>
      </w:pPr>
      <w:r w:rsidRPr="00F20BC9">
        <w:t xml:space="preserve">Ju kraftigare blodtrycksfallet varit, ju större stegring av </w:t>
      </w:r>
      <w:proofErr w:type="spellStart"/>
      <w:r w:rsidRPr="00F20BC9">
        <w:t>Tryptas</w:t>
      </w:r>
      <w:proofErr w:type="spellEnd"/>
      <w:r w:rsidRPr="00F20BC9">
        <w:t xml:space="preserve">, desto längre tid har man på sig. Ange latenstiden på </w:t>
      </w:r>
      <w:proofErr w:type="spellStart"/>
      <w:r w:rsidRPr="00F20BC9">
        <w:t>lab</w:t>
      </w:r>
      <w:proofErr w:type="spellEnd"/>
      <w:r w:rsidRPr="00F20BC9">
        <w:t>-remissen, eller i journalen, från symtomdebut till provtagning</w:t>
      </w:r>
      <w:r w:rsidR="00631116">
        <w:t xml:space="preserve"> </w:t>
      </w:r>
      <w:r w:rsidRPr="00F20BC9">
        <w:t>1.</w:t>
      </w:r>
    </w:p>
    <w:p w14:paraId="45F5A3A7" w14:textId="77777777" w:rsidR="002B7DCA" w:rsidRDefault="00F20BC9" w:rsidP="000C4AEB">
      <w:proofErr w:type="spellStart"/>
      <w:r w:rsidRPr="00F20BC9">
        <w:t>Baseline-Tryptas</w:t>
      </w:r>
      <w:proofErr w:type="spellEnd"/>
      <w:r w:rsidRPr="00F20BC9">
        <w:t xml:space="preserve"> tas tidigast efter 24h. Ett </w:t>
      </w:r>
      <w:proofErr w:type="spellStart"/>
      <w:r w:rsidRPr="00F20BC9">
        <w:t>transient</w:t>
      </w:r>
      <w:proofErr w:type="spellEnd"/>
      <w:r w:rsidRPr="00F20BC9">
        <w:t xml:space="preserve"> förhöjt attack-S-</w:t>
      </w:r>
      <w:proofErr w:type="spellStart"/>
      <w:r w:rsidRPr="00F20BC9">
        <w:t>Tryptas</w:t>
      </w:r>
      <w:proofErr w:type="spellEnd"/>
      <w:r w:rsidRPr="00F20BC9">
        <w:t xml:space="preserve"> fastställs i efterhand med </w:t>
      </w:r>
      <w:r w:rsidRPr="00F20BC9">
        <w:rPr>
          <w:b/>
          <w:bCs/>
        </w:rPr>
        <w:t xml:space="preserve">formel: (1,2 x </w:t>
      </w:r>
      <w:proofErr w:type="spellStart"/>
      <w:r w:rsidRPr="00F20BC9">
        <w:rPr>
          <w:b/>
          <w:bCs/>
        </w:rPr>
        <w:t>baseline</w:t>
      </w:r>
      <w:proofErr w:type="spellEnd"/>
      <w:r w:rsidRPr="00F20BC9">
        <w:rPr>
          <w:b/>
          <w:bCs/>
        </w:rPr>
        <w:t>-S-</w:t>
      </w:r>
      <w:proofErr w:type="spellStart"/>
      <w:r w:rsidRPr="00F20BC9">
        <w:rPr>
          <w:b/>
          <w:bCs/>
        </w:rPr>
        <w:t>Tryptas</w:t>
      </w:r>
      <w:proofErr w:type="spellEnd"/>
      <w:r w:rsidRPr="00F20BC9">
        <w:rPr>
          <w:b/>
          <w:bCs/>
        </w:rPr>
        <w:t xml:space="preserve">) + </w:t>
      </w:r>
      <w:proofErr w:type="gramStart"/>
      <w:r w:rsidRPr="00F20BC9">
        <w:rPr>
          <w:b/>
          <w:bCs/>
        </w:rPr>
        <w:t>2</w:t>
      </w:r>
      <w:r w:rsidRPr="00F20BC9">
        <w:t xml:space="preserve"> .</w:t>
      </w:r>
      <w:proofErr w:type="gramEnd"/>
      <w:r w:rsidRPr="00F20BC9">
        <w:t xml:space="preserve"> Attack-S-</w:t>
      </w:r>
      <w:proofErr w:type="spellStart"/>
      <w:r w:rsidRPr="00F20BC9">
        <w:t>Tryptaset</w:t>
      </w:r>
      <w:proofErr w:type="spellEnd"/>
      <w:r w:rsidRPr="00F20BC9">
        <w:t xml:space="preserve"> ska ligga högre för att vara signifikant förhöjt. Formeln har validerats nyligen, men även utmanats i några artiklar. Om patienten faller i blodtryck i samband med att läkemedel ges, kan man ta 2 prover i följd för attack-</w:t>
      </w:r>
      <w:proofErr w:type="spellStart"/>
      <w:r w:rsidRPr="00F20BC9">
        <w:t>Tryptas</w:t>
      </w:r>
      <w:proofErr w:type="spellEnd"/>
      <w:r w:rsidRPr="00F20BC9">
        <w:t xml:space="preserve">; det första efter cirka </w:t>
      </w:r>
      <w:proofErr w:type="gramStart"/>
      <w:r w:rsidRPr="00F20BC9">
        <w:t>30-60</w:t>
      </w:r>
      <w:proofErr w:type="gramEnd"/>
      <w:r w:rsidRPr="00F20BC9">
        <w:t xml:space="preserve"> minuter och det andra cirka 90-120 minuter efter symtom</w:t>
      </w:r>
      <w:r w:rsidRPr="00F20BC9">
        <w:softHyphen/>
        <w:t xml:space="preserve">debut, (intervall 90-120 min). </w:t>
      </w:r>
    </w:p>
    <w:p w14:paraId="62392652" w14:textId="0263B3CE" w:rsidR="00F20BC9" w:rsidRPr="00F20BC9" w:rsidRDefault="00F20BC9" w:rsidP="000C4AEB">
      <w:r w:rsidRPr="00F20BC9">
        <w:t>S-</w:t>
      </w:r>
      <w:proofErr w:type="spellStart"/>
      <w:r w:rsidRPr="00F20BC9">
        <w:t>Tryptas</w:t>
      </w:r>
      <w:proofErr w:type="spellEnd"/>
      <w:r w:rsidRPr="00F20BC9">
        <w:t xml:space="preserve"> ska tas vid alla typer av misstänkt allergisk chock, i synnerhet om blodtrycket är sänkt, eller misstänks ha varit påverkat timmarna innan. Blodtrycket är ofta påverkat vid geting- och bi-</w:t>
      </w:r>
      <w:proofErr w:type="spellStart"/>
      <w:r w:rsidRPr="00F20BC9">
        <w:t>anafylaxi</w:t>
      </w:r>
      <w:proofErr w:type="spellEnd"/>
      <w:r w:rsidRPr="00F20BC9">
        <w:t xml:space="preserve"> samt vid läkemedelsreaktioner, men mer sällan vid födoallergier. Ta inte S-</w:t>
      </w:r>
      <w:proofErr w:type="spellStart"/>
      <w:r w:rsidRPr="00F20BC9">
        <w:t>Tryptas</w:t>
      </w:r>
      <w:proofErr w:type="spellEnd"/>
      <w:r w:rsidRPr="00F20BC9">
        <w:t xml:space="preserve"> vid återkommande </w:t>
      </w:r>
      <w:proofErr w:type="spellStart"/>
      <w:r w:rsidRPr="00F20BC9">
        <w:t>urtikaria</w:t>
      </w:r>
      <w:proofErr w:type="spellEnd"/>
      <w:r w:rsidRPr="00F20BC9">
        <w:t xml:space="preserve"> eller återkommande </w:t>
      </w:r>
      <w:proofErr w:type="spellStart"/>
      <w:r w:rsidRPr="00F20BC9">
        <w:t>Quincke</w:t>
      </w:r>
      <w:proofErr w:type="spellEnd"/>
      <w:r w:rsidRPr="00F20BC9">
        <w:t>-ödem (dessa är endogena sjukdomar, och har i regel inte någon allergisk bakgrund). S-</w:t>
      </w:r>
      <w:proofErr w:type="spellStart"/>
      <w:r w:rsidRPr="00F20BC9">
        <w:t>Tryptas</w:t>
      </w:r>
      <w:proofErr w:type="spellEnd"/>
      <w:r w:rsidRPr="00F20BC9">
        <w:t xml:space="preserve"> är mindre sensitivt vid respiratorisk påverkan utan samtidig </w:t>
      </w:r>
      <w:proofErr w:type="spellStart"/>
      <w:r w:rsidRPr="00F20BC9">
        <w:t>cirkulatorisk</w:t>
      </w:r>
      <w:proofErr w:type="spellEnd"/>
      <w:r w:rsidRPr="00F20BC9">
        <w:t xml:space="preserve"> påverkan. Bra </w:t>
      </w:r>
      <w:proofErr w:type="spellStart"/>
      <w:r w:rsidRPr="00F20BC9">
        <w:t>lab</w:t>
      </w:r>
      <w:proofErr w:type="spellEnd"/>
      <w:r w:rsidRPr="00F20BC9">
        <w:t xml:space="preserve">-markör för hypoxisk </w:t>
      </w:r>
      <w:proofErr w:type="spellStart"/>
      <w:r w:rsidRPr="00F20BC9">
        <w:t>anafylaxi</w:t>
      </w:r>
      <w:proofErr w:type="spellEnd"/>
      <w:r w:rsidRPr="00F20BC9">
        <w:t xml:space="preserve"> finns ej ännu. </w:t>
      </w:r>
      <w:proofErr w:type="spellStart"/>
      <w:r w:rsidRPr="00F20BC9">
        <w:t>Tryptas</w:t>
      </w:r>
      <w:proofErr w:type="spellEnd"/>
      <w:r w:rsidRPr="00F20BC9">
        <w:t xml:space="preserve"> kan heller inte helt skilja anafylaktisk från icke anafy</w:t>
      </w:r>
      <w:r w:rsidRPr="00F20BC9">
        <w:softHyphen/>
        <w:t>laktisk chock. Kompletterande biomarkörer behövs, forskning pågår.</w:t>
      </w:r>
    </w:p>
    <w:p w14:paraId="458014FF" w14:textId="77777777" w:rsidR="00F20BC9" w:rsidRPr="00F20BC9" w:rsidRDefault="00F20BC9" w:rsidP="00C00DD1">
      <w:pPr>
        <w:pStyle w:val="Underrubrik"/>
      </w:pPr>
      <w:r w:rsidRPr="00F20BC9">
        <w:t xml:space="preserve">Övriga </w:t>
      </w:r>
      <w:proofErr w:type="spellStart"/>
      <w:r w:rsidRPr="00F20BC9">
        <w:t>lab</w:t>
      </w:r>
      <w:proofErr w:type="spellEnd"/>
      <w:r w:rsidRPr="00F20BC9">
        <w:t>-prover</w:t>
      </w:r>
    </w:p>
    <w:p w14:paraId="5DB2421E" w14:textId="77777777" w:rsidR="00F20BC9" w:rsidRPr="00F20BC9" w:rsidRDefault="00F20BC9" w:rsidP="00F20BC9">
      <w:pPr>
        <w:spacing w:before="20" w:after="20" w:line="240" w:lineRule="auto"/>
        <w:ind w:right="0"/>
        <w:rPr>
          <w:szCs w:val="20"/>
        </w:rPr>
      </w:pPr>
      <w:r w:rsidRPr="00F20BC9">
        <w:rPr>
          <w:b/>
          <w:bCs/>
          <w:szCs w:val="20"/>
        </w:rPr>
        <w:t>1. Misstänkt geting-/bi-</w:t>
      </w:r>
      <w:proofErr w:type="spellStart"/>
      <w:r w:rsidRPr="00F20BC9">
        <w:rPr>
          <w:b/>
          <w:bCs/>
          <w:szCs w:val="20"/>
        </w:rPr>
        <w:t>anafylaxi</w:t>
      </w:r>
      <w:proofErr w:type="spellEnd"/>
      <w:r w:rsidRPr="00F20BC9">
        <w:rPr>
          <w:szCs w:val="20"/>
        </w:rPr>
        <w:t>:</w:t>
      </w:r>
    </w:p>
    <w:p w14:paraId="1A9F5DAE" w14:textId="1629A0C2" w:rsidR="00F20BC9" w:rsidRPr="00F20BC9" w:rsidRDefault="00F20BC9" w:rsidP="000C4AEB">
      <w:r w:rsidRPr="00F20BC9">
        <w:t>Ta dessutom IgE-</w:t>
      </w:r>
      <w:proofErr w:type="spellStart"/>
      <w:r w:rsidRPr="00F20BC9">
        <w:t>getinggift</w:t>
      </w:r>
      <w:proofErr w:type="spellEnd"/>
      <w:r w:rsidRPr="00F20BC9">
        <w:t xml:space="preserve"> och IgE-bigift (guldgult </w:t>
      </w:r>
      <w:proofErr w:type="spellStart"/>
      <w:r w:rsidRPr="00F20BC9">
        <w:t>gelrör</w:t>
      </w:r>
      <w:proofErr w:type="spellEnd"/>
      <w:r w:rsidRPr="00F20BC9">
        <w:t xml:space="preserve">, samma rör som för </w:t>
      </w:r>
      <w:proofErr w:type="spellStart"/>
      <w:r w:rsidRPr="00F20BC9">
        <w:t>Tryptas</w:t>
      </w:r>
      <w:proofErr w:type="spellEnd"/>
      <w:r w:rsidRPr="00F20BC9">
        <w:t>, analys på SÄS). Enstaka patienter har låg specifik nivå av IgE mot geting-gift,</w:t>
      </w:r>
      <w:r w:rsidR="00B862C9">
        <w:t xml:space="preserve"> </w:t>
      </w:r>
      <w:r w:rsidRPr="00F20BC9">
        <w:t>vilken kan sjunka till 0 efter några veckor.</w:t>
      </w:r>
    </w:p>
    <w:p w14:paraId="6ED99B73" w14:textId="77777777" w:rsidR="00F20BC9" w:rsidRPr="00F20BC9" w:rsidRDefault="00F20BC9" w:rsidP="00F20BC9">
      <w:pPr>
        <w:spacing w:before="120" w:after="20" w:line="240" w:lineRule="auto"/>
        <w:ind w:right="0"/>
        <w:rPr>
          <w:szCs w:val="20"/>
        </w:rPr>
      </w:pPr>
      <w:r w:rsidRPr="00F20BC9">
        <w:rPr>
          <w:b/>
          <w:bCs/>
          <w:szCs w:val="20"/>
        </w:rPr>
        <w:t>2. Vid misstänkt nöt-allergi</w:t>
      </w:r>
      <w:r w:rsidRPr="00F20BC9">
        <w:rPr>
          <w:szCs w:val="20"/>
        </w:rPr>
        <w:t>:</w:t>
      </w:r>
    </w:p>
    <w:p w14:paraId="2D2D704F" w14:textId="0DF138D5" w:rsidR="00F20BC9" w:rsidRPr="00F20BC9" w:rsidRDefault="00F20BC9" w:rsidP="000C4AEB">
      <w:r w:rsidRPr="00F20BC9">
        <w:t xml:space="preserve">Ta åtminstone ett IgE-prov i guldgult </w:t>
      </w:r>
      <w:proofErr w:type="spellStart"/>
      <w:r w:rsidRPr="00F20BC9">
        <w:t>gelrör</w:t>
      </w:r>
      <w:proofErr w:type="spellEnd"/>
      <w:r w:rsidRPr="00F20BC9">
        <w:t xml:space="preserve"> mot den nöt som misstänks (</w:t>
      </w:r>
      <w:proofErr w:type="gramStart"/>
      <w:r w:rsidRPr="00F20BC9">
        <w:t>t.ex.</w:t>
      </w:r>
      <w:proofErr w:type="gramEnd"/>
      <w:r w:rsidRPr="00F20BC9">
        <w:t xml:space="preserve"> jordnöt, hasselnöt eller valnöt etc</w:t>
      </w:r>
      <w:r w:rsidR="005200F5">
        <w:t>.</w:t>
      </w:r>
      <w:r w:rsidRPr="00F20BC9">
        <w:t>). Ordineras i Melior eller på allergi-</w:t>
      </w:r>
      <w:proofErr w:type="spellStart"/>
      <w:r w:rsidRPr="00F20BC9">
        <w:t>labremiss</w:t>
      </w:r>
      <w:proofErr w:type="spellEnd"/>
      <w:r w:rsidRPr="00F20BC9">
        <w:t xml:space="preserve">. Allergiprov ligger kvar 1 månad på </w:t>
      </w:r>
      <w:proofErr w:type="spellStart"/>
      <w:r w:rsidRPr="00F20BC9">
        <w:t>lab</w:t>
      </w:r>
      <w:proofErr w:type="spellEnd"/>
      <w:r w:rsidRPr="00F20BC9">
        <w:t>, och kan därför kompletteras i efterhand med andra IgE-prover, vilket ökar effektiviteten i alla utredningar. Om patienten inte vet alls vilken slags nöt som orsakat reaktionen - ta i så fall IgE mot björkpollen.</w:t>
      </w:r>
    </w:p>
    <w:p w14:paraId="28A16F4D" w14:textId="77777777" w:rsidR="000C4AEB" w:rsidRDefault="00F20BC9" w:rsidP="009C2B64">
      <w:pPr>
        <w:pStyle w:val="MellanrubrikVGR"/>
      </w:pPr>
      <w:bookmarkStart w:id="65" w:name="_Toc160800361"/>
      <w:r w:rsidRPr="00F20BC9">
        <w:lastRenderedPageBreak/>
        <w:t xml:space="preserve">B. Vid stora </w:t>
      </w:r>
      <w:proofErr w:type="spellStart"/>
      <w:r w:rsidRPr="00F20BC9">
        <w:t>Quincke</w:t>
      </w:r>
      <w:proofErr w:type="spellEnd"/>
      <w:r w:rsidRPr="00F20BC9">
        <w:t>-ödem i ansiktet</w:t>
      </w:r>
      <w:bookmarkEnd w:id="65"/>
    </w:p>
    <w:p w14:paraId="433A3EF8" w14:textId="2FF7CAC7" w:rsidR="00F20BC9" w:rsidRPr="00F20BC9" w:rsidRDefault="00F20BC9" w:rsidP="009C2B64">
      <w:pPr>
        <w:keepNext/>
        <w:keepLines/>
        <w:rPr>
          <w:b/>
          <w:bCs/>
        </w:rPr>
      </w:pPr>
      <w:r w:rsidRPr="00F20BC9">
        <w:t>(</w:t>
      </w:r>
      <w:r w:rsidR="000C4AEB">
        <w:t>S</w:t>
      </w:r>
      <w:r w:rsidRPr="00F20BC9">
        <w:t>peciellt tunga eller läppar) utan samtidiga nässelutslag:</w:t>
      </w:r>
    </w:p>
    <w:p w14:paraId="2C8E99BF" w14:textId="1F2F5944" w:rsidR="00F20BC9" w:rsidRPr="00F20BC9" w:rsidRDefault="00F20BC9" w:rsidP="009C2B64">
      <w:pPr>
        <w:keepNext/>
        <w:keepLines/>
      </w:pPr>
      <w:r w:rsidRPr="00F20BC9">
        <w:t xml:space="preserve">Ta provrör för C1-esteras-INH och C4 i lila EDTA-rör + guldgult rör: </w:t>
      </w:r>
      <w:r w:rsidRPr="00F20BC9">
        <w:rPr>
          <w:i/>
          <w:iCs/>
        </w:rPr>
        <w:t>Remiss: Lab Immunologi Skåne</w:t>
      </w:r>
      <w:r w:rsidRPr="00F20BC9">
        <w:t>. Har patienten ACE-hämmare? Överväg</w:t>
      </w:r>
      <w:r w:rsidR="00833F0C">
        <w:t xml:space="preserve"> att</w:t>
      </w:r>
      <w:r w:rsidRPr="00F20BC9">
        <w:t xml:space="preserve"> sätta ut, även om patienten stått på ACE-hämmare i 10 år.</w:t>
      </w:r>
    </w:p>
    <w:p w14:paraId="75ACEC35" w14:textId="77777777" w:rsidR="00F20BC9" w:rsidRPr="00F20BC9" w:rsidRDefault="00F20BC9" w:rsidP="009F1D7F">
      <w:pPr>
        <w:pStyle w:val="MellanrubrikVGR"/>
      </w:pPr>
      <w:bookmarkStart w:id="66" w:name="_Toc160800362"/>
      <w:r w:rsidRPr="00F20BC9">
        <w:t>C. Vid oklar obstruktiv klinik (astma?)</w:t>
      </w:r>
      <w:bookmarkEnd w:id="66"/>
    </w:p>
    <w:p w14:paraId="05EE9376" w14:textId="2B98CFF4" w:rsidR="00F20BC9" w:rsidRPr="00F20BC9" w:rsidRDefault="00F20BC9" w:rsidP="009F1D7F">
      <w:pPr>
        <w:keepNext/>
        <w:keepLines/>
        <w:rPr>
          <w:sz w:val="28"/>
          <w:szCs w:val="28"/>
        </w:rPr>
      </w:pPr>
      <w:r w:rsidRPr="00F20BC9">
        <w:t xml:space="preserve">Ta </w:t>
      </w:r>
      <w:proofErr w:type="spellStart"/>
      <w:r w:rsidRPr="00F20BC9">
        <w:t>Diff</w:t>
      </w:r>
      <w:proofErr w:type="spellEnd"/>
      <w:r w:rsidRPr="00F20BC9">
        <w:t>, d.v.s. H</w:t>
      </w:r>
      <w:proofErr w:type="gramStart"/>
      <w:r w:rsidRPr="00F20BC9">
        <w:t>1:a</w:t>
      </w:r>
      <w:proofErr w:type="gramEnd"/>
      <w:r w:rsidRPr="00F20BC9">
        <w:t xml:space="preserve"> i lila EDTA-rör för att </w:t>
      </w:r>
      <w:r w:rsidRPr="00F20BC9">
        <w:rPr>
          <w:b/>
          <w:bCs/>
        </w:rPr>
        <w:t>upptäcka serum-</w:t>
      </w:r>
      <w:proofErr w:type="spellStart"/>
      <w:r w:rsidRPr="00F20BC9">
        <w:rPr>
          <w:b/>
          <w:bCs/>
        </w:rPr>
        <w:t>eosinofili</w:t>
      </w:r>
      <w:proofErr w:type="spellEnd"/>
      <w:r w:rsidRPr="00F20BC9">
        <w:t xml:space="preserve">. </w:t>
      </w:r>
      <w:r w:rsidRPr="00F20BC9">
        <w:rPr>
          <w:i/>
          <w:iCs/>
        </w:rPr>
        <w:t>Provet ska helst tas innan patienten får systemisk steroid</w:t>
      </w:r>
      <w:r w:rsidRPr="00F20BC9">
        <w:t xml:space="preserve"> (</w:t>
      </w:r>
      <w:proofErr w:type="spellStart"/>
      <w:r w:rsidRPr="00F20BC9">
        <w:t>Betapred</w:t>
      </w:r>
      <w:proofErr w:type="spellEnd"/>
      <w:r w:rsidRPr="00F20BC9">
        <w:t xml:space="preserve">). En </w:t>
      </w:r>
      <w:proofErr w:type="spellStart"/>
      <w:r w:rsidRPr="00F20BC9">
        <w:t>anafylaxi</w:t>
      </w:r>
      <w:proofErr w:type="spellEnd"/>
      <w:r w:rsidRPr="00F20BC9">
        <w:t xml:space="preserve"> med svår bronkobstruktiv reaktion kan signalera att patienten har obehandlad astma (eller KOL) i botten. Svår nästäppa ökar sannolikheten för astma. Utsläckt luktsinne signalerar dessutom </w:t>
      </w:r>
      <w:proofErr w:type="gramStart"/>
      <w:r w:rsidRPr="00F20BC9">
        <w:t xml:space="preserve">utbredd </w:t>
      </w:r>
      <w:proofErr w:type="spellStart"/>
      <w:r w:rsidRPr="00F20BC9">
        <w:t>näspolypos</w:t>
      </w:r>
      <w:proofErr w:type="spellEnd"/>
      <w:proofErr w:type="gramEnd"/>
      <w:r w:rsidRPr="00F20BC9">
        <w:t xml:space="preserve">. I denna patientgrupp finns hög risk för ASA/NSAID-korsintolerans (N-ERD/AERD), men de tål i regel selektiva COX2-hämmare, </w:t>
      </w:r>
      <w:proofErr w:type="gramStart"/>
      <w:r w:rsidRPr="00F20BC9">
        <w:t>t.ex.</w:t>
      </w:r>
      <w:proofErr w:type="gramEnd"/>
      <w:r w:rsidRPr="00F20BC9">
        <w:t xml:space="preserve"> </w:t>
      </w:r>
      <w:proofErr w:type="spellStart"/>
      <w:r w:rsidRPr="00F20BC9">
        <w:t>etoricoxib</w:t>
      </w:r>
      <w:proofErr w:type="spellEnd"/>
      <w:r w:rsidRPr="00F20BC9">
        <w:t xml:space="preserve"> (</w:t>
      </w:r>
      <w:proofErr w:type="spellStart"/>
      <w:r w:rsidRPr="00F20BC9">
        <w:t>Arcoxia</w:t>
      </w:r>
      <w:proofErr w:type="spellEnd"/>
      <w:r w:rsidRPr="00F20BC9">
        <w:t>). Mot den systemiska eosinofila grundsjuk</w:t>
      </w:r>
      <w:r w:rsidR="003E239B">
        <w:softHyphen/>
      </w:r>
      <w:r w:rsidRPr="00F20BC9">
        <w:t>domen finns flera godkända biologiska läkemedel, stor utveckling pågår. Remiss för astma-utredning [</w:t>
      </w:r>
      <w:proofErr w:type="gramStart"/>
      <w:r w:rsidRPr="00F20BC9">
        <w:t>29-30</w:t>
      </w:r>
      <w:proofErr w:type="gramEnd"/>
      <w:r w:rsidRPr="00F20BC9">
        <w:t>].</w:t>
      </w:r>
    </w:p>
    <w:p w14:paraId="2C9BC00E" w14:textId="77777777" w:rsidR="00F20BC9" w:rsidRPr="00F20BC9" w:rsidRDefault="00F20BC9" w:rsidP="004E6C3D">
      <w:pPr>
        <w:pStyle w:val="Rubrik3"/>
      </w:pPr>
      <w:bookmarkStart w:id="67" w:name="_Toc256000023"/>
      <w:bookmarkStart w:id="68" w:name="_Toc98317070"/>
      <w:bookmarkStart w:id="69" w:name="_Toc98329340"/>
      <w:bookmarkStart w:id="70" w:name="_Toc160800363"/>
      <w:r w:rsidRPr="00F20BC9">
        <w:t>Förebyggande läkemedel</w:t>
      </w:r>
      <w:bookmarkEnd w:id="67"/>
      <w:bookmarkEnd w:id="68"/>
      <w:bookmarkEnd w:id="69"/>
      <w:bookmarkEnd w:id="70"/>
    </w:p>
    <w:p w14:paraId="6E2396AD" w14:textId="77777777" w:rsidR="00F20BC9" w:rsidRPr="00F20BC9" w:rsidRDefault="00F20BC9" w:rsidP="00C7702C">
      <w:pPr>
        <w:pStyle w:val="Punktlista"/>
      </w:pPr>
      <w:r w:rsidRPr="005153DB">
        <w:rPr>
          <w:b/>
          <w:bCs/>
        </w:rPr>
        <w:t>Recept adrenalinpenna (</w:t>
      </w:r>
      <w:proofErr w:type="spellStart"/>
      <w:r w:rsidRPr="005153DB">
        <w:rPr>
          <w:b/>
          <w:bCs/>
        </w:rPr>
        <w:t>Epipen</w:t>
      </w:r>
      <w:proofErr w:type="spellEnd"/>
      <w:r w:rsidRPr="005153DB">
        <w:rPr>
          <w:b/>
          <w:bCs/>
        </w:rPr>
        <w:t xml:space="preserve">, </w:t>
      </w:r>
      <w:proofErr w:type="spellStart"/>
      <w:r w:rsidRPr="005153DB">
        <w:rPr>
          <w:b/>
          <w:bCs/>
        </w:rPr>
        <w:t>Emerade</w:t>
      </w:r>
      <w:proofErr w:type="spellEnd"/>
      <w:r w:rsidRPr="005153DB">
        <w:rPr>
          <w:b/>
          <w:bCs/>
        </w:rPr>
        <w:t xml:space="preserve"> eller </w:t>
      </w:r>
      <w:proofErr w:type="spellStart"/>
      <w:r w:rsidRPr="005153DB">
        <w:rPr>
          <w:b/>
          <w:bCs/>
        </w:rPr>
        <w:t>Jext</w:t>
      </w:r>
      <w:proofErr w:type="spellEnd"/>
      <w:r w:rsidRPr="005153DB">
        <w:rPr>
          <w:b/>
          <w:bCs/>
        </w:rPr>
        <w:t xml:space="preserve">), </w:t>
      </w:r>
      <w:proofErr w:type="spellStart"/>
      <w:r w:rsidRPr="005153DB">
        <w:rPr>
          <w:b/>
          <w:bCs/>
        </w:rPr>
        <w:t>Betapred</w:t>
      </w:r>
      <w:proofErr w:type="spellEnd"/>
      <w:r w:rsidRPr="005153DB">
        <w:rPr>
          <w:b/>
          <w:bCs/>
        </w:rPr>
        <w:t xml:space="preserve">, antihistamin (alltid icke-sederande), </w:t>
      </w:r>
      <w:proofErr w:type="gramStart"/>
      <w:r w:rsidRPr="005153DB">
        <w:rPr>
          <w:b/>
          <w:bCs/>
        </w:rPr>
        <w:t>t.ex.</w:t>
      </w:r>
      <w:proofErr w:type="gramEnd"/>
      <w:r w:rsidRPr="005153DB">
        <w:rPr>
          <w:b/>
          <w:bCs/>
        </w:rPr>
        <w:t xml:space="preserve"> </w:t>
      </w:r>
      <w:proofErr w:type="spellStart"/>
      <w:r w:rsidRPr="005153DB">
        <w:rPr>
          <w:b/>
          <w:bCs/>
        </w:rPr>
        <w:t>Caredin</w:t>
      </w:r>
      <w:proofErr w:type="spellEnd"/>
      <w:r w:rsidRPr="005153DB">
        <w:rPr>
          <w:b/>
          <w:bCs/>
        </w:rPr>
        <w:t xml:space="preserve"> 5 mg munsöndrande eller T. </w:t>
      </w:r>
      <w:proofErr w:type="spellStart"/>
      <w:r w:rsidRPr="005153DB">
        <w:rPr>
          <w:b/>
          <w:bCs/>
        </w:rPr>
        <w:t>Desloratadin</w:t>
      </w:r>
      <w:proofErr w:type="spellEnd"/>
      <w:r w:rsidRPr="005153DB">
        <w:rPr>
          <w:b/>
          <w:bCs/>
        </w:rPr>
        <w:t xml:space="preserve"> 5 mg</w:t>
      </w:r>
      <w:r w:rsidRPr="00F20BC9">
        <w:t>.</w:t>
      </w:r>
    </w:p>
    <w:p w14:paraId="66585086" w14:textId="77777777" w:rsidR="00F20BC9" w:rsidRPr="00F20BC9" w:rsidRDefault="00F20BC9" w:rsidP="00C7702C">
      <w:pPr>
        <w:pStyle w:val="Normalmedindrag"/>
      </w:pPr>
      <w:r w:rsidRPr="00F20BC9">
        <w:t xml:space="preserve">Om patienten varit obstruktiv vid </w:t>
      </w:r>
      <w:proofErr w:type="spellStart"/>
      <w:r w:rsidRPr="00F20BC9">
        <w:t>anafylaxi</w:t>
      </w:r>
      <w:proofErr w:type="spellEnd"/>
      <w:r w:rsidRPr="00F20BC9">
        <w:t xml:space="preserve">: Recept även på kortverkande B2agonist, helst </w:t>
      </w:r>
      <w:proofErr w:type="spellStart"/>
      <w:r w:rsidRPr="00CD103E">
        <w:rPr>
          <w:b/>
          <w:bCs/>
        </w:rPr>
        <w:t>Ventoline</w:t>
      </w:r>
      <w:proofErr w:type="spellEnd"/>
      <w:r w:rsidRPr="00CD103E">
        <w:rPr>
          <w:b/>
          <w:bCs/>
        </w:rPr>
        <w:t xml:space="preserve"> Diskus 0,2 mg</w:t>
      </w:r>
      <w:r w:rsidRPr="00F20BC9">
        <w:t xml:space="preserve"> (vilken har mycket lång hållbarhet). </w:t>
      </w:r>
      <w:r w:rsidRPr="00F20BC9">
        <w:rPr>
          <w:i/>
          <w:iCs/>
        </w:rPr>
        <w:t>Även om patienten inte har astma eller KOL i botten!</w:t>
      </w:r>
      <w:r w:rsidRPr="00F20BC9">
        <w:t xml:space="preserve"> Fyll i de läkemedel du förskrivit i en individuell handlingsplan till patienten. Skriv ut mallen i </w:t>
      </w:r>
      <w:proofErr w:type="spellStart"/>
      <w:r w:rsidRPr="00F20BC9">
        <w:t>pdf-format</w:t>
      </w:r>
      <w:proofErr w:type="spellEnd"/>
      <w:r w:rsidRPr="00F20BC9">
        <w:t xml:space="preserve"> under styrdokumenten medicin/allergologi, och fyll i när patienten närvarar. </w:t>
      </w:r>
      <w:proofErr w:type="gramStart"/>
      <w:r w:rsidRPr="00F20BC9">
        <w:t>Scanna</w:t>
      </w:r>
      <w:proofErr w:type="gramEnd"/>
      <w:r w:rsidRPr="00F20BC9">
        <w:t xml:space="preserve"> till journal.</w:t>
      </w:r>
    </w:p>
    <w:p w14:paraId="65161140" w14:textId="77777777" w:rsidR="00F20BC9" w:rsidRPr="00F20BC9" w:rsidRDefault="00F20BC9" w:rsidP="002166D9">
      <w:pPr>
        <w:pStyle w:val="Punktlista"/>
      </w:pPr>
      <w:r w:rsidRPr="002166D9">
        <w:rPr>
          <w:b/>
          <w:bCs/>
        </w:rPr>
        <w:t>Vilken adrenalin-penna bör väljas? Förmodligen likvärdiga i effekt</w:t>
      </w:r>
      <w:r w:rsidRPr="00F20BC9">
        <w:t>.</w:t>
      </w:r>
    </w:p>
    <w:p w14:paraId="1AA0A5A9" w14:textId="152EC999" w:rsidR="00F20BC9" w:rsidRPr="00F20BC9" w:rsidRDefault="00F20BC9" w:rsidP="00622ABE">
      <w:pPr>
        <w:pStyle w:val="Normalmedindrag"/>
      </w:pPr>
      <w:proofErr w:type="spellStart"/>
      <w:r w:rsidRPr="00F20BC9">
        <w:t>Emerade</w:t>
      </w:r>
      <w:proofErr w:type="spellEnd"/>
      <w:r w:rsidRPr="00F20BC9">
        <w:t xml:space="preserve"> har 2 styrkor att välja mellan: 0,3 mg respektive 0,5 mg. Styrkan 0,5 mg väljs med fördel till patienter som väger &gt;70 kg. Problemet med alla adrenalin-pennor, är att de olika fabrikaten (</w:t>
      </w:r>
      <w:proofErr w:type="spellStart"/>
      <w:r w:rsidRPr="00F20BC9">
        <w:t>Epipen</w:t>
      </w:r>
      <w:proofErr w:type="spellEnd"/>
      <w:r w:rsidRPr="00F20BC9">
        <w:t xml:space="preserve">, </w:t>
      </w:r>
      <w:proofErr w:type="spellStart"/>
      <w:r w:rsidRPr="00F20BC9">
        <w:t>Emerade</w:t>
      </w:r>
      <w:proofErr w:type="spellEnd"/>
      <w:r w:rsidRPr="00F20BC9">
        <w:t xml:space="preserve">, </w:t>
      </w:r>
      <w:proofErr w:type="spellStart"/>
      <w:r w:rsidRPr="00F20BC9">
        <w:t>Jext</w:t>
      </w:r>
      <w:proofErr w:type="spellEnd"/>
      <w:r w:rsidRPr="00F20BC9">
        <w:t>) ibland får temporära produktions</w:t>
      </w:r>
      <w:r w:rsidR="00241B86">
        <w:t>-</w:t>
      </w:r>
      <w:r w:rsidRPr="00F20BC9">
        <w:t xml:space="preserve"> eller distributionsstopp. Förskrivare bör uppdatera sig. </w:t>
      </w:r>
      <w:proofErr w:type="spellStart"/>
      <w:r w:rsidRPr="00F20BC9">
        <w:t>Epipen</w:t>
      </w:r>
      <w:proofErr w:type="spellEnd"/>
      <w:r w:rsidRPr="00F20BC9">
        <w:t xml:space="preserve"> har haft minst leveransproblem genom åren. Patienten bör uppmanas att kontrollera hållbarhetsdatum på apoteket, innan köpet accepteras. Varje penna bör hålla minst 12 månader.</w:t>
      </w:r>
    </w:p>
    <w:p w14:paraId="1FFFFCF8" w14:textId="77777777" w:rsidR="00F20BC9" w:rsidRPr="00F20BC9" w:rsidRDefault="00F20BC9" w:rsidP="00622ABE">
      <w:pPr>
        <w:pStyle w:val="Normalmedindrag"/>
      </w:pPr>
      <w:r w:rsidRPr="00F20BC9">
        <w:t>Den som förskriver adrenalinpenna måste också se till att patienten får öva på att ge sig injektion. Visa helst med attrapp av adrenalinpenna, innan patienten släpps hem från akutmottagningen eller vårdavdelning.</w:t>
      </w:r>
    </w:p>
    <w:p w14:paraId="3A986EE4" w14:textId="77777777" w:rsidR="00F20BC9" w:rsidRPr="00F20BC9" w:rsidRDefault="00F20BC9" w:rsidP="00622ABE">
      <w:pPr>
        <w:pStyle w:val="Normalmedindrag"/>
      </w:pPr>
      <w:r w:rsidRPr="00F20BC9">
        <w:lastRenderedPageBreak/>
        <w:t xml:space="preserve">Under kontorstid kan patienten få komma till allergimottagningen för instruktion. Ring i så fall allergisjuksköterska på tfn </w:t>
      </w:r>
      <w:r w:rsidRPr="00F20BC9">
        <w:rPr>
          <w:b/>
          <w:bCs/>
        </w:rPr>
        <w:t>033 - 616 14 66</w:t>
      </w:r>
      <w:r w:rsidRPr="00F20BC9">
        <w:t xml:space="preserve"> och avtala tid.</w:t>
      </w:r>
    </w:p>
    <w:p w14:paraId="04E2EE88" w14:textId="77777777" w:rsidR="00F20BC9" w:rsidRPr="00F20BC9" w:rsidRDefault="00F20BC9" w:rsidP="00622ABE">
      <w:pPr>
        <w:pStyle w:val="Normalmedindrag"/>
      </w:pPr>
      <w:r w:rsidRPr="00F20BC9">
        <w:t xml:space="preserve">Under jourtid, om patienten har svårt att ta till sig informationen hur adrenalinpenna används, be patienten ringa allergimottagningen på kontorstid, tfn </w:t>
      </w:r>
      <w:r w:rsidRPr="00F20BC9">
        <w:rPr>
          <w:b/>
          <w:bCs/>
        </w:rPr>
        <w:t>033 - 616 14 66</w:t>
      </w:r>
      <w:r w:rsidRPr="00F20BC9">
        <w:t>.</w:t>
      </w:r>
    </w:p>
    <w:p w14:paraId="10E598BF" w14:textId="77777777" w:rsidR="00F20BC9" w:rsidRPr="00F20BC9" w:rsidRDefault="00F20BC9" w:rsidP="0059642F">
      <w:pPr>
        <w:pStyle w:val="Punktlista"/>
        <w:keepNext/>
      </w:pPr>
      <w:r w:rsidRPr="0059642F">
        <w:rPr>
          <w:b/>
          <w:bCs/>
        </w:rPr>
        <w:t>Nässelutslag (</w:t>
      </w:r>
      <w:proofErr w:type="spellStart"/>
      <w:r w:rsidRPr="0059642F">
        <w:rPr>
          <w:b/>
          <w:bCs/>
        </w:rPr>
        <w:t>Urtikaria</w:t>
      </w:r>
      <w:proofErr w:type="spellEnd"/>
      <w:r w:rsidRPr="0059642F">
        <w:rPr>
          <w:b/>
          <w:bCs/>
        </w:rPr>
        <w:t>), återkommande [</w:t>
      </w:r>
      <w:proofErr w:type="gramStart"/>
      <w:r w:rsidRPr="0059642F">
        <w:rPr>
          <w:b/>
          <w:bCs/>
        </w:rPr>
        <w:t>31-32</w:t>
      </w:r>
      <w:proofErr w:type="gramEnd"/>
      <w:r w:rsidRPr="00F20BC9">
        <w:t>]:</w:t>
      </w:r>
    </w:p>
    <w:p w14:paraId="532199D9" w14:textId="77777777" w:rsidR="00F20BC9" w:rsidRPr="00F20BC9" w:rsidRDefault="00F20BC9" w:rsidP="00FB27D7">
      <w:r w:rsidRPr="00F20BC9">
        <w:t xml:space="preserve">Om dessa fortsätter efter 1 dygn och patienten i övrigt är opåverkad, gäller i första hand att öka dosen antihistamin. Ge </w:t>
      </w:r>
      <w:proofErr w:type="spellStart"/>
      <w:r w:rsidRPr="00F20BC9">
        <w:rPr>
          <w:i/>
          <w:iCs/>
        </w:rPr>
        <w:t>desloratadin</w:t>
      </w:r>
      <w:proofErr w:type="spellEnd"/>
      <w:r w:rsidRPr="00F20BC9">
        <w:rPr>
          <w:i/>
          <w:iCs/>
        </w:rPr>
        <w:t xml:space="preserve"> 5 mg i dosen 2+0+2 (alternativt </w:t>
      </w:r>
      <w:proofErr w:type="spellStart"/>
      <w:r w:rsidRPr="00F20BC9">
        <w:rPr>
          <w:i/>
          <w:iCs/>
        </w:rPr>
        <w:t>loratadin</w:t>
      </w:r>
      <w:proofErr w:type="spellEnd"/>
      <w:r w:rsidRPr="00F20BC9">
        <w:rPr>
          <w:i/>
          <w:iCs/>
        </w:rPr>
        <w:t xml:space="preserve"> el </w:t>
      </w:r>
      <w:proofErr w:type="spellStart"/>
      <w:r w:rsidRPr="00F20BC9">
        <w:rPr>
          <w:i/>
          <w:iCs/>
        </w:rPr>
        <w:t>cetiricin</w:t>
      </w:r>
      <w:proofErr w:type="spellEnd"/>
      <w:r w:rsidRPr="00F20BC9">
        <w:rPr>
          <w:i/>
          <w:iCs/>
        </w:rPr>
        <w:t xml:space="preserve"> 10 mg, 2+0+2). Skriv ”obs!” på receptet</w:t>
      </w:r>
      <w:r w:rsidRPr="00F20BC9">
        <w:t>. (</w:t>
      </w:r>
      <w:proofErr w:type="spellStart"/>
      <w:r w:rsidRPr="00F20BC9">
        <w:t>Tavegyl</w:t>
      </w:r>
      <w:proofErr w:type="spellEnd"/>
      <w:r w:rsidRPr="00F20BC9">
        <w:t xml:space="preserve"> 1 mg kan ges extra till natten om patienten har svårt att sova p.g.a. klåda). Endast i andra hand ges </w:t>
      </w:r>
      <w:proofErr w:type="gramStart"/>
      <w:r w:rsidRPr="00F20BC9">
        <w:t>tablett kortison</w:t>
      </w:r>
      <w:proofErr w:type="gramEnd"/>
      <w:r w:rsidRPr="00F20BC9">
        <w:t xml:space="preserve"> (brukar inte behövas). Akuta och kroniska nässelutslag utan allergi-anamnes, har i regel inget med allergi att göra (vanlig missuppfattning).</w:t>
      </w:r>
    </w:p>
    <w:p w14:paraId="4B17F817" w14:textId="77777777" w:rsidR="00F20BC9" w:rsidRPr="00F20BC9" w:rsidRDefault="00F20BC9" w:rsidP="004E5184">
      <w:pPr>
        <w:pStyle w:val="Rubrik3"/>
      </w:pPr>
      <w:bookmarkStart w:id="71" w:name="_Toc256000024"/>
      <w:bookmarkStart w:id="72" w:name="_Toc256000009"/>
      <w:bookmarkStart w:id="73" w:name="_Toc31636926"/>
      <w:bookmarkStart w:id="74" w:name="_Toc98317071"/>
      <w:bookmarkStart w:id="75" w:name="_Toc98329341"/>
      <w:bookmarkStart w:id="76" w:name="_Toc160800364"/>
      <w:r w:rsidRPr="00F20BC9">
        <w:t>Utvidgad anamnes innan patienten går hem – tips</w:t>
      </w:r>
      <w:bookmarkEnd w:id="71"/>
      <w:bookmarkEnd w:id="72"/>
      <w:bookmarkEnd w:id="73"/>
      <w:bookmarkEnd w:id="74"/>
      <w:bookmarkEnd w:id="75"/>
      <w:bookmarkEnd w:id="76"/>
    </w:p>
    <w:p w14:paraId="71957786" w14:textId="77777777" w:rsidR="00F20BC9" w:rsidRPr="00F20BC9" w:rsidRDefault="00F20BC9" w:rsidP="00FF246F">
      <w:pPr>
        <w:spacing w:after="0"/>
      </w:pPr>
      <w:r w:rsidRPr="00E600F5">
        <w:rPr>
          <w:b/>
          <w:bCs/>
        </w:rPr>
        <w:t>Finns förstärkningsfaktor (co-faktor) med innan symtomdebut?</w:t>
      </w:r>
      <w:r w:rsidRPr="00F20BC9">
        <w:t xml:space="preserve"> [33 – 36].</w:t>
      </w:r>
    </w:p>
    <w:p w14:paraId="0E174279" w14:textId="7BE5431A" w:rsidR="00F20BC9" w:rsidRPr="00F20BC9" w:rsidRDefault="00F20BC9" w:rsidP="000A3860">
      <w:r w:rsidRPr="00F20BC9">
        <w:t>Fysisk ansträngning? Samtidigt intag av alkohol eller kanske NSAID? Pågående pollenallergi? Pågående infektion? Behandling med B-blockad och ACE-hämmare?]</w:t>
      </w:r>
    </w:p>
    <w:p w14:paraId="2D5DD9ED" w14:textId="38633BF2" w:rsidR="00F20BC9" w:rsidRPr="00F20BC9" w:rsidRDefault="00F20BC9" w:rsidP="00FF246F">
      <w:pPr>
        <w:spacing w:after="0"/>
      </w:pPr>
      <w:r w:rsidRPr="00FF246F">
        <w:rPr>
          <w:b/>
          <w:bCs/>
        </w:rPr>
        <w:t>Finns riskfaktor (underliggande sjukdom)?</w:t>
      </w:r>
      <w:r w:rsidRPr="00F20BC9">
        <w:t xml:space="preserve"> [</w:t>
      </w:r>
      <w:proofErr w:type="gramStart"/>
      <w:r w:rsidRPr="00F20BC9">
        <w:t>37-51</w:t>
      </w:r>
      <w:proofErr w:type="gramEnd"/>
      <w:r w:rsidRPr="00F20BC9">
        <w:t>]</w:t>
      </w:r>
      <w:r w:rsidR="00FF246F">
        <w:t>.</w:t>
      </w:r>
    </w:p>
    <w:p w14:paraId="047E14E5" w14:textId="08DE237C" w:rsidR="00F20BC9" w:rsidRPr="00F20BC9" w:rsidRDefault="00F20BC9" w:rsidP="00FF246F">
      <w:r w:rsidRPr="00F20BC9">
        <w:t xml:space="preserve">Vid misstänkt nötallergi och astmasymtom, överväg </w:t>
      </w:r>
      <w:r w:rsidRPr="00F20BC9">
        <w:rPr>
          <w:i/>
          <w:iCs/>
        </w:rPr>
        <w:t>obehandlad eller dåligt behandlad astma</w:t>
      </w:r>
      <w:r w:rsidRPr="00F20BC9">
        <w:t xml:space="preserve"> och begär astmautredning med spirometri, utöver allergiutredning, i din remiss. </w:t>
      </w:r>
    </w:p>
    <w:p w14:paraId="73F446B7" w14:textId="5EAFF159" w:rsidR="00F20BC9" w:rsidRPr="00F20BC9" w:rsidRDefault="00F20BC9" w:rsidP="00FF246F">
      <w:r w:rsidRPr="00F20BC9">
        <w:t>Efter geting-/bi-chock: Mät blodtryck.</w:t>
      </w:r>
      <w:r w:rsidRPr="00F20BC9">
        <w:rPr>
          <w:i/>
          <w:iCs/>
        </w:rPr>
        <w:t xml:space="preserve"> Obehandlad hypertoni? </w:t>
      </w:r>
      <w:proofErr w:type="spellStart"/>
      <w:r w:rsidRPr="00F20BC9">
        <w:rPr>
          <w:i/>
          <w:iCs/>
        </w:rPr>
        <w:t>Hjärt-Kärlsjukdom</w:t>
      </w:r>
      <w:proofErr w:type="spellEnd"/>
      <w:r w:rsidRPr="00F20BC9">
        <w:rPr>
          <w:i/>
          <w:iCs/>
        </w:rPr>
        <w:t>?</w:t>
      </w:r>
      <w:r w:rsidRPr="00F20BC9">
        <w:t xml:space="preserve"> Remiss primärvård. Efter svår geting-chock med komplett </w:t>
      </w:r>
      <w:proofErr w:type="spellStart"/>
      <w:r w:rsidRPr="00F20BC9">
        <w:t>syncope</w:t>
      </w:r>
      <w:proofErr w:type="spellEnd"/>
      <w:r w:rsidRPr="00F20BC9">
        <w:t xml:space="preserve">: </w:t>
      </w:r>
      <w:r w:rsidRPr="0096478E">
        <w:rPr>
          <w:b/>
          <w:bCs/>
        </w:rPr>
        <w:t xml:space="preserve">Systemisk </w:t>
      </w:r>
      <w:proofErr w:type="spellStart"/>
      <w:r w:rsidRPr="0096478E">
        <w:rPr>
          <w:b/>
          <w:bCs/>
        </w:rPr>
        <w:t>Mastocytos</w:t>
      </w:r>
      <w:proofErr w:type="spellEnd"/>
      <w:r w:rsidRPr="00F20BC9">
        <w:t xml:space="preserve"> eller </w:t>
      </w:r>
      <w:proofErr w:type="spellStart"/>
      <w:r w:rsidRPr="0096478E">
        <w:rPr>
          <w:b/>
          <w:bCs/>
        </w:rPr>
        <w:t>Monoclonal</w:t>
      </w:r>
      <w:proofErr w:type="spellEnd"/>
      <w:r w:rsidRPr="0096478E">
        <w:rPr>
          <w:b/>
          <w:bCs/>
        </w:rPr>
        <w:t xml:space="preserve"> Mastcells-sjukdom</w:t>
      </w:r>
      <w:r w:rsidRPr="00F20BC9">
        <w:t xml:space="preserve">? Finns tecken till </w:t>
      </w:r>
      <w:proofErr w:type="spellStart"/>
      <w:r w:rsidRPr="00F20BC9">
        <w:t>cutan</w:t>
      </w:r>
      <w:proofErr w:type="spellEnd"/>
      <w:r w:rsidRPr="00F20BC9">
        <w:t xml:space="preserve"> </w:t>
      </w:r>
      <w:proofErr w:type="spellStart"/>
      <w:r w:rsidRPr="00F20BC9">
        <w:t>mastocytos</w:t>
      </w:r>
      <w:proofErr w:type="spellEnd"/>
      <w:r w:rsidRPr="00F20BC9">
        <w:t xml:space="preserve"> - titta på huden? Nyupptäckt riskfaktor är s</w:t>
      </w:r>
      <w:r w:rsidR="007A18BA">
        <w:t>.</w:t>
      </w:r>
      <w:r w:rsidRPr="00F20BC9">
        <w:t>k</w:t>
      </w:r>
      <w:r w:rsidR="007A18BA">
        <w:t>.</w:t>
      </w:r>
      <w:r w:rsidRPr="00F20BC9">
        <w:t xml:space="preserve"> </w:t>
      </w:r>
      <w:r w:rsidRPr="009D3711">
        <w:rPr>
          <w:b/>
          <w:bCs/>
        </w:rPr>
        <w:t>HAT</w:t>
      </w:r>
      <w:r w:rsidRPr="00F20BC9">
        <w:t xml:space="preserve"> (hereditär alfa- </w:t>
      </w:r>
      <w:proofErr w:type="spellStart"/>
      <w:r w:rsidRPr="00F20BC9">
        <w:t>tryptasemi</w:t>
      </w:r>
      <w:proofErr w:type="spellEnd"/>
      <w:r w:rsidRPr="00F20BC9">
        <w:t>),</w:t>
      </w:r>
      <w:r w:rsidR="009D3711">
        <w:t xml:space="preserve"> </w:t>
      </w:r>
      <w:r w:rsidRPr="00F20BC9">
        <w:t xml:space="preserve">kan förekomma samtidigt som </w:t>
      </w:r>
      <w:proofErr w:type="spellStart"/>
      <w:r w:rsidRPr="00F20BC9">
        <w:t>mastocytos</w:t>
      </w:r>
      <w:proofErr w:type="spellEnd"/>
      <w:r w:rsidRPr="00F20BC9">
        <w:t xml:space="preserve">. </w:t>
      </w:r>
      <w:r w:rsidRPr="009D3711">
        <w:rPr>
          <w:b/>
          <w:bCs/>
        </w:rPr>
        <w:t>MCAS</w:t>
      </w:r>
      <w:r w:rsidRPr="00F20BC9">
        <w:t xml:space="preserve"> (= mastcells-aktiverat syndrom), innebär återkommande </w:t>
      </w:r>
      <w:proofErr w:type="spellStart"/>
      <w:r w:rsidRPr="00F20BC9">
        <w:t>anafylaxi</w:t>
      </w:r>
      <w:proofErr w:type="spellEnd"/>
      <w:r w:rsidRPr="00F20BC9">
        <w:t xml:space="preserve"> med signifikant stegring av biomarkör (</w:t>
      </w:r>
      <w:proofErr w:type="gramStart"/>
      <w:r w:rsidRPr="00F20BC9">
        <w:t>t.ex.</w:t>
      </w:r>
      <w:proofErr w:type="gramEnd"/>
      <w:r w:rsidRPr="00F20BC9">
        <w:t xml:space="preserve"> </w:t>
      </w:r>
      <w:proofErr w:type="spellStart"/>
      <w:r w:rsidRPr="00F20BC9">
        <w:t>Tryptas</w:t>
      </w:r>
      <w:proofErr w:type="spellEnd"/>
      <w:r w:rsidRPr="00F20BC9">
        <w:t>).</w:t>
      </w:r>
    </w:p>
    <w:p w14:paraId="7D49DD27" w14:textId="24AC9312" w:rsidR="00F20BC9" w:rsidRPr="00F20BC9" w:rsidRDefault="00F20BC9" w:rsidP="00D4055D">
      <w:r w:rsidRPr="00F20BC9">
        <w:t xml:space="preserve">Om du misstänker allergi mot rött kött - </w:t>
      </w:r>
      <w:r w:rsidRPr="00F20BC9">
        <w:rPr>
          <w:b/>
          <w:bCs/>
        </w:rPr>
        <w:t>alfa GAL</w:t>
      </w:r>
      <w:r w:rsidRPr="00F20BC9">
        <w:t xml:space="preserve"> - (vilken kan debutera med flera timmars latens): Fråga efter fästingbett? (eventuellt efter Borrelia-infektion)? </w:t>
      </w:r>
      <w:r w:rsidRPr="00F20BC9">
        <w:rPr>
          <w:i/>
          <w:iCs/>
        </w:rPr>
        <w:t xml:space="preserve">Vanlig </w:t>
      </w:r>
      <w:proofErr w:type="spellStart"/>
      <w:r w:rsidRPr="00F20BC9">
        <w:rPr>
          <w:i/>
          <w:iCs/>
        </w:rPr>
        <w:t>cofactor</w:t>
      </w:r>
      <w:proofErr w:type="spellEnd"/>
      <w:r w:rsidRPr="00F20BC9">
        <w:rPr>
          <w:i/>
          <w:iCs/>
        </w:rPr>
        <w:t xml:space="preserve"> =NSAID (före/efter kött-intag</w:t>
      </w:r>
      <w:r w:rsidRPr="00F20BC9">
        <w:t xml:space="preserve">). Osäker på geting- eller bistick? I Sverige oftast getingstick. Om gadden satt kvar, överväg bistick. </w:t>
      </w:r>
      <w:r w:rsidRPr="00F20BC9">
        <w:rPr>
          <w:b/>
          <w:bCs/>
        </w:rPr>
        <w:t xml:space="preserve">Notera patientens </w:t>
      </w:r>
      <w:r w:rsidR="00665E1F" w:rsidRPr="00F20BC9">
        <w:rPr>
          <w:b/>
          <w:bCs/>
        </w:rPr>
        <w:t xml:space="preserve">alla </w:t>
      </w:r>
      <w:r w:rsidRPr="00F20BC9">
        <w:rPr>
          <w:b/>
          <w:bCs/>
        </w:rPr>
        <w:t>aktuella telefonnummer</w:t>
      </w:r>
      <w:r w:rsidRPr="00F20BC9">
        <w:t>.</w:t>
      </w:r>
    </w:p>
    <w:p w14:paraId="15B618FB" w14:textId="77777777" w:rsidR="00F20BC9" w:rsidRPr="00F20BC9" w:rsidRDefault="00F20BC9" w:rsidP="009C2B64">
      <w:pPr>
        <w:pStyle w:val="Rubrik3"/>
        <w:widowControl w:val="0"/>
      </w:pPr>
      <w:bookmarkStart w:id="77" w:name="_Toc256000025"/>
      <w:bookmarkStart w:id="78" w:name="_Toc256000010"/>
      <w:bookmarkStart w:id="79" w:name="_Toc31636927"/>
      <w:bookmarkStart w:id="80" w:name="_Toc98317072"/>
      <w:bookmarkStart w:id="81" w:name="_Toc98329342"/>
      <w:bookmarkStart w:id="82" w:name="_Toc160800365"/>
      <w:r w:rsidRPr="00F20BC9">
        <w:lastRenderedPageBreak/>
        <w:t>Journaldokumentation</w:t>
      </w:r>
      <w:bookmarkEnd w:id="77"/>
      <w:bookmarkEnd w:id="78"/>
      <w:bookmarkEnd w:id="79"/>
      <w:bookmarkEnd w:id="80"/>
      <w:bookmarkEnd w:id="81"/>
      <w:bookmarkEnd w:id="82"/>
    </w:p>
    <w:p w14:paraId="07372B53" w14:textId="5F8D1264" w:rsidR="009E3BB2" w:rsidRDefault="00F20BC9" w:rsidP="009C2B64">
      <w:pPr>
        <w:keepNext/>
        <w:keepLines/>
        <w:widowControl w:val="0"/>
        <w:spacing w:line="240" w:lineRule="auto"/>
        <w:ind w:right="0"/>
        <w:rPr>
          <w:rFonts w:ascii="Calibri" w:hAnsi="Calibri"/>
          <w:b/>
          <w:color w:val="000000"/>
          <w:sz w:val="26"/>
          <w:szCs w:val="18"/>
        </w:rPr>
      </w:pPr>
      <w:proofErr w:type="spellStart"/>
      <w:r w:rsidRPr="00F20BC9">
        <w:rPr>
          <w:b/>
          <w:bCs/>
          <w:szCs w:val="20"/>
        </w:rPr>
        <w:t>Varningsmärk</w:t>
      </w:r>
      <w:proofErr w:type="spellEnd"/>
      <w:r w:rsidRPr="00F20BC9">
        <w:rPr>
          <w:b/>
          <w:bCs/>
          <w:szCs w:val="20"/>
        </w:rPr>
        <w:t xml:space="preserve"> journalen</w:t>
      </w:r>
      <w:r w:rsidRPr="00F20BC9">
        <w:rPr>
          <w:szCs w:val="20"/>
        </w:rPr>
        <w:t xml:space="preserve"> om patienten haft en allvarlig (livshotande) reaktion med säkerställd orsak, se rutinen ”</w:t>
      </w:r>
      <w:hyperlink r:id="rId14" w:history="1">
        <w:r w:rsidRPr="00E10D80">
          <w:rPr>
            <w:rStyle w:val="Hyperlnk"/>
          </w:rPr>
          <w:t>Varningar och begränsning av vårdinsats i Melior</w:t>
        </w:r>
      </w:hyperlink>
      <w:r w:rsidRPr="00F20BC9">
        <w:rPr>
          <w:szCs w:val="20"/>
        </w:rPr>
        <w:t>”.</w:t>
      </w:r>
    </w:p>
    <w:p w14:paraId="7999E610" w14:textId="663E8312" w:rsidR="00D374B9" w:rsidRDefault="00F20BC9" w:rsidP="009C2B64">
      <w:pPr>
        <w:pStyle w:val="MellanrubrikVGR"/>
      </w:pPr>
      <w:bookmarkStart w:id="83" w:name="_Toc160800366"/>
      <w:r w:rsidRPr="00F20BC9">
        <w:t>Diagnoskoder</w:t>
      </w:r>
      <w:bookmarkEnd w:id="83"/>
    </w:p>
    <w:p w14:paraId="5A8D6F94" w14:textId="201BE93A" w:rsidR="00F20BC9" w:rsidRPr="00F20BC9" w:rsidRDefault="00F20BC9" w:rsidP="009C2B64">
      <w:pPr>
        <w:keepNext/>
        <w:keepLines/>
        <w:widowControl w:val="0"/>
      </w:pPr>
      <w:proofErr w:type="spellStart"/>
      <w:r w:rsidRPr="00D374B9">
        <w:t>Anafylaxi</w:t>
      </w:r>
      <w:proofErr w:type="spellEnd"/>
      <w:r w:rsidRPr="00D374B9">
        <w:t xml:space="preserve"> (en klinisk diagnos), ska sättas enbart då diagnostiska kriterier är uppfyllda.</w:t>
      </w:r>
    </w:p>
    <w:p w14:paraId="7EFE6DA2" w14:textId="77777777" w:rsidR="00F20BC9" w:rsidRPr="00F20BC9" w:rsidRDefault="00F20BC9" w:rsidP="00D374B9">
      <w:pPr>
        <w:pStyle w:val="Punktlista"/>
      </w:pPr>
      <w:r w:rsidRPr="00F20BC9">
        <w:t xml:space="preserve">Diagnos ska skrivas i klartext: </w:t>
      </w:r>
      <w:proofErr w:type="gramStart"/>
      <w:r w:rsidRPr="00F20BC9">
        <w:t>T.ex.</w:t>
      </w:r>
      <w:proofErr w:type="gramEnd"/>
      <w:r w:rsidRPr="00F20BC9">
        <w:t xml:space="preserve"> </w:t>
      </w:r>
      <w:r w:rsidRPr="00F20BC9">
        <w:br/>
        <w:t xml:space="preserve">ex 1: </w:t>
      </w:r>
      <w:proofErr w:type="spellStart"/>
      <w:r w:rsidRPr="00F20BC9">
        <w:t>Anafylaxi</w:t>
      </w:r>
      <w:proofErr w:type="spellEnd"/>
      <w:r w:rsidRPr="00F20BC9">
        <w:t xml:space="preserve"> grad 2 av jordnöt, T78.0 + X58.99</w:t>
      </w:r>
      <w:r w:rsidRPr="00F20BC9">
        <w:br/>
        <w:t xml:space="preserve">ex 2: </w:t>
      </w:r>
      <w:proofErr w:type="spellStart"/>
      <w:r w:rsidRPr="00F20BC9">
        <w:t>Anafylaxi</w:t>
      </w:r>
      <w:proofErr w:type="spellEnd"/>
      <w:r w:rsidRPr="00F20BC9">
        <w:t xml:space="preserve"> grad 3 av getingstick T78.2 + X23.99</w:t>
      </w:r>
      <w:r w:rsidRPr="00F20BC9">
        <w:br/>
        <w:t>ex 3: Ospecifika nässelutslag (</w:t>
      </w:r>
      <w:proofErr w:type="spellStart"/>
      <w:r w:rsidRPr="00F20BC9">
        <w:t>urtikaria</w:t>
      </w:r>
      <w:proofErr w:type="spellEnd"/>
      <w:r w:rsidRPr="00F20BC9">
        <w:t>) utan anamnes på allergi, L50.9</w:t>
      </w:r>
      <w:r w:rsidRPr="00F20BC9">
        <w:br/>
        <w:t xml:space="preserve">ex 4: </w:t>
      </w:r>
      <w:proofErr w:type="spellStart"/>
      <w:r w:rsidRPr="00F20BC9">
        <w:t>Angioödem</w:t>
      </w:r>
      <w:proofErr w:type="spellEnd"/>
      <w:r w:rsidRPr="00F20BC9">
        <w:t xml:space="preserve">, </w:t>
      </w:r>
      <w:proofErr w:type="spellStart"/>
      <w:r w:rsidRPr="00F20BC9">
        <w:t>Quincke</w:t>
      </w:r>
      <w:proofErr w:type="spellEnd"/>
      <w:r w:rsidRPr="00F20BC9">
        <w:t xml:space="preserve"> utan allergianamnes, T78.3 och X59.99</w:t>
      </w:r>
    </w:p>
    <w:p w14:paraId="01C0DD23" w14:textId="77777777" w:rsidR="00F20BC9" w:rsidRPr="00F20BC9" w:rsidRDefault="00F20BC9" w:rsidP="005022E9">
      <w:pPr>
        <w:pStyle w:val="Punktlista"/>
      </w:pPr>
      <w:r w:rsidRPr="00F20BC9">
        <w:t xml:space="preserve">Diagnoserna i ICD-10 är dåliga på att beskriva överkänslighetsreaktioner, varför du kan ändra diagnostexten i ditt diktat, vid osäkerhet diktera ”misstänkt allergi mot </w:t>
      </w:r>
      <w:proofErr w:type="gramStart"/>
      <w:r w:rsidRPr="00F20BC9">
        <w:t>t.ex.</w:t>
      </w:r>
      <w:proofErr w:type="gramEnd"/>
      <w:r w:rsidRPr="00F20BC9">
        <w:t xml:space="preserve"> jordnöt”.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56"/>
        <w:gridCol w:w="5783"/>
      </w:tblGrid>
      <w:tr w:rsidR="00F20BC9" w:rsidRPr="00F20BC9" w14:paraId="60E66AF8" w14:textId="77777777" w:rsidTr="006C3C6A">
        <w:tc>
          <w:tcPr>
            <w:tcW w:w="2000" w:type="pct"/>
            <w:shd w:val="clear" w:color="auto" w:fill="E7E6E6"/>
          </w:tcPr>
          <w:p w14:paraId="5EF02FCD" w14:textId="77777777" w:rsidR="00F20BC9" w:rsidRPr="006C3C6A" w:rsidRDefault="00F20BC9" w:rsidP="006C3C6A">
            <w:pPr>
              <w:pStyle w:val="Tabelltext"/>
              <w:rPr>
                <w:b/>
                <w:bCs/>
              </w:rPr>
            </w:pPr>
            <w:r w:rsidRPr="006C3C6A">
              <w:rPr>
                <w:b/>
                <w:bCs/>
              </w:rPr>
              <w:t>Diagnosnummer</w:t>
            </w:r>
          </w:p>
        </w:tc>
        <w:tc>
          <w:tcPr>
            <w:tcW w:w="3000" w:type="pct"/>
            <w:shd w:val="clear" w:color="auto" w:fill="E7E6E6"/>
          </w:tcPr>
          <w:p w14:paraId="3F66AC22" w14:textId="77777777" w:rsidR="00F20BC9" w:rsidRPr="006C3C6A" w:rsidRDefault="00F20BC9" w:rsidP="006C3C6A">
            <w:pPr>
              <w:pStyle w:val="Tabelltext"/>
              <w:rPr>
                <w:b/>
                <w:bCs/>
              </w:rPr>
            </w:pPr>
            <w:r w:rsidRPr="006C3C6A">
              <w:rPr>
                <w:b/>
                <w:bCs/>
              </w:rPr>
              <w:t>Tilläggskoder</w:t>
            </w:r>
          </w:p>
        </w:tc>
      </w:tr>
      <w:tr w:rsidR="00F20BC9" w:rsidRPr="00F20BC9" w14:paraId="515531D7" w14:textId="77777777" w:rsidTr="006C3C6A">
        <w:tc>
          <w:tcPr>
            <w:tcW w:w="2000" w:type="pct"/>
            <w:shd w:val="clear" w:color="auto" w:fill="auto"/>
          </w:tcPr>
          <w:p w14:paraId="02A2850A" w14:textId="77777777" w:rsidR="00F20BC9" w:rsidRPr="006C3C6A" w:rsidRDefault="00F20BC9" w:rsidP="006C3C6A">
            <w:pPr>
              <w:pStyle w:val="Tabelltext"/>
            </w:pPr>
            <w:r w:rsidRPr="006C3C6A">
              <w:t>T78.4 Allergisk/överkänslighetsreaktion</w:t>
            </w:r>
          </w:p>
        </w:tc>
        <w:tc>
          <w:tcPr>
            <w:tcW w:w="3000" w:type="pct"/>
            <w:shd w:val="clear" w:color="auto" w:fill="auto"/>
          </w:tcPr>
          <w:p w14:paraId="2FD6750D" w14:textId="77777777" w:rsidR="00F20BC9" w:rsidRPr="006C3C6A" w:rsidRDefault="00F20BC9" w:rsidP="006C3C6A">
            <w:pPr>
              <w:pStyle w:val="Tabelltext"/>
            </w:pPr>
            <w:r w:rsidRPr="006C3C6A">
              <w:t>X58.99 Känt ämne (99 är plats och aktivitetskod, 99 = UNS)</w:t>
            </w:r>
          </w:p>
        </w:tc>
      </w:tr>
      <w:tr w:rsidR="00F20BC9" w:rsidRPr="00F20BC9" w14:paraId="394550D3" w14:textId="77777777" w:rsidTr="006C3C6A">
        <w:tc>
          <w:tcPr>
            <w:tcW w:w="2000" w:type="pct"/>
            <w:shd w:val="clear" w:color="auto" w:fill="auto"/>
          </w:tcPr>
          <w:p w14:paraId="4C65E5D6" w14:textId="77777777" w:rsidR="00F20BC9" w:rsidRPr="006C3C6A" w:rsidRDefault="00F20BC9" w:rsidP="006C3C6A">
            <w:pPr>
              <w:pStyle w:val="Tabelltext"/>
            </w:pPr>
            <w:r w:rsidRPr="006C3C6A">
              <w:t xml:space="preserve">T78.0 </w:t>
            </w:r>
            <w:proofErr w:type="spellStart"/>
            <w:r w:rsidRPr="006C3C6A">
              <w:t>Anafylaxi</w:t>
            </w:r>
            <w:proofErr w:type="spellEnd"/>
            <w:r w:rsidRPr="006C3C6A">
              <w:t xml:space="preserve"> (av födoämne)</w:t>
            </w:r>
          </w:p>
        </w:tc>
        <w:tc>
          <w:tcPr>
            <w:tcW w:w="3000" w:type="pct"/>
            <w:shd w:val="clear" w:color="auto" w:fill="auto"/>
          </w:tcPr>
          <w:p w14:paraId="7C2F2FAF" w14:textId="77777777" w:rsidR="00F20BC9" w:rsidRPr="006C3C6A" w:rsidRDefault="00F20BC9" w:rsidP="006C3C6A">
            <w:pPr>
              <w:pStyle w:val="Tabelltext"/>
            </w:pPr>
            <w:r w:rsidRPr="006C3C6A">
              <w:t>X59.99 Okänt ämne</w:t>
            </w:r>
          </w:p>
        </w:tc>
      </w:tr>
      <w:tr w:rsidR="00F20BC9" w:rsidRPr="00F20BC9" w14:paraId="54E78853" w14:textId="77777777" w:rsidTr="006C3C6A">
        <w:tc>
          <w:tcPr>
            <w:tcW w:w="2000" w:type="pct"/>
            <w:shd w:val="clear" w:color="auto" w:fill="auto"/>
          </w:tcPr>
          <w:p w14:paraId="333A790F" w14:textId="77777777" w:rsidR="00F20BC9" w:rsidRPr="006C3C6A" w:rsidRDefault="00F20BC9" w:rsidP="006C3C6A">
            <w:pPr>
              <w:pStyle w:val="Tabelltext"/>
            </w:pPr>
            <w:r w:rsidRPr="006C3C6A">
              <w:t xml:space="preserve">T88.6 </w:t>
            </w:r>
            <w:proofErr w:type="spellStart"/>
            <w:r w:rsidRPr="006C3C6A">
              <w:t>Anafylaxi</w:t>
            </w:r>
            <w:proofErr w:type="spellEnd"/>
            <w:r w:rsidRPr="006C3C6A">
              <w:t xml:space="preserve"> (av läkemedel)</w:t>
            </w:r>
          </w:p>
        </w:tc>
        <w:tc>
          <w:tcPr>
            <w:tcW w:w="3000" w:type="pct"/>
            <w:shd w:val="clear" w:color="auto" w:fill="auto"/>
          </w:tcPr>
          <w:p w14:paraId="6542F616" w14:textId="77777777" w:rsidR="00F20BC9" w:rsidRPr="006C3C6A" w:rsidRDefault="00F20BC9" w:rsidP="006C3C6A">
            <w:pPr>
              <w:pStyle w:val="Tabelltext"/>
            </w:pPr>
            <w:r w:rsidRPr="006C3C6A">
              <w:t>Y40 – Y59 (Utlösande läkemedel)</w:t>
            </w:r>
          </w:p>
        </w:tc>
      </w:tr>
      <w:tr w:rsidR="00F20BC9" w:rsidRPr="00F20BC9" w14:paraId="482302ED" w14:textId="77777777" w:rsidTr="006C3C6A">
        <w:tc>
          <w:tcPr>
            <w:tcW w:w="2000" w:type="pct"/>
            <w:shd w:val="clear" w:color="auto" w:fill="auto"/>
          </w:tcPr>
          <w:p w14:paraId="5165CC4A" w14:textId="77777777" w:rsidR="00F20BC9" w:rsidRPr="006C3C6A" w:rsidRDefault="00F20BC9" w:rsidP="006C3C6A">
            <w:pPr>
              <w:pStyle w:val="Tabelltext"/>
            </w:pPr>
            <w:r w:rsidRPr="006C3C6A">
              <w:t xml:space="preserve">T78.2 </w:t>
            </w:r>
            <w:proofErr w:type="spellStart"/>
            <w:r w:rsidRPr="006C3C6A">
              <w:t>Anafylaxi</w:t>
            </w:r>
            <w:proofErr w:type="spellEnd"/>
            <w:r w:rsidRPr="006C3C6A">
              <w:t>, UNS</w:t>
            </w:r>
          </w:p>
        </w:tc>
        <w:tc>
          <w:tcPr>
            <w:tcW w:w="3000" w:type="pct"/>
            <w:shd w:val="clear" w:color="auto" w:fill="auto"/>
          </w:tcPr>
          <w:p w14:paraId="495B218D" w14:textId="77777777" w:rsidR="00F20BC9" w:rsidRPr="006C3C6A" w:rsidRDefault="00F20BC9" w:rsidP="006C3C6A">
            <w:pPr>
              <w:pStyle w:val="Tabelltext"/>
            </w:pPr>
            <w:r w:rsidRPr="006C3C6A">
              <w:t xml:space="preserve">X59.00 När X-kod krävs vid </w:t>
            </w:r>
            <w:proofErr w:type="gramStart"/>
            <w:r w:rsidRPr="006C3C6A">
              <w:t>t.ex.</w:t>
            </w:r>
            <w:proofErr w:type="gramEnd"/>
            <w:r w:rsidRPr="006C3C6A">
              <w:t xml:space="preserve"> </w:t>
            </w:r>
            <w:proofErr w:type="spellStart"/>
            <w:r w:rsidRPr="006C3C6A">
              <w:t>urtikaria</w:t>
            </w:r>
            <w:proofErr w:type="spellEnd"/>
            <w:r w:rsidRPr="006C3C6A">
              <w:t>-/</w:t>
            </w:r>
            <w:proofErr w:type="spellStart"/>
            <w:r w:rsidRPr="006C3C6A">
              <w:t>angioödemdiagnos</w:t>
            </w:r>
            <w:proofErr w:type="spellEnd"/>
          </w:p>
        </w:tc>
      </w:tr>
    </w:tbl>
    <w:p w14:paraId="02341CBC" w14:textId="06FD7D4A" w:rsidR="00F20BC9" w:rsidRPr="00F20BC9" w:rsidRDefault="00F20BC9" w:rsidP="002D14A5">
      <w:pPr>
        <w:pStyle w:val="Rubrik2"/>
        <w:spacing w:before="360"/>
      </w:pPr>
      <w:bookmarkStart w:id="84" w:name="_Toc256000026"/>
      <w:bookmarkStart w:id="85" w:name="_Toc256000011"/>
      <w:bookmarkStart w:id="86" w:name="_Toc182366122"/>
      <w:bookmarkStart w:id="87" w:name="_Toc419894904"/>
      <w:bookmarkStart w:id="88" w:name="_Toc429389360"/>
      <w:bookmarkStart w:id="89" w:name="_Toc429475155"/>
      <w:bookmarkStart w:id="90" w:name="_Toc31636928"/>
      <w:bookmarkStart w:id="91" w:name="_Toc98317073"/>
      <w:bookmarkStart w:id="92" w:name="_Toc98329343"/>
      <w:bookmarkStart w:id="93" w:name="_Toc160800367"/>
      <w:r w:rsidRPr="00F20BC9">
        <w:t>Dokumentinformation</w:t>
      </w:r>
      <w:bookmarkEnd w:id="84"/>
      <w:bookmarkEnd w:id="85"/>
      <w:bookmarkEnd w:id="86"/>
      <w:bookmarkEnd w:id="87"/>
      <w:bookmarkEnd w:id="88"/>
      <w:bookmarkEnd w:id="89"/>
      <w:bookmarkEnd w:id="90"/>
      <w:bookmarkEnd w:id="91"/>
      <w:bookmarkEnd w:id="92"/>
      <w:bookmarkEnd w:id="93"/>
    </w:p>
    <w:p w14:paraId="243F1B96" w14:textId="77777777" w:rsidR="00F20BC9" w:rsidRPr="00C84493" w:rsidRDefault="00F20BC9" w:rsidP="00C84493">
      <w:pPr>
        <w:spacing w:after="0"/>
        <w:rPr>
          <w:b/>
          <w:bCs/>
        </w:rPr>
      </w:pPr>
      <w:r w:rsidRPr="00C84493">
        <w:rPr>
          <w:b/>
          <w:bCs/>
        </w:rPr>
        <w:t>För innehållet svarar</w:t>
      </w:r>
    </w:p>
    <w:p w14:paraId="24120151" w14:textId="33334898" w:rsidR="00F20BC9" w:rsidRPr="00F20BC9" w:rsidRDefault="00F20BC9" w:rsidP="00C84493">
      <w:pPr>
        <w:rPr>
          <w:szCs w:val="20"/>
        </w:rPr>
      </w:pPr>
      <w:r w:rsidRPr="00F20BC9">
        <w:rPr>
          <w:szCs w:val="20"/>
        </w:rPr>
        <w:t xml:space="preserve">Dan Weinfeld, överläkare, allergologi (vuxna), </w:t>
      </w:r>
      <w:r w:rsidR="00C84493">
        <w:rPr>
          <w:szCs w:val="20"/>
        </w:rPr>
        <w:t>VO medicin</w:t>
      </w:r>
      <w:r w:rsidRPr="00F20BC9">
        <w:rPr>
          <w:szCs w:val="20"/>
        </w:rPr>
        <w:t>, SÄS</w:t>
      </w:r>
    </w:p>
    <w:p w14:paraId="61C95744" w14:textId="77777777" w:rsidR="00F20BC9" w:rsidRPr="00C84493" w:rsidRDefault="00F20BC9" w:rsidP="00C84493">
      <w:pPr>
        <w:spacing w:after="0"/>
        <w:rPr>
          <w:b/>
          <w:bCs/>
        </w:rPr>
      </w:pPr>
      <w:r w:rsidRPr="00C84493">
        <w:rPr>
          <w:b/>
          <w:bCs/>
        </w:rPr>
        <w:t>Remissinstanser (utgåva 1)</w:t>
      </w:r>
    </w:p>
    <w:p w14:paraId="0425B98D" w14:textId="77777777" w:rsidR="00F20BC9" w:rsidRPr="00F20BC9" w:rsidRDefault="00F20BC9" w:rsidP="00C84493">
      <w:pPr>
        <w:rPr>
          <w:szCs w:val="20"/>
        </w:rPr>
      </w:pPr>
      <w:r w:rsidRPr="00F20BC9">
        <w:rPr>
          <w:szCs w:val="20"/>
        </w:rPr>
        <w:t>Verksamhetschefer, SÄS</w:t>
      </w:r>
    </w:p>
    <w:p w14:paraId="364C14A4" w14:textId="77777777" w:rsidR="00F20BC9" w:rsidRPr="00C84493" w:rsidRDefault="00F20BC9" w:rsidP="00C84493">
      <w:pPr>
        <w:spacing w:after="0"/>
        <w:rPr>
          <w:b/>
          <w:bCs/>
        </w:rPr>
      </w:pPr>
      <w:r w:rsidRPr="00C84493">
        <w:rPr>
          <w:b/>
          <w:bCs/>
        </w:rPr>
        <w:t>Fastställt av</w:t>
      </w:r>
    </w:p>
    <w:p w14:paraId="1FC096D2" w14:textId="77777777" w:rsidR="00F20BC9" w:rsidRPr="00F20BC9" w:rsidRDefault="00F20BC9" w:rsidP="00C84493">
      <w:pPr>
        <w:rPr>
          <w:szCs w:val="20"/>
        </w:rPr>
      </w:pPr>
      <w:r w:rsidRPr="00F20BC9">
        <w:rPr>
          <w:szCs w:val="20"/>
        </w:rPr>
        <w:t>Jerker Nilson, chefläkare, SÄS</w:t>
      </w:r>
    </w:p>
    <w:p w14:paraId="3A66B574" w14:textId="77777777" w:rsidR="00F20BC9" w:rsidRPr="00C84493" w:rsidRDefault="00F20BC9" w:rsidP="00C84493">
      <w:pPr>
        <w:spacing w:after="0"/>
        <w:rPr>
          <w:b/>
          <w:bCs/>
        </w:rPr>
      </w:pPr>
      <w:r w:rsidRPr="00C84493">
        <w:rPr>
          <w:b/>
          <w:bCs/>
        </w:rPr>
        <w:t>Nyckelord</w:t>
      </w:r>
    </w:p>
    <w:p w14:paraId="114C01B4" w14:textId="77777777" w:rsidR="00F20BC9" w:rsidRPr="00F20BC9" w:rsidRDefault="00F20BC9" w:rsidP="00C84493">
      <w:pPr>
        <w:rPr>
          <w:szCs w:val="20"/>
        </w:rPr>
      </w:pPr>
      <w:proofErr w:type="spellStart"/>
      <w:r w:rsidRPr="00F20BC9">
        <w:rPr>
          <w:szCs w:val="20"/>
        </w:rPr>
        <w:t>Anafylaxi</w:t>
      </w:r>
      <w:proofErr w:type="spellEnd"/>
      <w:r w:rsidRPr="00F20BC9">
        <w:rPr>
          <w:szCs w:val="20"/>
        </w:rPr>
        <w:t>, allergisk chock, adrenalin, överkänslighet, Attack-S-</w:t>
      </w:r>
      <w:proofErr w:type="spellStart"/>
      <w:r w:rsidRPr="00F20BC9">
        <w:rPr>
          <w:szCs w:val="20"/>
        </w:rPr>
        <w:t>Tryptas</w:t>
      </w:r>
      <w:proofErr w:type="spellEnd"/>
      <w:r w:rsidRPr="00F20BC9">
        <w:rPr>
          <w:szCs w:val="20"/>
        </w:rPr>
        <w:t xml:space="preserve"> och </w:t>
      </w:r>
      <w:proofErr w:type="spellStart"/>
      <w:r w:rsidRPr="00F20BC9">
        <w:rPr>
          <w:szCs w:val="20"/>
        </w:rPr>
        <w:t>baseline</w:t>
      </w:r>
      <w:proofErr w:type="spellEnd"/>
      <w:r w:rsidRPr="00F20BC9">
        <w:rPr>
          <w:szCs w:val="20"/>
        </w:rPr>
        <w:t>-S-</w:t>
      </w:r>
      <w:proofErr w:type="spellStart"/>
      <w:r w:rsidRPr="00F20BC9">
        <w:rPr>
          <w:szCs w:val="20"/>
        </w:rPr>
        <w:t>Tryptas</w:t>
      </w:r>
      <w:proofErr w:type="spellEnd"/>
      <w:r w:rsidRPr="00F20BC9">
        <w:rPr>
          <w:szCs w:val="20"/>
        </w:rPr>
        <w:t xml:space="preserve">, </w:t>
      </w:r>
      <w:proofErr w:type="spellStart"/>
      <w:r w:rsidRPr="00F20BC9">
        <w:rPr>
          <w:szCs w:val="20"/>
        </w:rPr>
        <w:t>mastocytos</w:t>
      </w:r>
      <w:proofErr w:type="spellEnd"/>
      <w:r w:rsidRPr="00F20BC9">
        <w:rPr>
          <w:szCs w:val="20"/>
        </w:rPr>
        <w:t>, astma</w:t>
      </w:r>
    </w:p>
    <w:p w14:paraId="7B554449" w14:textId="77777777" w:rsidR="003C7524" w:rsidRDefault="003C7524">
      <w:pPr>
        <w:spacing w:after="0" w:line="240" w:lineRule="auto"/>
        <w:ind w:right="0"/>
        <w:rPr>
          <w:rFonts w:asciiTheme="majorHAnsi" w:eastAsiaTheme="majorEastAsia" w:hAnsiTheme="majorHAnsi" w:cstheme="majorBidi"/>
          <w:bCs/>
          <w:color w:val="000000" w:themeColor="text1"/>
          <w:sz w:val="40"/>
          <w:szCs w:val="26"/>
        </w:rPr>
      </w:pPr>
      <w:bookmarkStart w:id="94" w:name="_Toc256000027"/>
      <w:bookmarkStart w:id="95" w:name="_Toc31636929"/>
      <w:bookmarkStart w:id="96" w:name="_Toc256000012"/>
      <w:bookmarkStart w:id="97" w:name="_Toc98317074"/>
      <w:bookmarkStart w:id="98" w:name="_Toc98329344"/>
      <w:r>
        <w:br w:type="page"/>
      </w:r>
    </w:p>
    <w:p w14:paraId="2BEA12B6" w14:textId="08533642" w:rsidR="00F20BC9" w:rsidRPr="00F20BC9" w:rsidRDefault="00F20BC9" w:rsidP="00874194">
      <w:pPr>
        <w:pStyle w:val="Rubrik2"/>
      </w:pPr>
      <w:bookmarkStart w:id="99" w:name="_Toc160800368"/>
      <w:r w:rsidRPr="00F20BC9">
        <w:lastRenderedPageBreak/>
        <w:t>Referensförteckning</w:t>
      </w:r>
      <w:bookmarkEnd w:id="94"/>
      <w:bookmarkEnd w:id="95"/>
      <w:bookmarkEnd w:id="96"/>
      <w:bookmarkEnd w:id="97"/>
      <w:bookmarkEnd w:id="98"/>
      <w:bookmarkEnd w:id="99"/>
    </w:p>
    <w:p w14:paraId="4DDC8C0F" w14:textId="77777777" w:rsidR="00F20BC9" w:rsidRPr="00F20BC9" w:rsidRDefault="00F20BC9" w:rsidP="00B353A9">
      <w:pPr>
        <w:pStyle w:val="Punktlistanumrerad"/>
      </w:pPr>
      <w:r w:rsidRPr="00F20BC9">
        <w:t xml:space="preserve">Svenska föreningen för allergologi (SFFA - reviderat senast </w:t>
      </w:r>
      <w:proofErr w:type="gramStart"/>
      <w:r w:rsidRPr="00F20BC9">
        <w:t>September</w:t>
      </w:r>
      <w:proofErr w:type="gramEnd"/>
      <w:r w:rsidRPr="00F20BC9">
        <w:t xml:space="preserve"> 2015</w:t>
      </w:r>
      <w:r w:rsidRPr="00F20BC9">
        <w:br/>
      </w:r>
      <w:hyperlink r:id="rId15" w:history="1">
        <w:r w:rsidRPr="00B353A9">
          <w:rPr>
            <w:rStyle w:val="Hyperlnk"/>
          </w:rPr>
          <w:t>www.sffa.nu</w:t>
        </w:r>
      </w:hyperlink>
      <w:r w:rsidRPr="00F20BC9">
        <w:t xml:space="preserve"> sök på riktlinjer: </w:t>
      </w:r>
      <w:proofErr w:type="spellStart"/>
      <w:r w:rsidRPr="00F20BC9">
        <w:t>Anafylaxi</w:t>
      </w:r>
      <w:proofErr w:type="spellEnd"/>
    </w:p>
    <w:p w14:paraId="20F60147" w14:textId="77777777" w:rsidR="00F20BC9" w:rsidRPr="00F20BC9" w:rsidRDefault="00F20BC9" w:rsidP="00B353A9">
      <w:pPr>
        <w:pStyle w:val="Punktlistanumrerad"/>
      </w:pPr>
      <w:r w:rsidRPr="00F20BC9">
        <w:t xml:space="preserve">Second symposium on the definition and management </w:t>
      </w:r>
      <w:proofErr w:type="spellStart"/>
      <w:r w:rsidRPr="00F20BC9">
        <w:t>of</w:t>
      </w:r>
      <w:proofErr w:type="spellEnd"/>
      <w:r w:rsidRPr="00F20BC9">
        <w:t xml:space="preserve"> </w:t>
      </w:r>
      <w:proofErr w:type="spellStart"/>
      <w:r w:rsidRPr="00F20BC9">
        <w:t>anaphylaxis</w:t>
      </w:r>
      <w:proofErr w:type="spellEnd"/>
      <w:r w:rsidRPr="00F20BC9">
        <w:t xml:space="preserve">: </w:t>
      </w:r>
      <w:proofErr w:type="spellStart"/>
      <w:r w:rsidRPr="00F20BC9">
        <w:t>Summary</w:t>
      </w:r>
      <w:proofErr w:type="spellEnd"/>
      <w:r w:rsidRPr="00F20BC9">
        <w:t xml:space="preserve"> </w:t>
      </w:r>
      <w:proofErr w:type="spellStart"/>
      <w:r w:rsidRPr="00F20BC9">
        <w:t>report</w:t>
      </w:r>
      <w:proofErr w:type="spellEnd"/>
      <w:r w:rsidRPr="00F20BC9">
        <w:t xml:space="preserve">- Second National </w:t>
      </w:r>
      <w:proofErr w:type="spellStart"/>
      <w:r w:rsidRPr="00F20BC9">
        <w:t>Institute</w:t>
      </w:r>
      <w:proofErr w:type="spellEnd"/>
      <w:r w:rsidRPr="00F20BC9">
        <w:t xml:space="preserve"> </w:t>
      </w:r>
      <w:proofErr w:type="spellStart"/>
      <w:r w:rsidRPr="00F20BC9">
        <w:t>of</w:t>
      </w:r>
      <w:proofErr w:type="spellEnd"/>
      <w:r w:rsidRPr="00F20BC9">
        <w:t xml:space="preserve"> </w:t>
      </w:r>
      <w:proofErr w:type="spellStart"/>
      <w:r w:rsidRPr="00F20BC9">
        <w:t>Allergy</w:t>
      </w:r>
      <w:proofErr w:type="spellEnd"/>
      <w:r w:rsidRPr="00F20BC9">
        <w:t xml:space="preserve"> and </w:t>
      </w:r>
      <w:proofErr w:type="spellStart"/>
      <w:r w:rsidRPr="00F20BC9">
        <w:t>Infectious</w:t>
      </w:r>
      <w:proofErr w:type="spellEnd"/>
      <w:r w:rsidRPr="00F20BC9">
        <w:t xml:space="preserve"> </w:t>
      </w:r>
      <w:proofErr w:type="spellStart"/>
      <w:r w:rsidRPr="00F20BC9">
        <w:t>Disease</w:t>
      </w:r>
      <w:proofErr w:type="spellEnd"/>
      <w:r w:rsidRPr="00F20BC9">
        <w:t>/</w:t>
      </w:r>
      <w:proofErr w:type="spellStart"/>
      <w:r w:rsidRPr="00F20BC9">
        <w:t>Food</w:t>
      </w:r>
      <w:proofErr w:type="spellEnd"/>
      <w:r w:rsidRPr="00F20BC9">
        <w:t xml:space="preserve"> </w:t>
      </w:r>
      <w:proofErr w:type="spellStart"/>
      <w:r w:rsidRPr="00F20BC9">
        <w:t>Allergy</w:t>
      </w:r>
      <w:proofErr w:type="spellEnd"/>
      <w:r w:rsidRPr="00F20BC9">
        <w:t xml:space="preserve"> &amp;</w:t>
      </w:r>
      <w:proofErr w:type="spellStart"/>
      <w:r w:rsidRPr="00F20BC9">
        <w:t>Anaphylaxis</w:t>
      </w:r>
      <w:proofErr w:type="spellEnd"/>
      <w:r w:rsidRPr="00F20BC9">
        <w:t xml:space="preserve"> </w:t>
      </w:r>
      <w:proofErr w:type="spellStart"/>
      <w:r w:rsidRPr="00F20BC9">
        <w:t>Network</w:t>
      </w:r>
      <w:proofErr w:type="spellEnd"/>
      <w:r w:rsidRPr="00F20BC9">
        <w:t xml:space="preserve"> symposium. </w:t>
      </w:r>
      <w:proofErr w:type="spellStart"/>
      <w:r w:rsidRPr="00F20BC9">
        <w:t>Sampson</w:t>
      </w:r>
      <w:proofErr w:type="spellEnd"/>
      <w:r w:rsidRPr="00F20BC9">
        <w:t xml:space="preserve">, H.A, JACI 2006 117 (2): </w:t>
      </w:r>
      <w:proofErr w:type="gramStart"/>
      <w:r w:rsidRPr="00F20BC9">
        <w:t>391-397</w:t>
      </w:r>
      <w:proofErr w:type="gramEnd"/>
    </w:p>
    <w:p w14:paraId="189BD4DE" w14:textId="77777777" w:rsidR="00F20BC9" w:rsidRPr="00F20BC9" w:rsidRDefault="00F20BC9" w:rsidP="00B353A9">
      <w:pPr>
        <w:pStyle w:val="Punktlistanumrerad"/>
      </w:pPr>
      <w:r w:rsidRPr="00F20BC9">
        <w:t xml:space="preserve">Position Paper: EAACI </w:t>
      </w:r>
      <w:proofErr w:type="spellStart"/>
      <w:r w:rsidRPr="00F20BC9">
        <w:t>guidelines</w:t>
      </w:r>
      <w:proofErr w:type="spellEnd"/>
      <w:r w:rsidRPr="00F20BC9">
        <w:t xml:space="preserve">: </w:t>
      </w:r>
      <w:proofErr w:type="spellStart"/>
      <w:r w:rsidRPr="00F20BC9">
        <w:t>Anaphylaxis</w:t>
      </w:r>
      <w:proofErr w:type="spellEnd"/>
      <w:r w:rsidRPr="00F20BC9">
        <w:t xml:space="preserve"> </w:t>
      </w:r>
      <w:proofErr w:type="gramStart"/>
      <w:r w:rsidRPr="00F20BC9">
        <w:t>( 2021</w:t>
      </w:r>
      <w:proofErr w:type="gramEnd"/>
      <w:r w:rsidRPr="00F20BC9">
        <w:t xml:space="preserve"> </w:t>
      </w:r>
      <w:proofErr w:type="spellStart"/>
      <w:r w:rsidRPr="00F20BC9">
        <w:t>update</w:t>
      </w:r>
      <w:proofErr w:type="spellEnd"/>
      <w:r w:rsidRPr="00F20BC9">
        <w:t xml:space="preserve">), </w:t>
      </w:r>
      <w:proofErr w:type="spellStart"/>
      <w:r w:rsidRPr="00F20BC9">
        <w:t>Allergy</w:t>
      </w:r>
      <w:proofErr w:type="spellEnd"/>
      <w:r w:rsidRPr="00F20BC9">
        <w:t xml:space="preserve"> 2022; 77, 357 -377, </w:t>
      </w:r>
      <w:proofErr w:type="spellStart"/>
      <w:r w:rsidRPr="00F20BC9">
        <w:t>Muraro</w:t>
      </w:r>
      <w:proofErr w:type="spellEnd"/>
      <w:r w:rsidRPr="00F20BC9">
        <w:t xml:space="preserve"> et al</w:t>
      </w:r>
    </w:p>
    <w:p w14:paraId="2D41F47C" w14:textId="65DB94BE" w:rsidR="00F20BC9" w:rsidRPr="00F20BC9" w:rsidRDefault="00F20BC9" w:rsidP="00B353A9">
      <w:pPr>
        <w:pStyle w:val="Punktlistanumrerad"/>
      </w:pPr>
      <w:r w:rsidRPr="00F20BC9">
        <w:t xml:space="preserve">Position Paper: World </w:t>
      </w:r>
      <w:proofErr w:type="spellStart"/>
      <w:r w:rsidRPr="00F20BC9">
        <w:t>allergy</w:t>
      </w:r>
      <w:proofErr w:type="spellEnd"/>
      <w:r w:rsidRPr="00F20BC9">
        <w:t xml:space="preserve"> </w:t>
      </w:r>
      <w:proofErr w:type="spellStart"/>
      <w:r w:rsidRPr="00F20BC9">
        <w:t>organization</w:t>
      </w:r>
      <w:proofErr w:type="spellEnd"/>
      <w:r w:rsidRPr="00F20BC9">
        <w:t xml:space="preserve"> </w:t>
      </w:r>
      <w:proofErr w:type="spellStart"/>
      <w:r w:rsidRPr="00F20BC9">
        <w:t>anaphylaxis</w:t>
      </w:r>
      <w:proofErr w:type="spellEnd"/>
      <w:r w:rsidRPr="00F20BC9">
        <w:t xml:space="preserve"> </w:t>
      </w:r>
      <w:proofErr w:type="spellStart"/>
      <w:r w:rsidRPr="00F20BC9">
        <w:t>guidance</w:t>
      </w:r>
      <w:proofErr w:type="spellEnd"/>
      <w:r w:rsidRPr="00F20BC9">
        <w:t xml:space="preserve"> 2020, WAO Journal 2020, 13:</w:t>
      </w:r>
      <w:proofErr w:type="gramStart"/>
      <w:r w:rsidRPr="00F20BC9">
        <w:t>100472</w:t>
      </w:r>
      <w:proofErr w:type="gramEnd"/>
      <w:r w:rsidRPr="00F20BC9">
        <w:t>,</w:t>
      </w:r>
      <w:r w:rsidR="00731F8C">
        <w:t xml:space="preserve"> </w:t>
      </w:r>
      <w:proofErr w:type="spellStart"/>
      <w:r w:rsidRPr="00F20BC9">
        <w:t>Cardona</w:t>
      </w:r>
      <w:proofErr w:type="spellEnd"/>
      <w:r w:rsidRPr="00F20BC9">
        <w:t xml:space="preserve"> et al</w:t>
      </w:r>
    </w:p>
    <w:p w14:paraId="564CF67D" w14:textId="77777777" w:rsidR="00F20BC9" w:rsidRPr="00F20BC9" w:rsidRDefault="00F20BC9" w:rsidP="00B353A9">
      <w:pPr>
        <w:pStyle w:val="Punktlistanumrerad"/>
      </w:pPr>
      <w:proofErr w:type="spellStart"/>
      <w:r w:rsidRPr="00F20BC9">
        <w:t>Emergency</w:t>
      </w:r>
      <w:proofErr w:type="spellEnd"/>
      <w:r w:rsidRPr="00F20BC9">
        <w:t xml:space="preserve"> </w:t>
      </w:r>
      <w:proofErr w:type="spellStart"/>
      <w:r w:rsidRPr="00F20BC9">
        <w:t>Treatment</w:t>
      </w:r>
      <w:proofErr w:type="spellEnd"/>
      <w:r w:rsidRPr="00F20BC9">
        <w:t xml:space="preserve"> </w:t>
      </w:r>
      <w:proofErr w:type="spellStart"/>
      <w:r w:rsidRPr="00F20BC9">
        <w:t>of</w:t>
      </w:r>
      <w:proofErr w:type="spellEnd"/>
      <w:r w:rsidRPr="00F20BC9">
        <w:t xml:space="preserve"> </w:t>
      </w:r>
      <w:proofErr w:type="spellStart"/>
      <w:r w:rsidRPr="00F20BC9">
        <w:t>Anaphylactic</w:t>
      </w:r>
      <w:proofErr w:type="spellEnd"/>
      <w:r w:rsidRPr="00F20BC9">
        <w:t xml:space="preserve"> </w:t>
      </w:r>
      <w:proofErr w:type="spellStart"/>
      <w:r w:rsidRPr="00F20BC9">
        <w:t>Reactions</w:t>
      </w:r>
      <w:proofErr w:type="spellEnd"/>
      <w:r w:rsidRPr="00F20BC9">
        <w:t xml:space="preserve">: </w:t>
      </w:r>
      <w:proofErr w:type="spellStart"/>
      <w:r w:rsidRPr="00F20BC9">
        <w:t>Soar</w:t>
      </w:r>
      <w:proofErr w:type="spellEnd"/>
      <w:r w:rsidRPr="00F20BC9">
        <w:t xml:space="preserve">, </w:t>
      </w:r>
      <w:proofErr w:type="spellStart"/>
      <w:r w:rsidRPr="00F20BC9">
        <w:t>Pumphrey</w:t>
      </w:r>
      <w:proofErr w:type="spellEnd"/>
      <w:r w:rsidRPr="00F20BC9">
        <w:t xml:space="preserve"> et al; </w:t>
      </w:r>
      <w:proofErr w:type="spellStart"/>
      <w:r w:rsidRPr="00F20BC9">
        <w:t>Resuscitation</w:t>
      </w:r>
      <w:proofErr w:type="spellEnd"/>
      <w:r w:rsidRPr="00F20BC9">
        <w:t xml:space="preserve"> 2008;77 (2):</w:t>
      </w:r>
      <w:proofErr w:type="gramStart"/>
      <w:r w:rsidRPr="00F20BC9">
        <w:t>157-169</w:t>
      </w:r>
      <w:proofErr w:type="gramEnd"/>
    </w:p>
    <w:p w14:paraId="6198F126" w14:textId="77777777" w:rsidR="00F20BC9" w:rsidRPr="00F20BC9" w:rsidRDefault="00F20BC9" w:rsidP="00B353A9">
      <w:pPr>
        <w:pStyle w:val="Punktlistanumrerad"/>
      </w:pPr>
      <w:proofErr w:type="spellStart"/>
      <w:r w:rsidRPr="00F20BC9">
        <w:t>Tryptase</w:t>
      </w:r>
      <w:proofErr w:type="spellEnd"/>
      <w:r w:rsidRPr="00F20BC9">
        <w:t xml:space="preserve"> </w:t>
      </w:r>
      <w:proofErr w:type="spellStart"/>
      <w:r w:rsidRPr="00F20BC9">
        <w:t>levels</w:t>
      </w:r>
      <w:proofErr w:type="spellEnd"/>
      <w:r w:rsidRPr="00F20BC9">
        <w:t xml:space="preserve"> as an </w:t>
      </w:r>
      <w:proofErr w:type="spellStart"/>
      <w:r w:rsidRPr="00F20BC9">
        <w:t>indicator</w:t>
      </w:r>
      <w:proofErr w:type="spellEnd"/>
      <w:r w:rsidRPr="00F20BC9">
        <w:t xml:space="preserve"> </w:t>
      </w:r>
      <w:proofErr w:type="spellStart"/>
      <w:r w:rsidRPr="00F20BC9">
        <w:t>of</w:t>
      </w:r>
      <w:proofErr w:type="spellEnd"/>
      <w:r w:rsidRPr="00F20BC9">
        <w:t xml:space="preserve"> mast-cell </w:t>
      </w:r>
      <w:proofErr w:type="spellStart"/>
      <w:r w:rsidRPr="00F20BC9">
        <w:t>activation</w:t>
      </w:r>
      <w:proofErr w:type="spellEnd"/>
      <w:r w:rsidRPr="00F20BC9">
        <w:t xml:space="preserve"> in </w:t>
      </w:r>
      <w:proofErr w:type="spellStart"/>
      <w:r w:rsidRPr="00F20BC9">
        <w:t>systemic</w:t>
      </w:r>
      <w:proofErr w:type="spellEnd"/>
      <w:r w:rsidRPr="00F20BC9">
        <w:t xml:space="preserve"> </w:t>
      </w:r>
      <w:proofErr w:type="spellStart"/>
      <w:r w:rsidRPr="00F20BC9">
        <w:t>anaphylaxis</w:t>
      </w:r>
      <w:proofErr w:type="spellEnd"/>
      <w:r w:rsidRPr="00F20BC9">
        <w:t xml:space="preserve"> and </w:t>
      </w:r>
      <w:proofErr w:type="spellStart"/>
      <w:r w:rsidRPr="00F20BC9">
        <w:t>mastocytosis</w:t>
      </w:r>
      <w:proofErr w:type="spellEnd"/>
      <w:r w:rsidRPr="00F20BC9">
        <w:t xml:space="preserve"> </w:t>
      </w:r>
      <w:proofErr w:type="spellStart"/>
      <w:r w:rsidRPr="00F20BC9">
        <w:t>L.B.Schwartz</w:t>
      </w:r>
      <w:proofErr w:type="spellEnd"/>
      <w:r w:rsidRPr="00F20BC9">
        <w:t xml:space="preserve"> and </w:t>
      </w:r>
      <w:proofErr w:type="spellStart"/>
      <w:r w:rsidRPr="00F20BC9">
        <w:t>D.Metcalfe</w:t>
      </w:r>
      <w:proofErr w:type="spellEnd"/>
      <w:r w:rsidRPr="00F20BC9">
        <w:t xml:space="preserve">; New England J </w:t>
      </w:r>
      <w:proofErr w:type="spellStart"/>
      <w:r w:rsidRPr="00F20BC9">
        <w:t>of</w:t>
      </w:r>
      <w:proofErr w:type="spellEnd"/>
      <w:r w:rsidRPr="00F20BC9">
        <w:t xml:space="preserve"> Medicine,1987; </w:t>
      </w:r>
      <w:proofErr w:type="spellStart"/>
      <w:r w:rsidRPr="00F20BC9">
        <w:t>Vol</w:t>
      </w:r>
      <w:proofErr w:type="spellEnd"/>
      <w:r w:rsidRPr="00F20BC9">
        <w:t xml:space="preserve"> </w:t>
      </w:r>
      <w:proofErr w:type="gramStart"/>
      <w:r w:rsidRPr="00F20BC9">
        <w:t>316,No</w:t>
      </w:r>
      <w:proofErr w:type="gramEnd"/>
      <w:r w:rsidRPr="00F20BC9">
        <w:t xml:space="preserve"> 26, 1622-1626.</w:t>
      </w:r>
    </w:p>
    <w:p w14:paraId="4368338B" w14:textId="77777777" w:rsidR="00F20BC9" w:rsidRPr="00F20BC9" w:rsidRDefault="00F20BC9" w:rsidP="00B353A9">
      <w:pPr>
        <w:pStyle w:val="Punktlistanumrerad"/>
      </w:pPr>
      <w:r w:rsidRPr="00F20BC9">
        <w:t>Position Paper</w:t>
      </w:r>
      <w:proofErr w:type="gramStart"/>
      <w:r w:rsidRPr="00F20BC9">
        <w:t xml:space="preserve"> :</w:t>
      </w:r>
      <w:proofErr w:type="spellStart"/>
      <w:r w:rsidRPr="00F20BC9">
        <w:t>Definitions</w:t>
      </w:r>
      <w:proofErr w:type="gramEnd"/>
      <w:r w:rsidRPr="00F20BC9">
        <w:t>,Criteria</w:t>
      </w:r>
      <w:proofErr w:type="spellEnd"/>
      <w:r w:rsidRPr="00F20BC9">
        <w:t xml:space="preserve"> and Global </w:t>
      </w:r>
      <w:proofErr w:type="spellStart"/>
      <w:r w:rsidRPr="00F20BC9">
        <w:t>Classification</w:t>
      </w:r>
      <w:proofErr w:type="spellEnd"/>
      <w:r w:rsidRPr="00F20BC9">
        <w:t xml:space="preserve"> </w:t>
      </w:r>
      <w:proofErr w:type="spellStart"/>
      <w:r w:rsidRPr="00F20BC9">
        <w:t>of</w:t>
      </w:r>
      <w:proofErr w:type="spellEnd"/>
      <w:r w:rsidRPr="00F20BC9">
        <w:t xml:space="preserve"> Mast Cell Disorders </w:t>
      </w:r>
      <w:proofErr w:type="spellStart"/>
      <w:r w:rsidRPr="00F20BC9">
        <w:t>with</w:t>
      </w:r>
      <w:proofErr w:type="spellEnd"/>
      <w:r w:rsidRPr="00F20BC9">
        <w:t xml:space="preserve"> special </w:t>
      </w:r>
      <w:proofErr w:type="spellStart"/>
      <w:r w:rsidRPr="00F20BC9">
        <w:t>reference</w:t>
      </w:r>
      <w:proofErr w:type="spellEnd"/>
      <w:r w:rsidRPr="00F20BC9">
        <w:t xml:space="preserve"> to Mast Cell </w:t>
      </w:r>
      <w:proofErr w:type="spellStart"/>
      <w:r w:rsidRPr="00F20BC9">
        <w:t>Activation</w:t>
      </w:r>
      <w:proofErr w:type="spellEnd"/>
      <w:r w:rsidRPr="00F20BC9">
        <w:t xml:space="preserve"> </w:t>
      </w:r>
      <w:proofErr w:type="spellStart"/>
      <w:r w:rsidRPr="00F20BC9">
        <w:t>Syndromes</w:t>
      </w:r>
      <w:proofErr w:type="spellEnd"/>
      <w:r w:rsidRPr="00F20BC9">
        <w:t xml:space="preserve">: A Consensus </w:t>
      </w:r>
      <w:proofErr w:type="spellStart"/>
      <w:r w:rsidRPr="00F20BC9">
        <w:t>Proposal</w:t>
      </w:r>
      <w:proofErr w:type="spellEnd"/>
      <w:r w:rsidRPr="00F20BC9">
        <w:t xml:space="preserve">: </w:t>
      </w:r>
      <w:proofErr w:type="spellStart"/>
      <w:r w:rsidRPr="00F20BC9">
        <w:t>Valent</w:t>
      </w:r>
      <w:proofErr w:type="spellEnd"/>
      <w:r w:rsidRPr="00F20BC9">
        <w:t xml:space="preserve">, Schwartz </w:t>
      </w:r>
      <w:proofErr w:type="spellStart"/>
      <w:r w:rsidRPr="00F20BC9">
        <w:t>mfl</w:t>
      </w:r>
      <w:proofErr w:type="spellEnd"/>
      <w:r w:rsidRPr="00F20BC9">
        <w:t xml:space="preserve"> </w:t>
      </w:r>
      <w:proofErr w:type="spellStart"/>
      <w:r w:rsidRPr="00F20BC9">
        <w:t>Int</w:t>
      </w:r>
      <w:proofErr w:type="spellEnd"/>
      <w:r w:rsidRPr="00F20BC9">
        <w:t xml:space="preserve"> </w:t>
      </w:r>
      <w:proofErr w:type="spellStart"/>
      <w:r w:rsidRPr="00F20BC9">
        <w:t>Arch</w:t>
      </w:r>
      <w:proofErr w:type="spellEnd"/>
      <w:r w:rsidRPr="00F20BC9">
        <w:t xml:space="preserve"> </w:t>
      </w:r>
      <w:proofErr w:type="spellStart"/>
      <w:r w:rsidRPr="00F20BC9">
        <w:t>Allergy</w:t>
      </w:r>
      <w:proofErr w:type="spellEnd"/>
      <w:r w:rsidRPr="00F20BC9">
        <w:t xml:space="preserve"> </w:t>
      </w:r>
      <w:proofErr w:type="spellStart"/>
      <w:r w:rsidRPr="00F20BC9">
        <w:t>Immunology</w:t>
      </w:r>
      <w:proofErr w:type="spellEnd"/>
      <w:r w:rsidRPr="00F20BC9">
        <w:t xml:space="preserve"> 2012; 157; 215-225</w:t>
      </w:r>
    </w:p>
    <w:p w14:paraId="0F8E3530" w14:textId="5DF6CE85" w:rsidR="00F20BC9" w:rsidRPr="00F20BC9" w:rsidRDefault="00F20BC9" w:rsidP="00B353A9">
      <w:pPr>
        <w:pStyle w:val="Punktlistanumrerad"/>
      </w:pPr>
      <w:proofErr w:type="spellStart"/>
      <w:r w:rsidRPr="00F20BC9">
        <w:t>Paired</w:t>
      </w:r>
      <w:proofErr w:type="spellEnd"/>
      <w:r w:rsidRPr="00F20BC9">
        <w:t xml:space="preserve"> </w:t>
      </w:r>
      <w:proofErr w:type="spellStart"/>
      <w:r w:rsidRPr="00F20BC9">
        <w:t>acute</w:t>
      </w:r>
      <w:proofErr w:type="spellEnd"/>
      <w:r w:rsidRPr="00F20BC9">
        <w:t xml:space="preserve"> – </w:t>
      </w:r>
      <w:proofErr w:type="spellStart"/>
      <w:r w:rsidRPr="00F20BC9">
        <w:t>baseline</w:t>
      </w:r>
      <w:proofErr w:type="spellEnd"/>
      <w:r w:rsidRPr="00F20BC9">
        <w:t xml:space="preserve"> serum </w:t>
      </w:r>
      <w:proofErr w:type="spellStart"/>
      <w:r w:rsidRPr="00F20BC9">
        <w:t>tryptase</w:t>
      </w:r>
      <w:proofErr w:type="spellEnd"/>
      <w:r w:rsidRPr="00F20BC9">
        <w:t xml:space="preserve"> </w:t>
      </w:r>
      <w:proofErr w:type="spellStart"/>
      <w:r w:rsidRPr="00F20BC9">
        <w:t>levels</w:t>
      </w:r>
      <w:proofErr w:type="spellEnd"/>
      <w:r w:rsidRPr="00F20BC9">
        <w:t xml:space="preserve"> in </w:t>
      </w:r>
      <w:proofErr w:type="spellStart"/>
      <w:r w:rsidRPr="00F20BC9">
        <w:t>perioperative</w:t>
      </w:r>
      <w:proofErr w:type="spellEnd"/>
      <w:r w:rsidRPr="00F20BC9">
        <w:t xml:space="preserve"> </w:t>
      </w:r>
      <w:proofErr w:type="spellStart"/>
      <w:r w:rsidRPr="00F20BC9">
        <w:t>anaphylaxis</w:t>
      </w:r>
      <w:proofErr w:type="spellEnd"/>
      <w:r w:rsidRPr="00F20BC9">
        <w:t>:</w:t>
      </w:r>
      <w:r w:rsidR="005856E2">
        <w:t xml:space="preserve"> </w:t>
      </w:r>
      <w:proofErr w:type="spellStart"/>
      <w:r w:rsidRPr="00F20BC9">
        <w:t>Vitte</w:t>
      </w:r>
      <w:proofErr w:type="spellEnd"/>
      <w:r w:rsidRPr="00F20BC9">
        <w:t xml:space="preserve"> et al, </w:t>
      </w:r>
      <w:proofErr w:type="spellStart"/>
      <w:r w:rsidRPr="00F20BC9">
        <w:t>Allergy</w:t>
      </w:r>
      <w:proofErr w:type="spellEnd"/>
      <w:r w:rsidRPr="00F20BC9">
        <w:t xml:space="preserve"> 2019; 74 (6), 1157 – 1165</w:t>
      </w:r>
    </w:p>
    <w:p w14:paraId="5D9B362C" w14:textId="77777777" w:rsidR="00F20BC9" w:rsidRPr="00F20BC9" w:rsidRDefault="00F20BC9" w:rsidP="00B353A9">
      <w:pPr>
        <w:pStyle w:val="Punktlistanumrerad"/>
      </w:pPr>
      <w:proofErr w:type="spellStart"/>
      <w:r w:rsidRPr="00F20BC9">
        <w:t>Using</w:t>
      </w:r>
      <w:proofErr w:type="spellEnd"/>
      <w:r w:rsidRPr="00F20BC9">
        <w:t xml:space="preserve"> </w:t>
      </w:r>
      <w:proofErr w:type="spellStart"/>
      <w:r w:rsidRPr="00F20BC9">
        <w:t>Baseline</w:t>
      </w:r>
      <w:proofErr w:type="spellEnd"/>
      <w:r w:rsidRPr="00F20BC9">
        <w:t xml:space="preserve"> and Peak Serum </w:t>
      </w:r>
      <w:proofErr w:type="spellStart"/>
      <w:r w:rsidRPr="00F20BC9">
        <w:t>Tryptase</w:t>
      </w:r>
      <w:proofErr w:type="spellEnd"/>
      <w:r w:rsidRPr="00F20BC9">
        <w:t xml:space="preserve"> </w:t>
      </w:r>
      <w:proofErr w:type="spellStart"/>
      <w:r w:rsidRPr="00F20BC9">
        <w:t>Levels</w:t>
      </w:r>
      <w:proofErr w:type="spellEnd"/>
      <w:r w:rsidRPr="00F20BC9">
        <w:t xml:space="preserve"> to </w:t>
      </w:r>
      <w:proofErr w:type="spellStart"/>
      <w:r w:rsidRPr="00F20BC9">
        <w:t>Diagnose</w:t>
      </w:r>
      <w:proofErr w:type="spellEnd"/>
      <w:r w:rsidRPr="00F20BC9">
        <w:t xml:space="preserve"> </w:t>
      </w:r>
      <w:proofErr w:type="spellStart"/>
      <w:r w:rsidRPr="00F20BC9">
        <w:t>Anaphylaxis</w:t>
      </w:r>
      <w:proofErr w:type="spellEnd"/>
      <w:r w:rsidRPr="00F20BC9">
        <w:t xml:space="preserve">: A Review; </w:t>
      </w:r>
      <w:proofErr w:type="spellStart"/>
      <w:r w:rsidRPr="00F20BC9">
        <w:t>Passia</w:t>
      </w:r>
      <w:proofErr w:type="spellEnd"/>
      <w:r w:rsidRPr="00F20BC9">
        <w:t xml:space="preserve"> and </w:t>
      </w:r>
      <w:proofErr w:type="spellStart"/>
      <w:r w:rsidRPr="00F20BC9">
        <w:t>Jandus</w:t>
      </w:r>
      <w:proofErr w:type="spellEnd"/>
      <w:r w:rsidRPr="00F20BC9">
        <w:t xml:space="preserve">; Clinical Reviews in </w:t>
      </w:r>
      <w:proofErr w:type="spellStart"/>
      <w:r w:rsidRPr="00F20BC9">
        <w:t>Allergy</w:t>
      </w:r>
      <w:proofErr w:type="spellEnd"/>
      <w:r w:rsidRPr="00F20BC9">
        <w:t xml:space="preserve"> and </w:t>
      </w:r>
      <w:proofErr w:type="spellStart"/>
      <w:r w:rsidRPr="00F20BC9">
        <w:t>Immunology</w:t>
      </w:r>
      <w:proofErr w:type="spellEnd"/>
      <w:r w:rsidRPr="00F20BC9">
        <w:t xml:space="preserve"> 2020; 58:</w:t>
      </w:r>
      <w:proofErr w:type="gramStart"/>
      <w:r w:rsidRPr="00F20BC9">
        <w:t>366 -376</w:t>
      </w:r>
      <w:proofErr w:type="gramEnd"/>
    </w:p>
    <w:p w14:paraId="267A179E" w14:textId="77777777" w:rsidR="00F20BC9" w:rsidRPr="00F20BC9" w:rsidRDefault="00F20BC9" w:rsidP="00B353A9">
      <w:pPr>
        <w:pStyle w:val="Punktlistanumrerad"/>
      </w:pPr>
      <w:proofErr w:type="spellStart"/>
      <w:r w:rsidRPr="00F20BC9">
        <w:t>Use</w:t>
      </w:r>
      <w:proofErr w:type="spellEnd"/>
      <w:r w:rsidRPr="00F20BC9">
        <w:t xml:space="preserve"> and Interpretation </w:t>
      </w:r>
      <w:proofErr w:type="spellStart"/>
      <w:r w:rsidRPr="00F20BC9">
        <w:t>of</w:t>
      </w:r>
      <w:proofErr w:type="spellEnd"/>
      <w:r w:rsidRPr="00F20BC9">
        <w:t xml:space="preserve"> </w:t>
      </w:r>
      <w:proofErr w:type="spellStart"/>
      <w:r w:rsidRPr="00F20BC9">
        <w:t>Acute</w:t>
      </w:r>
      <w:proofErr w:type="spellEnd"/>
      <w:r w:rsidRPr="00F20BC9">
        <w:t xml:space="preserve"> and </w:t>
      </w:r>
      <w:proofErr w:type="spellStart"/>
      <w:r w:rsidRPr="00F20BC9">
        <w:t>Baseline</w:t>
      </w:r>
      <w:proofErr w:type="spellEnd"/>
      <w:r w:rsidRPr="00F20BC9">
        <w:t xml:space="preserve"> </w:t>
      </w:r>
      <w:proofErr w:type="spellStart"/>
      <w:r w:rsidRPr="00F20BC9">
        <w:t>Tryptase</w:t>
      </w:r>
      <w:proofErr w:type="spellEnd"/>
      <w:r w:rsidRPr="00F20BC9">
        <w:t xml:space="preserve"> in </w:t>
      </w:r>
      <w:proofErr w:type="spellStart"/>
      <w:r w:rsidRPr="00F20BC9">
        <w:t>Perioperative</w:t>
      </w:r>
      <w:proofErr w:type="spellEnd"/>
      <w:r w:rsidRPr="00F20BC9">
        <w:t xml:space="preserve"> </w:t>
      </w:r>
      <w:proofErr w:type="spellStart"/>
      <w:r w:rsidRPr="00F20BC9">
        <w:t>Hypersensitivity</w:t>
      </w:r>
      <w:proofErr w:type="spellEnd"/>
      <w:r w:rsidRPr="00F20BC9">
        <w:t xml:space="preserve"> and </w:t>
      </w:r>
      <w:proofErr w:type="spellStart"/>
      <w:r w:rsidRPr="00F20BC9">
        <w:t>Anaphylaxis</w:t>
      </w:r>
      <w:proofErr w:type="spellEnd"/>
      <w:r w:rsidRPr="00F20BC9">
        <w:t xml:space="preserve">: </w:t>
      </w:r>
      <w:proofErr w:type="spellStart"/>
      <w:r w:rsidRPr="00F20BC9">
        <w:t>Vitte</w:t>
      </w:r>
      <w:proofErr w:type="spellEnd"/>
      <w:r w:rsidRPr="00F20BC9">
        <w:t xml:space="preserve"> et </w:t>
      </w:r>
      <w:proofErr w:type="gramStart"/>
      <w:r w:rsidRPr="00F20BC9">
        <w:t>al ,J</w:t>
      </w:r>
      <w:proofErr w:type="gramEnd"/>
      <w:r w:rsidRPr="00F20BC9">
        <w:t xml:space="preserve"> </w:t>
      </w:r>
      <w:proofErr w:type="spellStart"/>
      <w:r w:rsidRPr="00F20BC9">
        <w:t>Allergy</w:t>
      </w:r>
      <w:proofErr w:type="spellEnd"/>
      <w:r w:rsidRPr="00F20BC9">
        <w:t xml:space="preserve"> </w:t>
      </w:r>
      <w:proofErr w:type="spellStart"/>
      <w:r w:rsidRPr="00F20BC9">
        <w:t>Clin</w:t>
      </w:r>
      <w:proofErr w:type="spellEnd"/>
      <w:r w:rsidRPr="00F20BC9">
        <w:t xml:space="preserve"> </w:t>
      </w:r>
      <w:proofErr w:type="spellStart"/>
      <w:r w:rsidRPr="00F20BC9">
        <w:t>Immunol</w:t>
      </w:r>
      <w:proofErr w:type="spellEnd"/>
      <w:r w:rsidRPr="00F20BC9">
        <w:t xml:space="preserve"> in </w:t>
      </w:r>
      <w:proofErr w:type="spellStart"/>
      <w:r w:rsidRPr="00F20BC9">
        <w:t>Practise</w:t>
      </w:r>
      <w:proofErr w:type="spellEnd"/>
      <w:r w:rsidRPr="00F20BC9">
        <w:t xml:space="preserve"> 2021, 9 (8): 2994 -3005</w:t>
      </w:r>
    </w:p>
    <w:p w14:paraId="34E8D5E0" w14:textId="77777777" w:rsidR="00F20BC9" w:rsidRPr="00F20BC9" w:rsidRDefault="00F20BC9" w:rsidP="00B353A9">
      <w:pPr>
        <w:pStyle w:val="Punktlistanumrerad"/>
      </w:pPr>
      <w:proofErr w:type="spellStart"/>
      <w:r w:rsidRPr="00F20BC9">
        <w:t>Why</w:t>
      </w:r>
      <w:proofErr w:type="spellEnd"/>
      <w:r w:rsidRPr="00F20BC9">
        <w:t xml:space="preserve"> the 20% + 2 </w:t>
      </w:r>
      <w:proofErr w:type="spellStart"/>
      <w:r w:rsidRPr="00F20BC9">
        <w:t>Tryptase</w:t>
      </w:r>
      <w:proofErr w:type="spellEnd"/>
      <w:r w:rsidRPr="00F20BC9">
        <w:t xml:space="preserve"> Formula is a </w:t>
      </w:r>
      <w:proofErr w:type="spellStart"/>
      <w:r w:rsidRPr="00F20BC9">
        <w:t>Diagnostic</w:t>
      </w:r>
      <w:proofErr w:type="spellEnd"/>
      <w:r w:rsidRPr="00F20BC9">
        <w:t xml:space="preserve"> Gold Standard for </w:t>
      </w:r>
      <w:proofErr w:type="spellStart"/>
      <w:r w:rsidRPr="00F20BC9">
        <w:t>Severe</w:t>
      </w:r>
      <w:proofErr w:type="spellEnd"/>
      <w:r w:rsidRPr="00F20BC9">
        <w:t xml:space="preserve"> </w:t>
      </w:r>
      <w:proofErr w:type="spellStart"/>
      <w:r w:rsidRPr="00F20BC9">
        <w:t>Systemic</w:t>
      </w:r>
      <w:proofErr w:type="spellEnd"/>
      <w:r w:rsidRPr="00F20BC9">
        <w:t xml:space="preserve"> Mast Cell </w:t>
      </w:r>
      <w:proofErr w:type="spellStart"/>
      <w:r w:rsidRPr="00F20BC9">
        <w:t>Activation</w:t>
      </w:r>
      <w:proofErr w:type="spellEnd"/>
      <w:r w:rsidRPr="00F20BC9">
        <w:t xml:space="preserve"> and Mast Cell </w:t>
      </w:r>
      <w:proofErr w:type="spellStart"/>
      <w:r w:rsidRPr="00F20BC9">
        <w:t>Activation</w:t>
      </w:r>
      <w:proofErr w:type="spellEnd"/>
      <w:r w:rsidRPr="00F20BC9">
        <w:t xml:space="preserve"> </w:t>
      </w:r>
      <w:proofErr w:type="spellStart"/>
      <w:r w:rsidRPr="00F20BC9">
        <w:t>Syndrome</w:t>
      </w:r>
      <w:proofErr w:type="spellEnd"/>
      <w:r w:rsidRPr="00F20BC9">
        <w:t xml:space="preserve">: </w:t>
      </w:r>
      <w:proofErr w:type="spellStart"/>
      <w:r w:rsidRPr="00F20BC9">
        <w:t>Valent</w:t>
      </w:r>
      <w:proofErr w:type="spellEnd"/>
      <w:r w:rsidRPr="00F20BC9">
        <w:t xml:space="preserve"> et </w:t>
      </w:r>
      <w:proofErr w:type="gramStart"/>
      <w:r w:rsidRPr="00F20BC9">
        <w:t>al :</w:t>
      </w:r>
      <w:proofErr w:type="gramEnd"/>
      <w:r w:rsidRPr="00F20BC9">
        <w:t xml:space="preserve"> International </w:t>
      </w:r>
      <w:proofErr w:type="spellStart"/>
      <w:r w:rsidRPr="00F20BC9">
        <w:t>Archives</w:t>
      </w:r>
      <w:proofErr w:type="spellEnd"/>
      <w:r w:rsidRPr="00F20BC9">
        <w:t xml:space="preserve"> </w:t>
      </w:r>
      <w:proofErr w:type="spellStart"/>
      <w:r w:rsidRPr="00F20BC9">
        <w:t>Allergy</w:t>
      </w:r>
      <w:proofErr w:type="spellEnd"/>
      <w:r w:rsidRPr="00F20BC9">
        <w:t xml:space="preserve"> </w:t>
      </w:r>
      <w:proofErr w:type="spellStart"/>
      <w:r w:rsidRPr="00F20BC9">
        <w:t>Immunology</w:t>
      </w:r>
      <w:proofErr w:type="spellEnd"/>
      <w:r w:rsidRPr="00F20BC9">
        <w:t xml:space="preserve"> 2019, 180 (1): 44 – 51</w:t>
      </w:r>
    </w:p>
    <w:p w14:paraId="6361C52B" w14:textId="77777777" w:rsidR="00F20BC9" w:rsidRPr="00F20BC9" w:rsidRDefault="00F20BC9" w:rsidP="00B353A9">
      <w:pPr>
        <w:pStyle w:val="Punktlistanumrerad"/>
      </w:pPr>
      <w:r w:rsidRPr="00F20BC9">
        <w:t xml:space="preserve">Specialist </w:t>
      </w:r>
      <w:proofErr w:type="spellStart"/>
      <w:r w:rsidRPr="00F20BC9">
        <w:t>perioperative</w:t>
      </w:r>
      <w:proofErr w:type="spellEnd"/>
      <w:r w:rsidRPr="00F20BC9">
        <w:t xml:space="preserve"> </w:t>
      </w:r>
      <w:proofErr w:type="spellStart"/>
      <w:r w:rsidRPr="00F20BC9">
        <w:t>allergy</w:t>
      </w:r>
      <w:proofErr w:type="spellEnd"/>
      <w:r w:rsidRPr="00F20BC9">
        <w:t xml:space="preserve"> </w:t>
      </w:r>
      <w:proofErr w:type="spellStart"/>
      <w:r w:rsidRPr="00F20BC9">
        <w:t>clinic</w:t>
      </w:r>
      <w:proofErr w:type="spellEnd"/>
      <w:r w:rsidRPr="00F20BC9">
        <w:t xml:space="preserve"> services in the UK 2018: </w:t>
      </w:r>
      <w:proofErr w:type="spellStart"/>
      <w:r w:rsidRPr="00F20BC9">
        <w:t>Results</w:t>
      </w:r>
      <w:proofErr w:type="spellEnd"/>
      <w:r w:rsidRPr="00F20BC9">
        <w:t xml:space="preserve"> from the Royal College </w:t>
      </w:r>
      <w:proofErr w:type="spellStart"/>
      <w:r w:rsidRPr="00F20BC9">
        <w:t>of</w:t>
      </w:r>
      <w:proofErr w:type="spellEnd"/>
      <w:r w:rsidRPr="00F20BC9">
        <w:t xml:space="preserve"> </w:t>
      </w:r>
      <w:proofErr w:type="spellStart"/>
      <w:r w:rsidRPr="00F20BC9">
        <w:t>Anaesthetists</w:t>
      </w:r>
      <w:proofErr w:type="spellEnd"/>
      <w:r w:rsidRPr="00F20BC9">
        <w:t xml:space="preserve"> </w:t>
      </w:r>
      <w:proofErr w:type="spellStart"/>
      <w:r w:rsidRPr="00F20BC9">
        <w:t>Sixth</w:t>
      </w:r>
      <w:proofErr w:type="spellEnd"/>
      <w:r w:rsidRPr="00F20BC9">
        <w:t xml:space="preserve"> National </w:t>
      </w:r>
      <w:proofErr w:type="spellStart"/>
      <w:r w:rsidRPr="00F20BC9">
        <w:t>Audit</w:t>
      </w:r>
      <w:proofErr w:type="spellEnd"/>
      <w:r w:rsidRPr="00F20BC9">
        <w:t xml:space="preserve"> Project (NAP6) </w:t>
      </w:r>
      <w:proofErr w:type="spellStart"/>
      <w:r w:rsidRPr="00F20BC9">
        <w:t>investigation</w:t>
      </w:r>
      <w:proofErr w:type="spellEnd"/>
      <w:r w:rsidRPr="00F20BC9">
        <w:t xml:space="preserve"> </w:t>
      </w:r>
      <w:proofErr w:type="spellStart"/>
      <w:r w:rsidRPr="00F20BC9">
        <w:t>of</w:t>
      </w:r>
      <w:proofErr w:type="spellEnd"/>
      <w:r w:rsidRPr="00F20BC9">
        <w:t xml:space="preserve"> </w:t>
      </w:r>
      <w:proofErr w:type="spellStart"/>
      <w:r w:rsidRPr="00F20BC9">
        <w:t>perioperative</w:t>
      </w:r>
      <w:proofErr w:type="spellEnd"/>
      <w:r w:rsidRPr="00F20BC9">
        <w:t xml:space="preserve"> </w:t>
      </w:r>
      <w:proofErr w:type="spellStart"/>
      <w:r w:rsidRPr="00F20BC9">
        <w:t>anaphylaxis</w:t>
      </w:r>
      <w:proofErr w:type="spellEnd"/>
      <w:r w:rsidRPr="00F20BC9">
        <w:t xml:space="preserve">: </w:t>
      </w:r>
      <w:proofErr w:type="spellStart"/>
      <w:r w:rsidRPr="00F20BC9">
        <w:t>Egner</w:t>
      </w:r>
      <w:proofErr w:type="spellEnd"/>
      <w:r w:rsidRPr="00F20BC9">
        <w:t xml:space="preserve"> at al, </w:t>
      </w:r>
      <w:proofErr w:type="spellStart"/>
      <w:r w:rsidRPr="00F20BC9">
        <w:t>Clin</w:t>
      </w:r>
      <w:proofErr w:type="spellEnd"/>
      <w:r w:rsidRPr="00F20BC9">
        <w:t xml:space="preserve"> </w:t>
      </w:r>
      <w:proofErr w:type="spellStart"/>
      <w:r w:rsidRPr="00F20BC9">
        <w:t>Exp</w:t>
      </w:r>
      <w:proofErr w:type="spellEnd"/>
      <w:r w:rsidRPr="00F20BC9">
        <w:t xml:space="preserve"> </w:t>
      </w:r>
      <w:proofErr w:type="spellStart"/>
      <w:r w:rsidRPr="00F20BC9">
        <w:t>Allergy</w:t>
      </w:r>
      <w:proofErr w:type="spellEnd"/>
      <w:r w:rsidRPr="00F20BC9">
        <w:t xml:space="preserve"> 2018,48(7):</w:t>
      </w:r>
      <w:proofErr w:type="gramStart"/>
      <w:r w:rsidRPr="00F20BC9">
        <w:t>846-861</w:t>
      </w:r>
      <w:proofErr w:type="gramEnd"/>
    </w:p>
    <w:p w14:paraId="38D5F7CF" w14:textId="77777777" w:rsidR="00F20BC9" w:rsidRPr="00F20BC9" w:rsidRDefault="00F20BC9" w:rsidP="00B353A9">
      <w:pPr>
        <w:pStyle w:val="Punktlistanumrerad"/>
      </w:pPr>
      <w:proofErr w:type="spellStart"/>
      <w:r w:rsidRPr="00F20BC9">
        <w:t>Validation</w:t>
      </w:r>
      <w:proofErr w:type="spellEnd"/>
      <w:r w:rsidRPr="00F20BC9">
        <w:t xml:space="preserve"> </w:t>
      </w:r>
      <w:proofErr w:type="spellStart"/>
      <w:r w:rsidRPr="00F20BC9">
        <w:t>of</w:t>
      </w:r>
      <w:proofErr w:type="spellEnd"/>
      <w:r w:rsidRPr="00F20BC9">
        <w:t xml:space="preserve"> international consensus </w:t>
      </w:r>
      <w:proofErr w:type="spellStart"/>
      <w:r w:rsidRPr="00F20BC9">
        <w:t>equation</w:t>
      </w:r>
      <w:proofErr w:type="spellEnd"/>
      <w:r w:rsidRPr="00F20BC9">
        <w:t xml:space="preserve"> for </w:t>
      </w:r>
      <w:proofErr w:type="spellStart"/>
      <w:r w:rsidRPr="00F20BC9">
        <w:t>acute</w:t>
      </w:r>
      <w:proofErr w:type="spellEnd"/>
      <w:r w:rsidRPr="00F20BC9">
        <w:t xml:space="preserve"> serum total </w:t>
      </w:r>
      <w:proofErr w:type="spellStart"/>
      <w:r w:rsidRPr="00F20BC9">
        <w:t>tryptase</w:t>
      </w:r>
      <w:proofErr w:type="spellEnd"/>
      <w:r w:rsidRPr="00F20BC9">
        <w:t xml:space="preserve"> in mast cell </w:t>
      </w:r>
      <w:proofErr w:type="spellStart"/>
      <w:r w:rsidRPr="00F20BC9">
        <w:t>activation</w:t>
      </w:r>
      <w:proofErr w:type="spellEnd"/>
      <w:r w:rsidRPr="00F20BC9">
        <w:t xml:space="preserve">: A </w:t>
      </w:r>
      <w:proofErr w:type="spellStart"/>
      <w:r w:rsidRPr="00F20BC9">
        <w:t>perioperative</w:t>
      </w:r>
      <w:proofErr w:type="spellEnd"/>
      <w:r w:rsidRPr="00F20BC9">
        <w:t xml:space="preserve"> </w:t>
      </w:r>
      <w:proofErr w:type="spellStart"/>
      <w:r w:rsidRPr="00F20BC9">
        <w:t>perspective</w:t>
      </w:r>
      <w:proofErr w:type="spellEnd"/>
      <w:r w:rsidRPr="00F20BC9">
        <w:t xml:space="preserve">: </w:t>
      </w:r>
      <w:proofErr w:type="spellStart"/>
      <w:r w:rsidRPr="00F20BC9">
        <w:t>Baretto</w:t>
      </w:r>
      <w:proofErr w:type="spellEnd"/>
      <w:r w:rsidRPr="00F20BC9">
        <w:t xml:space="preserve"> et al: </w:t>
      </w:r>
      <w:proofErr w:type="spellStart"/>
      <w:r w:rsidRPr="00F20BC9">
        <w:t>Allergy</w:t>
      </w:r>
      <w:proofErr w:type="spellEnd"/>
      <w:r w:rsidRPr="00F20BC9">
        <w:t xml:space="preserve"> 2017 72 (12</w:t>
      </w:r>
      <w:proofErr w:type="gramStart"/>
      <w:r w:rsidRPr="00F20BC9">
        <w:t>) :</w:t>
      </w:r>
      <w:proofErr w:type="gramEnd"/>
      <w:r w:rsidRPr="00F20BC9">
        <w:t xml:space="preserve"> 2031- 2034</w:t>
      </w:r>
    </w:p>
    <w:p w14:paraId="03909D57" w14:textId="77777777" w:rsidR="00F20BC9" w:rsidRPr="00F20BC9" w:rsidRDefault="00F20BC9" w:rsidP="00B353A9">
      <w:pPr>
        <w:pStyle w:val="Punktlistanumrerad"/>
      </w:pPr>
      <w:proofErr w:type="spellStart"/>
      <w:r w:rsidRPr="00F20BC9">
        <w:t>Improvement</w:t>
      </w:r>
      <w:proofErr w:type="spellEnd"/>
      <w:r w:rsidRPr="00F20BC9">
        <w:t xml:space="preserve"> </w:t>
      </w:r>
      <w:proofErr w:type="spellStart"/>
      <w:r w:rsidRPr="00F20BC9">
        <w:t>of</w:t>
      </w:r>
      <w:proofErr w:type="spellEnd"/>
      <w:r w:rsidRPr="00F20BC9">
        <w:t xml:space="preserve"> the </w:t>
      </w:r>
      <w:proofErr w:type="spellStart"/>
      <w:r w:rsidRPr="00F20BC9">
        <w:t>Elevated</w:t>
      </w:r>
      <w:proofErr w:type="spellEnd"/>
      <w:r w:rsidRPr="00F20BC9">
        <w:t xml:space="preserve"> </w:t>
      </w:r>
      <w:proofErr w:type="spellStart"/>
      <w:r w:rsidRPr="00F20BC9">
        <w:t>Tryptase</w:t>
      </w:r>
      <w:proofErr w:type="spellEnd"/>
      <w:r w:rsidRPr="00F20BC9">
        <w:t xml:space="preserve"> </w:t>
      </w:r>
      <w:proofErr w:type="spellStart"/>
      <w:r w:rsidRPr="00F20BC9">
        <w:t>Criterion</w:t>
      </w:r>
      <w:proofErr w:type="spellEnd"/>
      <w:r w:rsidRPr="00F20BC9">
        <w:t xml:space="preserve"> to </w:t>
      </w:r>
      <w:proofErr w:type="spellStart"/>
      <w:r w:rsidRPr="00F20BC9">
        <w:t>Discriminate</w:t>
      </w:r>
      <w:proofErr w:type="spellEnd"/>
      <w:r w:rsidRPr="00F20BC9">
        <w:t xml:space="preserve"> IgE- From Non–IgE-</w:t>
      </w:r>
      <w:proofErr w:type="spellStart"/>
      <w:r w:rsidRPr="00F20BC9">
        <w:t>Mediated</w:t>
      </w:r>
      <w:proofErr w:type="spellEnd"/>
      <w:r w:rsidRPr="00F20BC9">
        <w:t xml:space="preserve"> </w:t>
      </w:r>
      <w:proofErr w:type="spellStart"/>
      <w:r w:rsidRPr="00F20BC9">
        <w:t>Allergic</w:t>
      </w:r>
      <w:proofErr w:type="spellEnd"/>
      <w:r w:rsidRPr="00F20BC9">
        <w:t xml:space="preserve"> </w:t>
      </w:r>
      <w:proofErr w:type="spellStart"/>
      <w:r w:rsidRPr="00F20BC9">
        <w:t>Reactions</w:t>
      </w:r>
      <w:proofErr w:type="spellEnd"/>
      <w:r w:rsidRPr="00F20BC9">
        <w:t xml:space="preserve"> </w:t>
      </w:r>
      <w:proofErr w:type="spellStart"/>
      <w:r w:rsidRPr="00F20BC9">
        <w:t>Gastaminza</w:t>
      </w:r>
      <w:proofErr w:type="spellEnd"/>
      <w:r w:rsidRPr="00F20BC9">
        <w:t xml:space="preserve"> et al: </w:t>
      </w:r>
      <w:proofErr w:type="spellStart"/>
      <w:r w:rsidRPr="00F20BC9">
        <w:t>Anesthesia</w:t>
      </w:r>
      <w:proofErr w:type="spellEnd"/>
      <w:r w:rsidRPr="00F20BC9">
        <w:t xml:space="preserve"> </w:t>
      </w:r>
      <w:proofErr w:type="spellStart"/>
      <w:r w:rsidRPr="00F20BC9">
        <w:t>Analgesia</w:t>
      </w:r>
      <w:proofErr w:type="spellEnd"/>
      <w:r w:rsidRPr="00F20BC9">
        <w:t xml:space="preserve"> 2018: 127 </w:t>
      </w:r>
      <w:proofErr w:type="gramStart"/>
      <w:r w:rsidRPr="00F20BC9">
        <w:t>( 2</w:t>
      </w:r>
      <w:proofErr w:type="gramEnd"/>
      <w:r w:rsidRPr="00F20BC9">
        <w:t>) : 414 -419</w:t>
      </w:r>
    </w:p>
    <w:p w14:paraId="5DF0BD9D" w14:textId="77777777" w:rsidR="00F20BC9" w:rsidRPr="00F20BC9" w:rsidRDefault="00F20BC9" w:rsidP="00B353A9">
      <w:pPr>
        <w:pStyle w:val="Punktlistanumrerad"/>
      </w:pPr>
      <w:r w:rsidRPr="00F20BC9">
        <w:t>Plasma -</w:t>
      </w:r>
      <w:proofErr w:type="spellStart"/>
      <w:r w:rsidRPr="00F20BC9">
        <w:t>tryptase</w:t>
      </w:r>
      <w:proofErr w:type="spellEnd"/>
      <w:r w:rsidRPr="00F20BC9">
        <w:t xml:space="preserve"> elevation </w:t>
      </w:r>
      <w:proofErr w:type="spellStart"/>
      <w:r w:rsidRPr="00F20BC9">
        <w:t>during</w:t>
      </w:r>
      <w:proofErr w:type="spellEnd"/>
      <w:r w:rsidRPr="00F20BC9">
        <w:t xml:space="preserve"> aspirin-</w:t>
      </w:r>
      <w:proofErr w:type="spellStart"/>
      <w:r w:rsidRPr="00F20BC9">
        <w:t>induced</w:t>
      </w:r>
      <w:proofErr w:type="spellEnd"/>
      <w:r w:rsidRPr="00F20BC9">
        <w:t xml:space="preserve"> </w:t>
      </w:r>
      <w:proofErr w:type="spellStart"/>
      <w:r w:rsidRPr="00F20BC9">
        <w:t>reactions</w:t>
      </w:r>
      <w:proofErr w:type="spellEnd"/>
      <w:r w:rsidRPr="00F20BC9">
        <w:t xml:space="preserve"> in AERD: Cahill, </w:t>
      </w:r>
      <w:proofErr w:type="spellStart"/>
      <w:r w:rsidRPr="00F20BC9">
        <w:t>Laidlaw</w:t>
      </w:r>
      <w:proofErr w:type="spellEnd"/>
      <w:r w:rsidRPr="00F20BC9">
        <w:t xml:space="preserve"> et al 2019 JACI 143 (2):</w:t>
      </w:r>
      <w:proofErr w:type="gramStart"/>
      <w:r w:rsidRPr="00F20BC9">
        <w:t>799-803</w:t>
      </w:r>
      <w:proofErr w:type="gramEnd"/>
    </w:p>
    <w:p w14:paraId="77A713E9" w14:textId="77777777" w:rsidR="00F20BC9" w:rsidRPr="00F20BC9" w:rsidRDefault="00F20BC9" w:rsidP="00B353A9">
      <w:pPr>
        <w:pStyle w:val="Punktlistanumrerad"/>
      </w:pPr>
      <w:proofErr w:type="spellStart"/>
      <w:r w:rsidRPr="00F20BC9">
        <w:t>Update</w:t>
      </w:r>
      <w:proofErr w:type="spellEnd"/>
      <w:r w:rsidRPr="00F20BC9">
        <w:t xml:space="preserve"> 2015 Lawrence Schwartz: </w:t>
      </w:r>
      <w:proofErr w:type="spellStart"/>
      <w:r w:rsidRPr="00F20BC9">
        <w:t>Laboratory</w:t>
      </w:r>
      <w:proofErr w:type="spellEnd"/>
      <w:r w:rsidRPr="00F20BC9">
        <w:t xml:space="preserve"> tests to support the </w:t>
      </w:r>
      <w:proofErr w:type="spellStart"/>
      <w:r w:rsidRPr="00F20BC9">
        <w:t>clinical</w:t>
      </w:r>
      <w:proofErr w:type="spellEnd"/>
      <w:r w:rsidRPr="00F20BC9">
        <w:t xml:space="preserve"> </w:t>
      </w:r>
      <w:proofErr w:type="spellStart"/>
      <w:r w:rsidRPr="00F20BC9">
        <w:t>diagnosis</w:t>
      </w:r>
      <w:proofErr w:type="spellEnd"/>
      <w:r w:rsidRPr="00F20BC9">
        <w:t xml:space="preserve"> </w:t>
      </w:r>
      <w:proofErr w:type="spellStart"/>
      <w:r w:rsidRPr="00F20BC9">
        <w:t>of</w:t>
      </w:r>
      <w:proofErr w:type="spellEnd"/>
      <w:r w:rsidRPr="00F20BC9">
        <w:t xml:space="preserve"> </w:t>
      </w:r>
      <w:proofErr w:type="spellStart"/>
      <w:r w:rsidRPr="00F20BC9">
        <w:t>anaphylaxis</w:t>
      </w:r>
      <w:proofErr w:type="spellEnd"/>
    </w:p>
    <w:p w14:paraId="5FB3D6B7" w14:textId="77777777" w:rsidR="00F20BC9" w:rsidRPr="00F20BC9" w:rsidRDefault="00F20BC9" w:rsidP="00B353A9">
      <w:pPr>
        <w:pStyle w:val="Punktlistanumrerad"/>
      </w:pPr>
      <w:proofErr w:type="spellStart"/>
      <w:r w:rsidRPr="00F20BC9">
        <w:lastRenderedPageBreak/>
        <w:t>Tryptase</w:t>
      </w:r>
      <w:proofErr w:type="spellEnd"/>
      <w:r w:rsidRPr="00F20BC9">
        <w:t xml:space="preserve"> </w:t>
      </w:r>
      <w:proofErr w:type="spellStart"/>
      <w:r w:rsidRPr="00F20BC9">
        <w:t>levels</w:t>
      </w:r>
      <w:proofErr w:type="spellEnd"/>
      <w:r w:rsidRPr="00F20BC9">
        <w:t xml:space="preserve"> in </w:t>
      </w:r>
      <w:proofErr w:type="spellStart"/>
      <w:r w:rsidRPr="00F20BC9">
        <w:t>children</w:t>
      </w:r>
      <w:proofErr w:type="spellEnd"/>
      <w:r w:rsidRPr="00F20BC9">
        <w:t xml:space="preserve"> </w:t>
      </w:r>
      <w:proofErr w:type="spellStart"/>
      <w:r w:rsidRPr="00F20BC9">
        <w:t>presenting</w:t>
      </w:r>
      <w:proofErr w:type="spellEnd"/>
      <w:r w:rsidRPr="00F20BC9">
        <w:t xml:space="preserve"> </w:t>
      </w:r>
      <w:proofErr w:type="spellStart"/>
      <w:r w:rsidRPr="00F20BC9">
        <w:t>with</w:t>
      </w:r>
      <w:proofErr w:type="spellEnd"/>
      <w:r w:rsidRPr="00F20BC9">
        <w:t xml:space="preserve"> </w:t>
      </w:r>
      <w:proofErr w:type="spellStart"/>
      <w:r w:rsidRPr="00F20BC9">
        <w:t>anaphylaxis</w:t>
      </w:r>
      <w:proofErr w:type="spellEnd"/>
      <w:r w:rsidRPr="00F20BC9">
        <w:t xml:space="preserve">: Temporal trends and </w:t>
      </w:r>
      <w:proofErr w:type="spellStart"/>
      <w:r w:rsidRPr="00F20BC9">
        <w:t>associated</w:t>
      </w:r>
      <w:proofErr w:type="spellEnd"/>
      <w:r w:rsidRPr="00F20BC9">
        <w:t xml:space="preserve"> </w:t>
      </w:r>
      <w:proofErr w:type="spellStart"/>
      <w:proofErr w:type="gramStart"/>
      <w:r w:rsidRPr="00F20BC9">
        <w:t>factors;De</w:t>
      </w:r>
      <w:proofErr w:type="spellEnd"/>
      <w:proofErr w:type="gramEnd"/>
      <w:r w:rsidRPr="00F20BC9">
        <w:t xml:space="preserve"> </w:t>
      </w:r>
      <w:proofErr w:type="spellStart"/>
      <w:r w:rsidRPr="00F20BC9">
        <w:t>Schryver</w:t>
      </w:r>
      <w:proofErr w:type="spellEnd"/>
      <w:r w:rsidRPr="00F20BC9">
        <w:t xml:space="preserve"> and Ben-</w:t>
      </w:r>
      <w:proofErr w:type="spellStart"/>
      <w:r w:rsidRPr="00F20BC9">
        <w:t>Shoshan</w:t>
      </w:r>
      <w:proofErr w:type="spellEnd"/>
      <w:r w:rsidRPr="00F20BC9">
        <w:t xml:space="preserve"> , JACI 2016, </w:t>
      </w:r>
      <w:proofErr w:type="spellStart"/>
      <w:r w:rsidRPr="00F20BC9">
        <w:t>Vol</w:t>
      </w:r>
      <w:proofErr w:type="spellEnd"/>
      <w:r w:rsidRPr="00F20BC9">
        <w:t xml:space="preserve"> 137,No 4; p 1138-1142</w:t>
      </w:r>
    </w:p>
    <w:p w14:paraId="11411B1A" w14:textId="77777777" w:rsidR="00F20BC9" w:rsidRPr="00F20BC9" w:rsidRDefault="00F20BC9" w:rsidP="00B353A9">
      <w:pPr>
        <w:pStyle w:val="Punktlistanumrerad"/>
      </w:pPr>
      <w:proofErr w:type="spellStart"/>
      <w:r w:rsidRPr="00F20BC9">
        <w:t>Anaphylaxis</w:t>
      </w:r>
      <w:proofErr w:type="spellEnd"/>
      <w:r w:rsidRPr="00F20BC9">
        <w:t xml:space="preserve">: Clinical </w:t>
      </w:r>
      <w:proofErr w:type="spellStart"/>
      <w:r w:rsidRPr="00F20BC9">
        <w:t>patterns</w:t>
      </w:r>
      <w:proofErr w:type="spellEnd"/>
      <w:r w:rsidRPr="00F20BC9">
        <w:t xml:space="preserve">, </w:t>
      </w:r>
      <w:proofErr w:type="spellStart"/>
      <w:r w:rsidRPr="00F20BC9">
        <w:t>mediator</w:t>
      </w:r>
      <w:proofErr w:type="spellEnd"/>
      <w:r w:rsidRPr="00F20BC9">
        <w:t xml:space="preserve"> release, and </w:t>
      </w:r>
      <w:proofErr w:type="spellStart"/>
      <w:r w:rsidRPr="00F20BC9">
        <w:t>severity</w:t>
      </w:r>
      <w:proofErr w:type="spellEnd"/>
      <w:r w:rsidRPr="00F20BC9">
        <w:t xml:space="preserve">, Brown et al, JACI 2013, 132 (5): </w:t>
      </w:r>
      <w:proofErr w:type="gramStart"/>
      <w:r w:rsidRPr="00F20BC9">
        <w:t>1141-1149</w:t>
      </w:r>
      <w:proofErr w:type="gramEnd"/>
    </w:p>
    <w:p w14:paraId="09B96826" w14:textId="77777777" w:rsidR="00F20BC9" w:rsidRPr="00F20BC9" w:rsidRDefault="00F20BC9" w:rsidP="00B353A9">
      <w:pPr>
        <w:pStyle w:val="Punktlistanumrerad"/>
      </w:pPr>
      <w:proofErr w:type="spellStart"/>
      <w:r w:rsidRPr="00F20BC9">
        <w:t>Usefulness</w:t>
      </w:r>
      <w:proofErr w:type="spellEnd"/>
      <w:r w:rsidRPr="00F20BC9">
        <w:t xml:space="preserve"> and Limitations </w:t>
      </w:r>
      <w:proofErr w:type="spellStart"/>
      <w:r w:rsidRPr="00F20BC9">
        <w:t>of</w:t>
      </w:r>
      <w:proofErr w:type="spellEnd"/>
      <w:r w:rsidRPr="00F20BC9">
        <w:t xml:space="preserve"> </w:t>
      </w:r>
      <w:proofErr w:type="spellStart"/>
      <w:r w:rsidRPr="00F20BC9">
        <w:t>Sequential</w:t>
      </w:r>
      <w:proofErr w:type="spellEnd"/>
      <w:r w:rsidRPr="00F20BC9">
        <w:t xml:space="preserve"> Serum </w:t>
      </w:r>
      <w:proofErr w:type="spellStart"/>
      <w:r w:rsidRPr="00F20BC9">
        <w:t>Tryptase</w:t>
      </w:r>
      <w:proofErr w:type="spellEnd"/>
      <w:r w:rsidRPr="00F20BC9">
        <w:t xml:space="preserve"> for </w:t>
      </w:r>
      <w:proofErr w:type="spellStart"/>
      <w:r w:rsidRPr="00F20BC9">
        <w:t>Diagnosis</w:t>
      </w:r>
      <w:proofErr w:type="spellEnd"/>
      <w:r w:rsidRPr="00F20BC9">
        <w:t xml:space="preserve"> </w:t>
      </w:r>
      <w:proofErr w:type="spellStart"/>
      <w:r w:rsidRPr="00F20BC9">
        <w:t>of</w:t>
      </w:r>
      <w:proofErr w:type="spellEnd"/>
      <w:r w:rsidRPr="00F20BC9">
        <w:t xml:space="preserve"> </w:t>
      </w:r>
      <w:proofErr w:type="spellStart"/>
      <w:r w:rsidRPr="00F20BC9">
        <w:t>Anaphylaxis</w:t>
      </w:r>
      <w:proofErr w:type="spellEnd"/>
      <w:r w:rsidRPr="00F20BC9">
        <w:t xml:space="preserve"> in 102 patients. </w:t>
      </w:r>
      <w:proofErr w:type="spellStart"/>
      <w:r w:rsidRPr="00F20BC9">
        <w:t>A.Sala-Cunill</w:t>
      </w:r>
      <w:proofErr w:type="spellEnd"/>
      <w:r w:rsidRPr="00F20BC9">
        <w:t xml:space="preserve">, </w:t>
      </w:r>
      <w:proofErr w:type="spellStart"/>
      <w:r w:rsidRPr="00F20BC9">
        <w:t>Int</w:t>
      </w:r>
      <w:proofErr w:type="spellEnd"/>
      <w:r w:rsidRPr="00F20BC9">
        <w:t xml:space="preserve"> </w:t>
      </w:r>
      <w:proofErr w:type="spellStart"/>
      <w:r w:rsidRPr="00F20BC9">
        <w:t>Arch</w:t>
      </w:r>
      <w:proofErr w:type="spellEnd"/>
      <w:r w:rsidRPr="00F20BC9">
        <w:t xml:space="preserve"> </w:t>
      </w:r>
      <w:proofErr w:type="spellStart"/>
      <w:r w:rsidRPr="00F20BC9">
        <w:t>Allergy</w:t>
      </w:r>
      <w:proofErr w:type="spellEnd"/>
      <w:r w:rsidRPr="00F20BC9">
        <w:t xml:space="preserve"> </w:t>
      </w:r>
      <w:proofErr w:type="spellStart"/>
      <w:r w:rsidRPr="00F20BC9">
        <w:t>Immunol</w:t>
      </w:r>
      <w:proofErr w:type="spellEnd"/>
      <w:r w:rsidRPr="00F20BC9">
        <w:t xml:space="preserve"> 2013; 160 (4): </w:t>
      </w:r>
      <w:proofErr w:type="gramStart"/>
      <w:r w:rsidRPr="00F20BC9">
        <w:t>192-199</w:t>
      </w:r>
      <w:proofErr w:type="gramEnd"/>
      <w:r w:rsidRPr="00F20BC9">
        <w:t>.</w:t>
      </w:r>
    </w:p>
    <w:p w14:paraId="28DD3A05" w14:textId="77777777" w:rsidR="00F20BC9" w:rsidRPr="00F20BC9" w:rsidRDefault="00F20BC9" w:rsidP="00B353A9">
      <w:pPr>
        <w:pStyle w:val="Punktlistanumrerad"/>
      </w:pPr>
      <w:proofErr w:type="spellStart"/>
      <w:r w:rsidRPr="00F20BC9">
        <w:t>Laboratory</w:t>
      </w:r>
      <w:proofErr w:type="spellEnd"/>
      <w:r w:rsidRPr="00F20BC9">
        <w:t xml:space="preserve"> </w:t>
      </w:r>
      <w:proofErr w:type="spellStart"/>
      <w:r w:rsidRPr="00F20BC9">
        <w:t>diagnosis</w:t>
      </w:r>
      <w:proofErr w:type="spellEnd"/>
      <w:r w:rsidRPr="00F20BC9">
        <w:t xml:space="preserve"> </w:t>
      </w:r>
      <w:proofErr w:type="spellStart"/>
      <w:r w:rsidRPr="00F20BC9">
        <w:t>of</w:t>
      </w:r>
      <w:proofErr w:type="spellEnd"/>
      <w:r w:rsidRPr="00F20BC9">
        <w:t xml:space="preserve"> </w:t>
      </w:r>
      <w:proofErr w:type="spellStart"/>
      <w:r w:rsidRPr="00F20BC9">
        <w:t>acute</w:t>
      </w:r>
      <w:proofErr w:type="spellEnd"/>
      <w:r w:rsidRPr="00F20BC9">
        <w:t xml:space="preserve"> </w:t>
      </w:r>
      <w:proofErr w:type="spellStart"/>
      <w:r w:rsidRPr="00F20BC9">
        <w:t>anaphylaxis</w:t>
      </w:r>
      <w:proofErr w:type="spellEnd"/>
      <w:r w:rsidRPr="00F20BC9">
        <w:t xml:space="preserve">; Brown and </w:t>
      </w:r>
      <w:proofErr w:type="gramStart"/>
      <w:r w:rsidRPr="00F20BC9">
        <w:t>Stone ;</w:t>
      </w:r>
      <w:proofErr w:type="gramEnd"/>
      <w:r w:rsidRPr="00F20BC9">
        <w:t xml:space="preserve"> </w:t>
      </w:r>
      <w:proofErr w:type="spellStart"/>
      <w:r w:rsidRPr="00F20BC9">
        <w:t>Clin</w:t>
      </w:r>
      <w:proofErr w:type="spellEnd"/>
      <w:r w:rsidRPr="00F20BC9">
        <w:t xml:space="preserve"> </w:t>
      </w:r>
      <w:proofErr w:type="spellStart"/>
      <w:r w:rsidRPr="00F20BC9">
        <w:t>Exp</w:t>
      </w:r>
      <w:proofErr w:type="spellEnd"/>
      <w:r w:rsidRPr="00F20BC9">
        <w:t xml:space="preserve"> </w:t>
      </w:r>
      <w:proofErr w:type="spellStart"/>
      <w:r w:rsidRPr="00F20BC9">
        <w:t>Allergy</w:t>
      </w:r>
      <w:proofErr w:type="spellEnd"/>
      <w:r w:rsidRPr="00F20BC9">
        <w:t xml:space="preserve"> 2011; 41: 1660 -1662</w:t>
      </w:r>
    </w:p>
    <w:p w14:paraId="4A079ED8" w14:textId="77777777" w:rsidR="00F20BC9" w:rsidRPr="00F20BC9" w:rsidRDefault="00F20BC9" w:rsidP="00B353A9">
      <w:pPr>
        <w:pStyle w:val="Punktlistanumrerad"/>
      </w:pPr>
      <w:proofErr w:type="spellStart"/>
      <w:r w:rsidRPr="00F20BC9">
        <w:t>Elevated</w:t>
      </w:r>
      <w:proofErr w:type="spellEnd"/>
      <w:r w:rsidRPr="00F20BC9">
        <w:t xml:space="preserve"> serum </w:t>
      </w:r>
      <w:proofErr w:type="spellStart"/>
      <w:r w:rsidRPr="00F20BC9">
        <w:t>cytokines</w:t>
      </w:r>
      <w:proofErr w:type="spellEnd"/>
      <w:r w:rsidRPr="00F20BC9">
        <w:t xml:space="preserve"> </w:t>
      </w:r>
      <w:proofErr w:type="spellStart"/>
      <w:r w:rsidRPr="00F20BC9">
        <w:t>during</w:t>
      </w:r>
      <w:proofErr w:type="spellEnd"/>
      <w:r w:rsidRPr="00F20BC9">
        <w:t xml:space="preserve"> human </w:t>
      </w:r>
      <w:proofErr w:type="spellStart"/>
      <w:proofErr w:type="gramStart"/>
      <w:r w:rsidRPr="00F20BC9">
        <w:t>anaphylaxis:Identification</w:t>
      </w:r>
      <w:proofErr w:type="spellEnd"/>
      <w:proofErr w:type="gramEnd"/>
      <w:r w:rsidRPr="00F20BC9">
        <w:t xml:space="preserve"> </w:t>
      </w:r>
      <w:proofErr w:type="spellStart"/>
      <w:r w:rsidRPr="00F20BC9">
        <w:t>of</w:t>
      </w:r>
      <w:proofErr w:type="spellEnd"/>
      <w:r w:rsidRPr="00F20BC9">
        <w:t xml:space="preserve"> potential </w:t>
      </w:r>
      <w:proofErr w:type="spellStart"/>
      <w:r w:rsidRPr="00F20BC9">
        <w:t>mediators</w:t>
      </w:r>
      <w:proofErr w:type="spellEnd"/>
      <w:r w:rsidRPr="00F20BC9">
        <w:t xml:space="preserve"> </w:t>
      </w:r>
      <w:proofErr w:type="spellStart"/>
      <w:r w:rsidRPr="00F20BC9">
        <w:t>of</w:t>
      </w:r>
      <w:proofErr w:type="spellEnd"/>
      <w:r w:rsidRPr="00F20BC9">
        <w:t xml:space="preserve"> </w:t>
      </w:r>
      <w:proofErr w:type="spellStart"/>
      <w:r w:rsidRPr="00F20BC9">
        <w:t>acute</w:t>
      </w:r>
      <w:proofErr w:type="spellEnd"/>
      <w:r w:rsidRPr="00F20BC9">
        <w:t xml:space="preserve"> </w:t>
      </w:r>
      <w:proofErr w:type="spellStart"/>
      <w:r w:rsidRPr="00F20BC9">
        <w:t>allergic</w:t>
      </w:r>
      <w:proofErr w:type="spellEnd"/>
      <w:r w:rsidRPr="00F20BC9">
        <w:t xml:space="preserve"> </w:t>
      </w:r>
      <w:proofErr w:type="spellStart"/>
      <w:r w:rsidRPr="00F20BC9">
        <w:t>reactions</w:t>
      </w:r>
      <w:proofErr w:type="spellEnd"/>
      <w:r w:rsidRPr="00F20BC9">
        <w:t xml:space="preserve"> </w:t>
      </w:r>
      <w:proofErr w:type="spellStart"/>
      <w:r w:rsidRPr="00F20BC9">
        <w:t>Stone,Shelley</w:t>
      </w:r>
      <w:proofErr w:type="spellEnd"/>
      <w:r w:rsidRPr="00F20BC9">
        <w:t xml:space="preserve">; JACI </w:t>
      </w:r>
      <w:proofErr w:type="spellStart"/>
      <w:r w:rsidRPr="00F20BC9">
        <w:t>Oct</w:t>
      </w:r>
      <w:proofErr w:type="spellEnd"/>
      <w:r w:rsidRPr="00F20BC9">
        <w:t xml:space="preserve"> 2009; 124 (4), 786- 792</w:t>
      </w:r>
    </w:p>
    <w:p w14:paraId="216593D2" w14:textId="77777777" w:rsidR="00F20BC9" w:rsidRPr="00F20BC9" w:rsidRDefault="00F20BC9" w:rsidP="00B353A9">
      <w:pPr>
        <w:pStyle w:val="Punktlistanumrerad"/>
      </w:pPr>
      <w:r w:rsidRPr="00F20BC9">
        <w:t xml:space="preserve">Serum mast cell </w:t>
      </w:r>
      <w:proofErr w:type="spellStart"/>
      <w:r w:rsidRPr="00F20BC9">
        <w:t>tryptase</w:t>
      </w:r>
      <w:proofErr w:type="spellEnd"/>
      <w:r w:rsidRPr="00F20BC9">
        <w:t xml:space="preserve"> </w:t>
      </w:r>
      <w:proofErr w:type="spellStart"/>
      <w:r w:rsidRPr="00F20BC9">
        <w:t>measurements</w:t>
      </w:r>
      <w:proofErr w:type="spellEnd"/>
      <w:r w:rsidRPr="00F20BC9">
        <w:t xml:space="preserve">: </w:t>
      </w:r>
      <w:proofErr w:type="spellStart"/>
      <w:r w:rsidRPr="00F20BC9">
        <w:t>Sensitivity</w:t>
      </w:r>
      <w:proofErr w:type="spellEnd"/>
      <w:r w:rsidRPr="00F20BC9">
        <w:t xml:space="preserve"> and </w:t>
      </w:r>
      <w:proofErr w:type="spellStart"/>
      <w:r w:rsidRPr="00F20BC9">
        <w:t>specificity</w:t>
      </w:r>
      <w:proofErr w:type="spellEnd"/>
      <w:r w:rsidRPr="00F20BC9">
        <w:t xml:space="preserve"> for a </w:t>
      </w:r>
      <w:proofErr w:type="spellStart"/>
      <w:r w:rsidRPr="00F20BC9">
        <w:t>diagnosis</w:t>
      </w:r>
      <w:proofErr w:type="spellEnd"/>
      <w:r w:rsidRPr="00F20BC9">
        <w:t xml:space="preserve"> </w:t>
      </w:r>
      <w:proofErr w:type="spellStart"/>
      <w:r w:rsidRPr="00F20BC9">
        <w:t>of</w:t>
      </w:r>
      <w:proofErr w:type="spellEnd"/>
      <w:r w:rsidRPr="00F20BC9">
        <w:t xml:space="preserve"> </w:t>
      </w:r>
      <w:proofErr w:type="spellStart"/>
      <w:r w:rsidRPr="00F20BC9">
        <w:t>anaphylaxis</w:t>
      </w:r>
      <w:proofErr w:type="spellEnd"/>
      <w:r w:rsidRPr="00F20BC9">
        <w:t xml:space="preserve"> in </w:t>
      </w:r>
      <w:proofErr w:type="spellStart"/>
      <w:r w:rsidRPr="00F20BC9">
        <w:t>emergency</w:t>
      </w:r>
      <w:proofErr w:type="spellEnd"/>
      <w:r w:rsidRPr="00F20BC9">
        <w:t xml:space="preserve"> </w:t>
      </w:r>
      <w:proofErr w:type="spellStart"/>
      <w:r w:rsidRPr="00F20BC9">
        <w:t>department</w:t>
      </w:r>
      <w:proofErr w:type="spellEnd"/>
      <w:r w:rsidRPr="00F20BC9">
        <w:t xml:space="preserve"> patients </w:t>
      </w:r>
      <w:proofErr w:type="spellStart"/>
      <w:r w:rsidRPr="00F20BC9">
        <w:t>with</w:t>
      </w:r>
      <w:proofErr w:type="spellEnd"/>
      <w:r w:rsidRPr="00F20BC9">
        <w:t xml:space="preserve"> </w:t>
      </w:r>
      <w:proofErr w:type="spellStart"/>
      <w:r w:rsidRPr="00F20BC9">
        <w:t>shock</w:t>
      </w:r>
      <w:proofErr w:type="spellEnd"/>
      <w:r w:rsidRPr="00F20BC9">
        <w:t xml:space="preserve"> or </w:t>
      </w:r>
      <w:proofErr w:type="spellStart"/>
      <w:proofErr w:type="gramStart"/>
      <w:r w:rsidRPr="00F20BC9">
        <w:t>hypoxaemia</w:t>
      </w:r>
      <w:proofErr w:type="spellEnd"/>
      <w:r w:rsidRPr="00F20BC9">
        <w:t xml:space="preserve"> ;</w:t>
      </w:r>
      <w:proofErr w:type="gramEnd"/>
      <w:r w:rsidRPr="00F20BC9">
        <w:t xml:space="preserve"> Francis, Brown et al 2018: </w:t>
      </w:r>
      <w:proofErr w:type="spellStart"/>
      <w:r w:rsidRPr="00F20BC9">
        <w:t>Emergency</w:t>
      </w:r>
      <w:proofErr w:type="spellEnd"/>
      <w:r w:rsidRPr="00F20BC9">
        <w:t xml:space="preserve"> Med </w:t>
      </w:r>
      <w:proofErr w:type="spellStart"/>
      <w:r w:rsidRPr="00F20BC9">
        <w:t>Australasia</w:t>
      </w:r>
      <w:proofErr w:type="spellEnd"/>
      <w:r w:rsidRPr="00F20BC9">
        <w:t>, (30): 366 - 374</w:t>
      </w:r>
    </w:p>
    <w:p w14:paraId="50E4A07A" w14:textId="77777777" w:rsidR="00F20BC9" w:rsidRPr="00F20BC9" w:rsidRDefault="00F20BC9" w:rsidP="00B353A9">
      <w:pPr>
        <w:pStyle w:val="Punktlistanumrerad"/>
      </w:pPr>
      <w:proofErr w:type="gramStart"/>
      <w:r w:rsidRPr="00F20BC9">
        <w:t>Mast cell</w:t>
      </w:r>
      <w:proofErr w:type="gramEnd"/>
      <w:r w:rsidRPr="00F20BC9">
        <w:t xml:space="preserve"> </w:t>
      </w:r>
      <w:proofErr w:type="spellStart"/>
      <w:r w:rsidRPr="00F20BC9">
        <w:t>tryptase</w:t>
      </w:r>
      <w:proofErr w:type="spellEnd"/>
      <w:r w:rsidRPr="00F20BC9">
        <w:t xml:space="preserve">-Marker and </w:t>
      </w:r>
      <w:proofErr w:type="spellStart"/>
      <w:r w:rsidRPr="00F20BC9">
        <w:t>maker</w:t>
      </w:r>
      <w:proofErr w:type="spellEnd"/>
      <w:r w:rsidRPr="00F20BC9">
        <w:t xml:space="preserve"> </w:t>
      </w:r>
      <w:proofErr w:type="spellStart"/>
      <w:r w:rsidRPr="00F20BC9">
        <w:t>of</w:t>
      </w:r>
      <w:proofErr w:type="spellEnd"/>
      <w:r w:rsidRPr="00F20BC9">
        <w:t xml:space="preserve"> </w:t>
      </w:r>
      <w:proofErr w:type="spellStart"/>
      <w:r w:rsidRPr="00F20BC9">
        <w:t>cardiovascular</w:t>
      </w:r>
      <w:proofErr w:type="spellEnd"/>
      <w:r w:rsidRPr="00F20BC9">
        <w:t xml:space="preserve"> </w:t>
      </w:r>
      <w:proofErr w:type="spellStart"/>
      <w:r w:rsidRPr="00F20BC9">
        <w:t>diseases</w:t>
      </w:r>
      <w:proofErr w:type="spellEnd"/>
      <w:r w:rsidRPr="00F20BC9">
        <w:t xml:space="preserve">: </w:t>
      </w:r>
      <w:proofErr w:type="spellStart"/>
      <w:r w:rsidRPr="00F20BC9">
        <w:t>Mohajeri</w:t>
      </w:r>
      <w:proofErr w:type="spellEnd"/>
      <w:r w:rsidRPr="00F20BC9">
        <w:t xml:space="preserve"> et al 2019; </w:t>
      </w:r>
      <w:proofErr w:type="spellStart"/>
      <w:r w:rsidRPr="00F20BC9">
        <w:t>Pharmcology</w:t>
      </w:r>
      <w:proofErr w:type="spellEnd"/>
      <w:r w:rsidRPr="00F20BC9">
        <w:t xml:space="preserve"> </w:t>
      </w:r>
      <w:proofErr w:type="spellStart"/>
      <w:r w:rsidRPr="00F20BC9">
        <w:t>Therapeutics</w:t>
      </w:r>
      <w:proofErr w:type="spellEnd"/>
      <w:r w:rsidRPr="00F20BC9">
        <w:t xml:space="preserve"> 199:91-110</w:t>
      </w:r>
    </w:p>
    <w:p w14:paraId="6DED4335" w14:textId="77777777" w:rsidR="00F20BC9" w:rsidRPr="00F20BC9" w:rsidRDefault="00F20BC9" w:rsidP="00B353A9">
      <w:pPr>
        <w:pStyle w:val="Punktlistanumrerad"/>
      </w:pPr>
      <w:proofErr w:type="spellStart"/>
      <w:r w:rsidRPr="00F20BC9">
        <w:t>Defining</w:t>
      </w:r>
      <w:proofErr w:type="spellEnd"/>
      <w:r w:rsidRPr="00F20BC9">
        <w:t xml:space="preserve"> </w:t>
      </w:r>
      <w:proofErr w:type="spellStart"/>
      <w:r w:rsidRPr="00F20BC9">
        <w:t>baseline</w:t>
      </w:r>
      <w:proofErr w:type="spellEnd"/>
      <w:r w:rsidRPr="00F20BC9">
        <w:t xml:space="preserve"> </w:t>
      </w:r>
      <w:proofErr w:type="spellStart"/>
      <w:r w:rsidRPr="00F20BC9">
        <w:t>variability</w:t>
      </w:r>
      <w:proofErr w:type="spellEnd"/>
      <w:r w:rsidRPr="00F20BC9">
        <w:t xml:space="preserve"> </w:t>
      </w:r>
      <w:proofErr w:type="spellStart"/>
      <w:r w:rsidRPr="00F20BC9">
        <w:t>of</w:t>
      </w:r>
      <w:proofErr w:type="spellEnd"/>
      <w:r w:rsidRPr="00F20BC9">
        <w:t xml:space="preserve"> serum </w:t>
      </w:r>
      <w:proofErr w:type="spellStart"/>
      <w:r w:rsidRPr="00F20BC9">
        <w:t>tryptase</w:t>
      </w:r>
      <w:proofErr w:type="spellEnd"/>
      <w:r w:rsidRPr="00F20BC9">
        <w:t xml:space="preserve"> </w:t>
      </w:r>
      <w:proofErr w:type="spellStart"/>
      <w:r w:rsidRPr="00F20BC9">
        <w:t>levels</w:t>
      </w:r>
      <w:proofErr w:type="spellEnd"/>
      <w:r w:rsidRPr="00F20BC9">
        <w:t xml:space="preserve"> </w:t>
      </w:r>
      <w:proofErr w:type="spellStart"/>
      <w:r w:rsidRPr="00F20BC9">
        <w:t>improves</w:t>
      </w:r>
      <w:proofErr w:type="spellEnd"/>
      <w:r w:rsidRPr="00F20BC9">
        <w:t xml:space="preserve"> </w:t>
      </w:r>
      <w:proofErr w:type="spellStart"/>
      <w:r w:rsidRPr="00F20BC9">
        <w:t>accuracy</w:t>
      </w:r>
      <w:proofErr w:type="spellEnd"/>
      <w:r w:rsidRPr="00F20BC9">
        <w:t xml:space="preserve"> in </w:t>
      </w:r>
      <w:proofErr w:type="spellStart"/>
      <w:r w:rsidRPr="00F20BC9">
        <w:t>identifying</w:t>
      </w:r>
      <w:proofErr w:type="spellEnd"/>
      <w:r w:rsidRPr="00F20BC9">
        <w:t xml:space="preserve"> </w:t>
      </w:r>
      <w:proofErr w:type="spellStart"/>
      <w:r w:rsidRPr="00F20BC9">
        <w:t>anaphylaxis</w:t>
      </w:r>
      <w:proofErr w:type="spellEnd"/>
      <w:r w:rsidRPr="00F20BC9">
        <w:t xml:space="preserve">. </w:t>
      </w:r>
      <w:proofErr w:type="spellStart"/>
      <w:r w:rsidRPr="00F20BC9">
        <w:t>Mateja</w:t>
      </w:r>
      <w:proofErr w:type="spellEnd"/>
      <w:r w:rsidRPr="00F20BC9">
        <w:t xml:space="preserve">, </w:t>
      </w:r>
      <w:proofErr w:type="spellStart"/>
      <w:r w:rsidRPr="00F20BC9">
        <w:t>Metcalve</w:t>
      </w:r>
      <w:proofErr w:type="spellEnd"/>
      <w:r w:rsidRPr="00F20BC9">
        <w:t xml:space="preserve"> et al 2022, Journal </w:t>
      </w:r>
      <w:proofErr w:type="spellStart"/>
      <w:r w:rsidRPr="00F20BC9">
        <w:t>Allergy</w:t>
      </w:r>
      <w:proofErr w:type="spellEnd"/>
      <w:r w:rsidRPr="00F20BC9">
        <w:t xml:space="preserve"> Clinical </w:t>
      </w:r>
      <w:proofErr w:type="spellStart"/>
      <w:r w:rsidRPr="00F20BC9">
        <w:t>Immunology</w:t>
      </w:r>
      <w:proofErr w:type="spellEnd"/>
      <w:r w:rsidRPr="00F20BC9">
        <w:t>, in press</w:t>
      </w:r>
    </w:p>
    <w:p w14:paraId="42382EC2" w14:textId="77777777" w:rsidR="00F20BC9" w:rsidRPr="00F20BC9" w:rsidRDefault="00F20BC9" w:rsidP="00B353A9">
      <w:pPr>
        <w:pStyle w:val="Punktlistanumrerad"/>
      </w:pPr>
      <w:proofErr w:type="spellStart"/>
      <w:r w:rsidRPr="00F20BC9">
        <w:t>Diagnostic</w:t>
      </w:r>
      <w:proofErr w:type="spellEnd"/>
      <w:r w:rsidRPr="00F20BC9">
        <w:t xml:space="preserve"> </w:t>
      </w:r>
      <w:proofErr w:type="spellStart"/>
      <w:r w:rsidRPr="00F20BC9">
        <w:t>performance</w:t>
      </w:r>
      <w:proofErr w:type="spellEnd"/>
      <w:r w:rsidRPr="00F20BC9">
        <w:t xml:space="preserve"> </w:t>
      </w:r>
      <w:proofErr w:type="spellStart"/>
      <w:r w:rsidRPr="00F20BC9">
        <w:t>of</w:t>
      </w:r>
      <w:proofErr w:type="spellEnd"/>
      <w:r w:rsidRPr="00F20BC9">
        <w:t xml:space="preserve"> </w:t>
      </w:r>
      <w:proofErr w:type="spellStart"/>
      <w:r w:rsidRPr="00F20BC9">
        <w:t>serial</w:t>
      </w:r>
      <w:proofErr w:type="spellEnd"/>
      <w:r w:rsidRPr="00F20BC9">
        <w:t xml:space="preserve"> total </w:t>
      </w:r>
      <w:proofErr w:type="spellStart"/>
      <w:r w:rsidRPr="00F20BC9">
        <w:t>tryptase</w:t>
      </w:r>
      <w:proofErr w:type="spellEnd"/>
      <w:r w:rsidRPr="00F20BC9">
        <w:t xml:space="preserve"> </w:t>
      </w:r>
      <w:proofErr w:type="spellStart"/>
      <w:r w:rsidRPr="00F20BC9">
        <w:t>measurement</w:t>
      </w:r>
      <w:proofErr w:type="spellEnd"/>
      <w:r w:rsidRPr="00F20BC9">
        <w:t xml:space="preserve"> to </w:t>
      </w:r>
      <w:proofErr w:type="spellStart"/>
      <w:r w:rsidRPr="00F20BC9">
        <w:t>differentiate</w:t>
      </w:r>
      <w:proofErr w:type="spellEnd"/>
      <w:r w:rsidRPr="00F20BC9">
        <w:t xml:space="preserve"> positive from negative </w:t>
      </w:r>
      <w:proofErr w:type="spellStart"/>
      <w:r w:rsidRPr="00F20BC9">
        <w:t>allergy</w:t>
      </w:r>
      <w:proofErr w:type="spellEnd"/>
      <w:r w:rsidRPr="00F20BC9">
        <w:t xml:space="preserve"> </w:t>
      </w:r>
      <w:proofErr w:type="spellStart"/>
      <w:r w:rsidRPr="00F20BC9">
        <w:t>testing</w:t>
      </w:r>
      <w:proofErr w:type="spellEnd"/>
      <w:r w:rsidRPr="00F20BC9">
        <w:t xml:space="preserve"> </w:t>
      </w:r>
      <w:proofErr w:type="spellStart"/>
      <w:r w:rsidRPr="00F20BC9">
        <w:t>among</w:t>
      </w:r>
      <w:proofErr w:type="spellEnd"/>
      <w:r w:rsidRPr="00F20BC9">
        <w:t xml:space="preserve"> patients </w:t>
      </w:r>
      <w:proofErr w:type="spellStart"/>
      <w:r w:rsidRPr="00F20BC9">
        <w:t>with</w:t>
      </w:r>
      <w:proofErr w:type="spellEnd"/>
      <w:r w:rsidRPr="00F20BC9">
        <w:t xml:space="preserve"> </w:t>
      </w:r>
      <w:proofErr w:type="spellStart"/>
      <w:r w:rsidRPr="00F20BC9">
        <w:t>suspected</w:t>
      </w:r>
      <w:proofErr w:type="spellEnd"/>
      <w:r w:rsidRPr="00F20BC9">
        <w:t xml:space="preserve"> </w:t>
      </w:r>
      <w:proofErr w:type="spellStart"/>
      <w:r w:rsidRPr="00F20BC9">
        <w:t>perioperative</w:t>
      </w:r>
      <w:proofErr w:type="spellEnd"/>
      <w:r w:rsidRPr="00F20BC9">
        <w:t xml:space="preserve"> </w:t>
      </w:r>
      <w:proofErr w:type="spellStart"/>
      <w:r w:rsidRPr="00F20BC9">
        <w:t>hypersensitivity</w:t>
      </w:r>
      <w:proofErr w:type="spellEnd"/>
      <w:r w:rsidRPr="00F20BC9">
        <w:t xml:space="preserve">; </w:t>
      </w:r>
      <w:proofErr w:type="spellStart"/>
      <w:r w:rsidRPr="00F20BC9">
        <w:t>Srisuwatchari</w:t>
      </w:r>
      <w:proofErr w:type="spellEnd"/>
      <w:r w:rsidRPr="00F20BC9">
        <w:t xml:space="preserve"> et al, </w:t>
      </w:r>
      <w:proofErr w:type="spellStart"/>
      <w:r w:rsidRPr="00F20BC9">
        <w:t>Clin</w:t>
      </w:r>
      <w:proofErr w:type="spellEnd"/>
      <w:r w:rsidRPr="00F20BC9">
        <w:t xml:space="preserve"> </w:t>
      </w:r>
      <w:proofErr w:type="spellStart"/>
      <w:r w:rsidRPr="00F20BC9">
        <w:t>Exp</w:t>
      </w:r>
      <w:proofErr w:type="spellEnd"/>
      <w:r w:rsidRPr="00F20BC9">
        <w:t xml:space="preserve"> </w:t>
      </w:r>
      <w:proofErr w:type="spellStart"/>
      <w:r w:rsidRPr="00F20BC9">
        <w:t>Allergy</w:t>
      </w:r>
      <w:proofErr w:type="spellEnd"/>
      <w:r w:rsidRPr="00F20BC9">
        <w:t xml:space="preserve"> 2022; 52: </w:t>
      </w:r>
      <w:proofErr w:type="gramStart"/>
      <w:r w:rsidRPr="00F20BC9">
        <w:t>334 -344</w:t>
      </w:r>
      <w:proofErr w:type="gramEnd"/>
    </w:p>
    <w:p w14:paraId="00668E8A" w14:textId="77777777" w:rsidR="00F20BC9" w:rsidRPr="00F20BC9" w:rsidRDefault="00F20BC9" w:rsidP="00B353A9">
      <w:pPr>
        <w:pStyle w:val="Punktlistanumrerad"/>
      </w:pPr>
      <w:proofErr w:type="spellStart"/>
      <w:r w:rsidRPr="00F20BC9">
        <w:t>Can</w:t>
      </w:r>
      <w:proofErr w:type="spellEnd"/>
      <w:r w:rsidRPr="00F20BC9">
        <w:t xml:space="preserve"> serum mast cell </w:t>
      </w:r>
      <w:proofErr w:type="spellStart"/>
      <w:r w:rsidRPr="00F20BC9">
        <w:t>Tryptase</w:t>
      </w:r>
      <w:proofErr w:type="spellEnd"/>
      <w:r w:rsidRPr="00F20BC9">
        <w:t xml:space="preserve"> </w:t>
      </w:r>
      <w:proofErr w:type="spellStart"/>
      <w:r w:rsidRPr="00F20BC9">
        <w:t>help</w:t>
      </w:r>
      <w:proofErr w:type="spellEnd"/>
      <w:r w:rsidRPr="00F20BC9">
        <w:t xml:space="preserve"> </w:t>
      </w:r>
      <w:proofErr w:type="spellStart"/>
      <w:r w:rsidRPr="00F20BC9">
        <w:t>diagnosing</w:t>
      </w:r>
      <w:proofErr w:type="spellEnd"/>
      <w:r w:rsidRPr="00F20BC9">
        <w:t xml:space="preserve"> </w:t>
      </w:r>
      <w:proofErr w:type="spellStart"/>
      <w:proofErr w:type="gramStart"/>
      <w:r w:rsidRPr="00F20BC9">
        <w:t>anaphylaxis</w:t>
      </w:r>
      <w:proofErr w:type="spellEnd"/>
      <w:r w:rsidRPr="00F20BC9">
        <w:t xml:space="preserve"> ?</w:t>
      </w:r>
      <w:proofErr w:type="gramEnd"/>
      <w:r w:rsidRPr="00F20BC9">
        <w:t xml:space="preserve"> Brown et al 2004; </w:t>
      </w:r>
      <w:proofErr w:type="spellStart"/>
      <w:r w:rsidRPr="00F20BC9">
        <w:t>Emergency</w:t>
      </w:r>
      <w:proofErr w:type="spellEnd"/>
      <w:r w:rsidRPr="00F20BC9">
        <w:t xml:space="preserve"> Med </w:t>
      </w:r>
      <w:proofErr w:type="spellStart"/>
      <w:r w:rsidRPr="00F20BC9">
        <w:t>Australasia</w:t>
      </w:r>
      <w:proofErr w:type="spellEnd"/>
      <w:r w:rsidRPr="00F20BC9">
        <w:t xml:space="preserve"> (16): </w:t>
      </w:r>
      <w:proofErr w:type="gramStart"/>
      <w:r w:rsidRPr="00F20BC9">
        <w:t>120-124</w:t>
      </w:r>
      <w:proofErr w:type="gramEnd"/>
    </w:p>
    <w:p w14:paraId="7976F13D" w14:textId="77777777" w:rsidR="00F20BC9" w:rsidRPr="00F20BC9" w:rsidRDefault="00F20BC9" w:rsidP="00B353A9">
      <w:pPr>
        <w:pStyle w:val="Punktlistanumrerad"/>
      </w:pPr>
      <w:proofErr w:type="spellStart"/>
      <w:r w:rsidRPr="00F20BC9">
        <w:t>Tryptase</w:t>
      </w:r>
      <w:proofErr w:type="spellEnd"/>
      <w:r w:rsidRPr="00F20BC9">
        <w:t xml:space="preserve"> </w:t>
      </w:r>
      <w:proofErr w:type="spellStart"/>
      <w:r w:rsidRPr="00F20BC9">
        <w:t>values</w:t>
      </w:r>
      <w:proofErr w:type="spellEnd"/>
      <w:r w:rsidRPr="00F20BC9">
        <w:t xml:space="preserve"> in </w:t>
      </w:r>
      <w:proofErr w:type="spellStart"/>
      <w:r w:rsidRPr="00F20BC9">
        <w:t>anaphylaxis</w:t>
      </w:r>
      <w:proofErr w:type="spellEnd"/>
      <w:r w:rsidRPr="00F20BC9">
        <w:t xml:space="preserve"> and </w:t>
      </w:r>
      <w:proofErr w:type="spellStart"/>
      <w:r w:rsidRPr="00F20BC9">
        <w:t>insect</w:t>
      </w:r>
      <w:proofErr w:type="spellEnd"/>
      <w:r w:rsidRPr="00F20BC9">
        <w:t xml:space="preserve"> </w:t>
      </w:r>
      <w:proofErr w:type="spellStart"/>
      <w:r w:rsidRPr="00F20BC9">
        <w:t>allergy</w:t>
      </w:r>
      <w:proofErr w:type="spellEnd"/>
      <w:r w:rsidRPr="00F20BC9">
        <w:t xml:space="preserve">. Bonadonna et </w:t>
      </w:r>
      <w:proofErr w:type="spellStart"/>
      <w:proofErr w:type="gramStart"/>
      <w:r w:rsidRPr="00F20BC9">
        <w:t>al;Curr</w:t>
      </w:r>
      <w:proofErr w:type="spellEnd"/>
      <w:proofErr w:type="gramEnd"/>
      <w:r w:rsidRPr="00F20BC9">
        <w:t xml:space="preserve"> Opinion </w:t>
      </w:r>
      <w:proofErr w:type="spellStart"/>
      <w:r w:rsidRPr="00F20BC9">
        <w:t>Allergy</w:t>
      </w:r>
      <w:proofErr w:type="spellEnd"/>
      <w:r w:rsidRPr="00F20BC9">
        <w:t xml:space="preserve"> </w:t>
      </w:r>
      <w:proofErr w:type="spellStart"/>
      <w:r w:rsidRPr="00F20BC9">
        <w:t>Clin</w:t>
      </w:r>
      <w:proofErr w:type="spellEnd"/>
      <w:r w:rsidRPr="00F20BC9">
        <w:t xml:space="preserve"> </w:t>
      </w:r>
      <w:proofErr w:type="spellStart"/>
      <w:r w:rsidRPr="00F20BC9">
        <w:t>Immunol</w:t>
      </w:r>
      <w:proofErr w:type="spellEnd"/>
      <w:r w:rsidRPr="00F20BC9">
        <w:t xml:space="preserve"> 2019;19 (5):462 -467</w:t>
      </w:r>
    </w:p>
    <w:p w14:paraId="63119856" w14:textId="77777777" w:rsidR="00F20BC9" w:rsidRPr="00F20BC9" w:rsidRDefault="00F20BC9" w:rsidP="00B353A9">
      <w:pPr>
        <w:pStyle w:val="Punktlistanumrerad"/>
      </w:pPr>
      <w:r w:rsidRPr="00F20BC9">
        <w:t xml:space="preserve">An </w:t>
      </w:r>
      <w:proofErr w:type="spellStart"/>
      <w:r w:rsidRPr="00F20BC9">
        <w:t>allosteric</w:t>
      </w:r>
      <w:proofErr w:type="spellEnd"/>
      <w:r w:rsidRPr="00F20BC9">
        <w:t xml:space="preserve"> Anti-</w:t>
      </w:r>
      <w:proofErr w:type="spellStart"/>
      <w:r w:rsidRPr="00F20BC9">
        <w:t>Tryptase</w:t>
      </w:r>
      <w:proofErr w:type="spellEnd"/>
      <w:r w:rsidRPr="00F20BC9">
        <w:t xml:space="preserve"> Ab for the </w:t>
      </w:r>
      <w:proofErr w:type="spellStart"/>
      <w:r w:rsidRPr="00F20BC9">
        <w:t>treatment</w:t>
      </w:r>
      <w:proofErr w:type="spellEnd"/>
      <w:r w:rsidRPr="00F20BC9">
        <w:t xml:space="preserve"> </w:t>
      </w:r>
      <w:proofErr w:type="spellStart"/>
      <w:r w:rsidRPr="00F20BC9">
        <w:t>of</w:t>
      </w:r>
      <w:proofErr w:type="spellEnd"/>
      <w:r w:rsidRPr="00F20BC9">
        <w:t xml:space="preserve"> Mast Cell-</w:t>
      </w:r>
      <w:proofErr w:type="spellStart"/>
      <w:r w:rsidRPr="00F20BC9">
        <w:t>Mediated</w:t>
      </w:r>
      <w:proofErr w:type="spellEnd"/>
      <w:r w:rsidRPr="00F20BC9">
        <w:t xml:space="preserve"> </w:t>
      </w:r>
      <w:proofErr w:type="spellStart"/>
      <w:r w:rsidRPr="00F20BC9">
        <w:t>Severe</w:t>
      </w:r>
      <w:proofErr w:type="spellEnd"/>
      <w:r w:rsidRPr="00F20BC9">
        <w:t xml:space="preserve"> </w:t>
      </w:r>
      <w:proofErr w:type="spellStart"/>
      <w:proofErr w:type="gramStart"/>
      <w:r w:rsidRPr="00F20BC9">
        <w:t>Asthma;Maun</w:t>
      </w:r>
      <w:proofErr w:type="spellEnd"/>
      <w:proofErr w:type="gramEnd"/>
      <w:r w:rsidRPr="00F20BC9">
        <w:t xml:space="preserve"> et al, Cell 2019,179(2):417-431</w:t>
      </w:r>
    </w:p>
    <w:p w14:paraId="350E081D" w14:textId="77777777" w:rsidR="00F20BC9" w:rsidRPr="00F20BC9" w:rsidRDefault="00F20BC9" w:rsidP="00B353A9">
      <w:pPr>
        <w:pStyle w:val="Punktlistanumrerad"/>
      </w:pPr>
      <w:r w:rsidRPr="00F20BC9">
        <w:t>Aspirin-</w:t>
      </w:r>
      <w:proofErr w:type="spellStart"/>
      <w:r w:rsidRPr="00F20BC9">
        <w:t>Exacerbated</w:t>
      </w:r>
      <w:proofErr w:type="spellEnd"/>
      <w:r w:rsidRPr="00F20BC9">
        <w:t xml:space="preserve"> </w:t>
      </w:r>
      <w:proofErr w:type="spellStart"/>
      <w:r w:rsidRPr="00F20BC9">
        <w:t>Respiratory</w:t>
      </w:r>
      <w:proofErr w:type="spellEnd"/>
      <w:r w:rsidRPr="00F20BC9">
        <w:t xml:space="preserve"> </w:t>
      </w:r>
      <w:proofErr w:type="spellStart"/>
      <w:r w:rsidRPr="00F20BC9">
        <w:t>Disease</w:t>
      </w:r>
      <w:proofErr w:type="spellEnd"/>
      <w:r w:rsidRPr="00F20BC9">
        <w:t>; White and Stevenson; NEJM 2018; 379 (11</w:t>
      </w:r>
      <w:proofErr w:type="gramStart"/>
      <w:r w:rsidRPr="00F20BC9">
        <w:t>) :</w:t>
      </w:r>
      <w:proofErr w:type="gramEnd"/>
      <w:r w:rsidRPr="00F20BC9">
        <w:t xml:space="preserve"> 1060 - 1070</w:t>
      </w:r>
    </w:p>
    <w:p w14:paraId="765A1773" w14:textId="77777777" w:rsidR="00F20BC9" w:rsidRPr="00F20BC9" w:rsidRDefault="00F20BC9" w:rsidP="00B353A9">
      <w:pPr>
        <w:pStyle w:val="Punktlistanumrerad"/>
      </w:pPr>
      <w:proofErr w:type="spellStart"/>
      <w:r w:rsidRPr="00F20BC9">
        <w:t>Biologic</w:t>
      </w:r>
      <w:proofErr w:type="spellEnd"/>
      <w:r w:rsidRPr="00F20BC9">
        <w:t xml:space="preserve"> </w:t>
      </w:r>
      <w:proofErr w:type="spellStart"/>
      <w:r w:rsidRPr="00F20BC9">
        <w:t>Therapies</w:t>
      </w:r>
      <w:proofErr w:type="spellEnd"/>
      <w:r w:rsidRPr="00F20BC9">
        <w:t xml:space="preserve"> for </w:t>
      </w:r>
      <w:proofErr w:type="spellStart"/>
      <w:r w:rsidRPr="00F20BC9">
        <w:t>Severe</w:t>
      </w:r>
      <w:proofErr w:type="spellEnd"/>
      <w:r w:rsidRPr="00F20BC9">
        <w:t xml:space="preserve"> </w:t>
      </w:r>
      <w:proofErr w:type="spellStart"/>
      <w:proofErr w:type="gramStart"/>
      <w:r w:rsidRPr="00F20BC9">
        <w:t>Asthma</w:t>
      </w:r>
      <w:proofErr w:type="spellEnd"/>
      <w:r w:rsidRPr="00F20BC9">
        <w:t xml:space="preserve"> ;</w:t>
      </w:r>
      <w:proofErr w:type="gramEnd"/>
      <w:r w:rsidRPr="00F20BC9">
        <w:t xml:space="preserve"> </w:t>
      </w:r>
      <w:proofErr w:type="spellStart"/>
      <w:r w:rsidRPr="00F20BC9">
        <w:t>Brusselle</w:t>
      </w:r>
      <w:proofErr w:type="spellEnd"/>
      <w:r w:rsidRPr="00F20BC9">
        <w:t xml:space="preserve"> and </w:t>
      </w:r>
      <w:proofErr w:type="spellStart"/>
      <w:r w:rsidRPr="00F20BC9">
        <w:t>Koppelman</w:t>
      </w:r>
      <w:proofErr w:type="spellEnd"/>
      <w:r w:rsidRPr="00F20BC9">
        <w:t>; NEJM 2022; 386: 157 - 171</w:t>
      </w:r>
    </w:p>
    <w:p w14:paraId="79428B96" w14:textId="77777777" w:rsidR="00F20BC9" w:rsidRPr="00F20BC9" w:rsidRDefault="00F20BC9" w:rsidP="00B353A9">
      <w:pPr>
        <w:pStyle w:val="Punktlistanumrerad"/>
      </w:pPr>
      <w:proofErr w:type="spellStart"/>
      <w:r w:rsidRPr="00F20BC9">
        <w:t>Diagnosis</w:t>
      </w:r>
      <w:proofErr w:type="spellEnd"/>
      <w:r w:rsidRPr="00F20BC9">
        <w:t xml:space="preserve"> and </w:t>
      </w:r>
      <w:proofErr w:type="spellStart"/>
      <w:r w:rsidRPr="00F20BC9">
        <w:t>Treatment</w:t>
      </w:r>
      <w:proofErr w:type="spellEnd"/>
      <w:r w:rsidRPr="00F20BC9">
        <w:t xml:space="preserve"> </w:t>
      </w:r>
      <w:proofErr w:type="spellStart"/>
      <w:r w:rsidRPr="00F20BC9">
        <w:t>of</w:t>
      </w:r>
      <w:proofErr w:type="spellEnd"/>
      <w:r w:rsidRPr="00F20BC9">
        <w:t xml:space="preserve"> </w:t>
      </w:r>
      <w:proofErr w:type="spellStart"/>
      <w:r w:rsidRPr="00F20BC9">
        <w:t>Urticaria</w:t>
      </w:r>
      <w:proofErr w:type="spellEnd"/>
      <w:r w:rsidRPr="00F20BC9">
        <w:t xml:space="preserve"> and </w:t>
      </w:r>
      <w:proofErr w:type="spellStart"/>
      <w:r w:rsidRPr="00F20BC9">
        <w:t>Angioedema</w:t>
      </w:r>
      <w:proofErr w:type="spellEnd"/>
      <w:r w:rsidRPr="00F20BC9">
        <w:t xml:space="preserve"> Position Paper Sanchez-Borges WAO Journal 2012 ,5(11):</w:t>
      </w:r>
      <w:proofErr w:type="gramStart"/>
      <w:r w:rsidRPr="00F20BC9">
        <w:t>125-147</w:t>
      </w:r>
      <w:proofErr w:type="gramEnd"/>
    </w:p>
    <w:p w14:paraId="08F20097" w14:textId="77777777" w:rsidR="00F20BC9" w:rsidRPr="00F20BC9" w:rsidRDefault="00F20BC9" w:rsidP="00B353A9">
      <w:pPr>
        <w:pStyle w:val="Punktlistanumrerad"/>
      </w:pPr>
      <w:r w:rsidRPr="00F20BC9">
        <w:t xml:space="preserve">BSACI </w:t>
      </w:r>
      <w:proofErr w:type="spellStart"/>
      <w:r w:rsidRPr="00F20BC9">
        <w:t>guideline</w:t>
      </w:r>
      <w:proofErr w:type="spellEnd"/>
      <w:r w:rsidRPr="00F20BC9">
        <w:t xml:space="preserve"> for the management </w:t>
      </w:r>
      <w:proofErr w:type="spellStart"/>
      <w:r w:rsidRPr="00F20BC9">
        <w:t>of</w:t>
      </w:r>
      <w:proofErr w:type="spellEnd"/>
      <w:r w:rsidRPr="00F20BC9">
        <w:t xml:space="preserve"> </w:t>
      </w:r>
      <w:proofErr w:type="spellStart"/>
      <w:r w:rsidRPr="00F20BC9">
        <w:t>chronic</w:t>
      </w:r>
      <w:proofErr w:type="spellEnd"/>
      <w:r w:rsidRPr="00F20BC9">
        <w:t xml:space="preserve"> </w:t>
      </w:r>
      <w:proofErr w:type="spellStart"/>
      <w:r w:rsidRPr="00F20BC9">
        <w:t>urticaria</w:t>
      </w:r>
      <w:proofErr w:type="spellEnd"/>
      <w:r w:rsidRPr="00F20BC9">
        <w:t xml:space="preserve"> and </w:t>
      </w:r>
      <w:proofErr w:type="spellStart"/>
      <w:proofErr w:type="gramStart"/>
      <w:r w:rsidRPr="00F20BC9">
        <w:t>angioedema;Powell</w:t>
      </w:r>
      <w:proofErr w:type="spellEnd"/>
      <w:proofErr w:type="gramEnd"/>
      <w:r w:rsidRPr="00F20BC9">
        <w:t xml:space="preserve"> et al </w:t>
      </w:r>
      <w:proofErr w:type="spellStart"/>
      <w:r w:rsidRPr="00F20BC9">
        <w:t>Clin</w:t>
      </w:r>
      <w:proofErr w:type="spellEnd"/>
      <w:r w:rsidRPr="00F20BC9">
        <w:t xml:space="preserve"> </w:t>
      </w:r>
      <w:proofErr w:type="spellStart"/>
      <w:r w:rsidRPr="00F20BC9">
        <w:t>Exp</w:t>
      </w:r>
      <w:proofErr w:type="spellEnd"/>
      <w:r w:rsidRPr="00F20BC9">
        <w:t xml:space="preserve"> </w:t>
      </w:r>
      <w:proofErr w:type="spellStart"/>
      <w:r w:rsidRPr="00F20BC9">
        <w:t>Allergy</w:t>
      </w:r>
      <w:proofErr w:type="spellEnd"/>
      <w:r w:rsidRPr="00F20BC9">
        <w:t xml:space="preserve"> 2015;45 (3):547-565</w:t>
      </w:r>
    </w:p>
    <w:p w14:paraId="470D6783" w14:textId="77777777" w:rsidR="00F20BC9" w:rsidRPr="00F20BC9" w:rsidRDefault="00F20BC9" w:rsidP="00B353A9">
      <w:pPr>
        <w:pStyle w:val="Punktlistanumrerad"/>
      </w:pPr>
      <w:r w:rsidRPr="00F20BC9">
        <w:t xml:space="preserve"> </w:t>
      </w:r>
      <w:proofErr w:type="spellStart"/>
      <w:r w:rsidRPr="00F20BC9">
        <w:t>About</w:t>
      </w:r>
      <w:proofErr w:type="spellEnd"/>
      <w:r w:rsidRPr="00F20BC9">
        <w:t xml:space="preserve"> the </w:t>
      </w:r>
      <w:proofErr w:type="spellStart"/>
      <w:r w:rsidRPr="00F20BC9">
        <w:t>role</w:t>
      </w:r>
      <w:proofErr w:type="spellEnd"/>
      <w:r w:rsidRPr="00F20BC9">
        <w:t xml:space="preserve"> and </w:t>
      </w:r>
      <w:proofErr w:type="spellStart"/>
      <w:r w:rsidRPr="00F20BC9">
        <w:t>underlying</w:t>
      </w:r>
      <w:proofErr w:type="spellEnd"/>
      <w:r w:rsidRPr="00F20BC9">
        <w:t xml:space="preserve"> </w:t>
      </w:r>
      <w:proofErr w:type="spellStart"/>
      <w:r w:rsidRPr="00F20BC9">
        <w:t>mechanisms</w:t>
      </w:r>
      <w:proofErr w:type="spellEnd"/>
      <w:r w:rsidRPr="00F20BC9">
        <w:t xml:space="preserve"> </w:t>
      </w:r>
      <w:proofErr w:type="spellStart"/>
      <w:r w:rsidRPr="00F20BC9">
        <w:t>of</w:t>
      </w:r>
      <w:proofErr w:type="spellEnd"/>
      <w:r w:rsidRPr="00F20BC9">
        <w:t xml:space="preserve"> </w:t>
      </w:r>
      <w:proofErr w:type="spellStart"/>
      <w:r w:rsidRPr="00F20BC9">
        <w:t>cofactors</w:t>
      </w:r>
      <w:proofErr w:type="spellEnd"/>
      <w:r w:rsidRPr="00F20BC9">
        <w:t xml:space="preserve"> in </w:t>
      </w:r>
      <w:proofErr w:type="spellStart"/>
      <w:r w:rsidRPr="00F20BC9">
        <w:t>anaphylaxis</w:t>
      </w:r>
      <w:proofErr w:type="spellEnd"/>
      <w:r w:rsidRPr="00F20BC9">
        <w:t xml:space="preserve">: </w:t>
      </w:r>
      <w:proofErr w:type="spellStart"/>
      <w:r w:rsidRPr="00F20BC9">
        <w:t>F.Wölbing</w:t>
      </w:r>
      <w:proofErr w:type="spellEnd"/>
      <w:r w:rsidRPr="00F20BC9">
        <w:t xml:space="preserve"> et </w:t>
      </w:r>
      <w:proofErr w:type="gramStart"/>
      <w:r w:rsidRPr="00F20BC9">
        <w:t>al :</w:t>
      </w:r>
      <w:proofErr w:type="gramEnd"/>
      <w:r w:rsidRPr="00F20BC9">
        <w:t xml:space="preserve"> </w:t>
      </w:r>
      <w:proofErr w:type="spellStart"/>
      <w:r w:rsidRPr="00F20BC9">
        <w:t>Allergy</w:t>
      </w:r>
      <w:proofErr w:type="spellEnd"/>
      <w:r w:rsidRPr="00F20BC9">
        <w:t xml:space="preserve"> 2013 , 68 (9): 1085–1092.</w:t>
      </w:r>
    </w:p>
    <w:p w14:paraId="6848F171" w14:textId="77777777" w:rsidR="00F20BC9" w:rsidRPr="00F20BC9" w:rsidRDefault="00F20BC9" w:rsidP="00B353A9">
      <w:pPr>
        <w:pStyle w:val="Punktlistanumrerad"/>
      </w:pPr>
      <w:r w:rsidRPr="00F20BC9">
        <w:t>Co-</w:t>
      </w:r>
      <w:proofErr w:type="spellStart"/>
      <w:r w:rsidRPr="00F20BC9">
        <w:t>factor</w:t>
      </w:r>
      <w:proofErr w:type="spellEnd"/>
      <w:r w:rsidRPr="00F20BC9">
        <w:t>-</w:t>
      </w:r>
      <w:proofErr w:type="spellStart"/>
      <w:r w:rsidRPr="00F20BC9">
        <w:t>enhanced</w:t>
      </w:r>
      <w:proofErr w:type="spellEnd"/>
      <w:r w:rsidRPr="00F20BC9">
        <w:t xml:space="preserve"> </w:t>
      </w:r>
      <w:proofErr w:type="spellStart"/>
      <w:r w:rsidRPr="00F20BC9">
        <w:t>food</w:t>
      </w:r>
      <w:proofErr w:type="spellEnd"/>
      <w:r w:rsidRPr="00F20BC9">
        <w:t xml:space="preserve"> </w:t>
      </w:r>
      <w:proofErr w:type="spellStart"/>
      <w:r w:rsidRPr="00F20BC9">
        <w:t>allergy</w:t>
      </w:r>
      <w:proofErr w:type="spellEnd"/>
      <w:r w:rsidRPr="00F20BC9">
        <w:t xml:space="preserve">; </w:t>
      </w:r>
      <w:proofErr w:type="spellStart"/>
      <w:r w:rsidRPr="00F20BC9">
        <w:t>Cardona</w:t>
      </w:r>
      <w:proofErr w:type="spellEnd"/>
      <w:r w:rsidRPr="00F20BC9">
        <w:t xml:space="preserve"> el al: </w:t>
      </w:r>
      <w:proofErr w:type="spellStart"/>
      <w:r w:rsidRPr="00F20BC9">
        <w:t>Allergy</w:t>
      </w:r>
      <w:proofErr w:type="spellEnd"/>
      <w:r w:rsidRPr="00F20BC9">
        <w:t xml:space="preserve"> 2012; 67 (10): 1316 – 1318</w:t>
      </w:r>
    </w:p>
    <w:p w14:paraId="5163689F" w14:textId="77777777" w:rsidR="00F20BC9" w:rsidRPr="00F20BC9" w:rsidRDefault="00F20BC9" w:rsidP="00B353A9">
      <w:pPr>
        <w:pStyle w:val="Punktlistanumrerad"/>
      </w:pPr>
      <w:proofErr w:type="spellStart"/>
      <w:r w:rsidRPr="00F20BC9">
        <w:t>Food-dependent</w:t>
      </w:r>
      <w:proofErr w:type="spellEnd"/>
      <w:r w:rsidRPr="00F20BC9">
        <w:t xml:space="preserve"> NSAID-</w:t>
      </w:r>
      <w:proofErr w:type="spellStart"/>
      <w:r w:rsidRPr="00F20BC9">
        <w:t>induced</w:t>
      </w:r>
      <w:proofErr w:type="spellEnd"/>
      <w:r w:rsidRPr="00F20BC9">
        <w:t xml:space="preserve"> </w:t>
      </w:r>
      <w:proofErr w:type="spellStart"/>
      <w:r w:rsidRPr="00F20BC9">
        <w:t>hypersensitivity</w:t>
      </w:r>
      <w:proofErr w:type="spellEnd"/>
      <w:r w:rsidRPr="00F20BC9">
        <w:t xml:space="preserve"> (</w:t>
      </w:r>
      <w:proofErr w:type="gramStart"/>
      <w:r w:rsidRPr="00F20BC9">
        <w:t>FDNIH )</w:t>
      </w:r>
      <w:proofErr w:type="gramEnd"/>
      <w:r w:rsidRPr="00F20BC9">
        <w:t xml:space="preserve"> </w:t>
      </w:r>
      <w:proofErr w:type="spellStart"/>
      <w:r w:rsidRPr="00F20BC9">
        <w:t>reactions</w:t>
      </w:r>
      <w:proofErr w:type="spellEnd"/>
      <w:r w:rsidRPr="00F20BC9">
        <w:t xml:space="preserve">: Sanchez-Lopez et al </w:t>
      </w:r>
      <w:proofErr w:type="spellStart"/>
      <w:r w:rsidRPr="00F20BC9">
        <w:t>Allergy</w:t>
      </w:r>
      <w:proofErr w:type="spellEnd"/>
      <w:r w:rsidRPr="00F20BC9">
        <w:t xml:space="preserve"> 2021 : 76 (5):1480 -1492</w:t>
      </w:r>
    </w:p>
    <w:p w14:paraId="6DB17D2B" w14:textId="77777777" w:rsidR="00F20BC9" w:rsidRPr="00F20BC9" w:rsidRDefault="00F20BC9" w:rsidP="00B353A9">
      <w:pPr>
        <w:pStyle w:val="Punktlistanumrerad"/>
      </w:pPr>
      <w:proofErr w:type="spellStart"/>
      <w:r w:rsidRPr="00F20BC9">
        <w:lastRenderedPageBreak/>
        <w:t>Ramipril</w:t>
      </w:r>
      <w:proofErr w:type="spellEnd"/>
      <w:r w:rsidRPr="00F20BC9">
        <w:t xml:space="preserve"> and </w:t>
      </w:r>
      <w:proofErr w:type="spellStart"/>
      <w:r w:rsidRPr="00F20BC9">
        <w:t>metoprolol</w:t>
      </w:r>
      <w:proofErr w:type="spellEnd"/>
      <w:r w:rsidRPr="00F20BC9">
        <w:t xml:space="preserve"> </w:t>
      </w:r>
      <w:proofErr w:type="spellStart"/>
      <w:r w:rsidRPr="00F20BC9">
        <w:t>intake</w:t>
      </w:r>
      <w:proofErr w:type="spellEnd"/>
      <w:r w:rsidRPr="00F20BC9">
        <w:t xml:space="preserve"> </w:t>
      </w:r>
      <w:proofErr w:type="spellStart"/>
      <w:r w:rsidRPr="00F20BC9">
        <w:t>aggravate</w:t>
      </w:r>
      <w:proofErr w:type="spellEnd"/>
      <w:r w:rsidRPr="00F20BC9">
        <w:t xml:space="preserve"> human and </w:t>
      </w:r>
      <w:proofErr w:type="spellStart"/>
      <w:r w:rsidRPr="00F20BC9">
        <w:t>murine</w:t>
      </w:r>
      <w:proofErr w:type="spellEnd"/>
      <w:r w:rsidRPr="00F20BC9">
        <w:t xml:space="preserve"> </w:t>
      </w:r>
      <w:proofErr w:type="spellStart"/>
      <w:r w:rsidRPr="00F20BC9">
        <w:t>anaphylaxis</w:t>
      </w:r>
      <w:proofErr w:type="spellEnd"/>
      <w:r w:rsidRPr="00F20BC9">
        <w:t xml:space="preserve">: </w:t>
      </w:r>
      <w:proofErr w:type="spellStart"/>
      <w:r w:rsidRPr="00F20BC9">
        <w:t>Evidence</w:t>
      </w:r>
      <w:proofErr w:type="spellEnd"/>
      <w:r w:rsidRPr="00F20BC9">
        <w:t xml:space="preserve"> for </w:t>
      </w:r>
      <w:proofErr w:type="spellStart"/>
      <w:r w:rsidRPr="00F20BC9">
        <w:t>direct</w:t>
      </w:r>
      <w:proofErr w:type="spellEnd"/>
      <w:r w:rsidRPr="00F20BC9">
        <w:t xml:space="preserve"> </w:t>
      </w:r>
      <w:proofErr w:type="gramStart"/>
      <w:r w:rsidRPr="00F20BC9">
        <w:t>mast cell</w:t>
      </w:r>
      <w:proofErr w:type="gramEnd"/>
      <w:r w:rsidRPr="00F20BC9">
        <w:t xml:space="preserve"> </w:t>
      </w:r>
      <w:proofErr w:type="spellStart"/>
      <w:r w:rsidRPr="00F20BC9">
        <w:t>priming</w:t>
      </w:r>
      <w:proofErr w:type="spellEnd"/>
      <w:r w:rsidRPr="00F20BC9">
        <w:t xml:space="preserve">: </w:t>
      </w:r>
      <w:proofErr w:type="spellStart"/>
      <w:r w:rsidRPr="00F20BC9">
        <w:t>Nassiri.M</w:t>
      </w:r>
      <w:proofErr w:type="spellEnd"/>
      <w:r w:rsidRPr="00F20BC9">
        <w:t xml:space="preserve">, J </w:t>
      </w:r>
      <w:proofErr w:type="spellStart"/>
      <w:r w:rsidRPr="00F20BC9">
        <w:t>Allergy</w:t>
      </w:r>
      <w:proofErr w:type="spellEnd"/>
      <w:r w:rsidRPr="00F20BC9">
        <w:t xml:space="preserve"> </w:t>
      </w:r>
      <w:proofErr w:type="spellStart"/>
      <w:r w:rsidRPr="00F20BC9">
        <w:t>Clin</w:t>
      </w:r>
      <w:proofErr w:type="spellEnd"/>
      <w:r w:rsidRPr="00F20BC9">
        <w:t xml:space="preserve"> </w:t>
      </w:r>
      <w:proofErr w:type="spellStart"/>
      <w:r w:rsidRPr="00F20BC9">
        <w:t>Immunol</w:t>
      </w:r>
      <w:proofErr w:type="spellEnd"/>
      <w:r w:rsidRPr="00F20BC9">
        <w:t xml:space="preserve"> 2015; 135 (2): 491-499</w:t>
      </w:r>
    </w:p>
    <w:p w14:paraId="4D1BB98E" w14:textId="77777777" w:rsidR="00F20BC9" w:rsidRPr="00F20BC9" w:rsidRDefault="00F20BC9" w:rsidP="00B353A9">
      <w:pPr>
        <w:pStyle w:val="Punktlistanumrerad"/>
      </w:pPr>
      <w:r w:rsidRPr="00F20BC9">
        <w:t xml:space="preserve">Fatal and </w:t>
      </w:r>
      <w:proofErr w:type="spellStart"/>
      <w:r w:rsidRPr="00F20BC9">
        <w:t>near</w:t>
      </w:r>
      <w:proofErr w:type="spellEnd"/>
      <w:r w:rsidRPr="00F20BC9">
        <w:t xml:space="preserve">-fatal </w:t>
      </w:r>
      <w:proofErr w:type="spellStart"/>
      <w:r w:rsidRPr="00F20BC9">
        <w:t>anaphylactic</w:t>
      </w:r>
      <w:proofErr w:type="spellEnd"/>
      <w:r w:rsidRPr="00F20BC9">
        <w:t xml:space="preserve"> </w:t>
      </w:r>
      <w:proofErr w:type="spellStart"/>
      <w:r w:rsidRPr="00F20BC9">
        <w:t>reactions</w:t>
      </w:r>
      <w:proofErr w:type="spellEnd"/>
      <w:r w:rsidRPr="00F20BC9">
        <w:t xml:space="preserve"> to </w:t>
      </w:r>
      <w:proofErr w:type="spellStart"/>
      <w:r w:rsidRPr="00F20BC9">
        <w:t>food</w:t>
      </w:r>
      <w:proofErr w:type="spellEnd"/>
      <w:r w:rsidRPr="00F20BC9">
        <w:t xml:space="preserve"> in </w:t>
      </w:r>
      <w:proofErr w:type="spellStart"/>
      <w:r w:rsidRPr="00F20BC9">
        <w:t>children</w:t>
      </w:r>
      <w:proofErr w:type="spellEnd"/>
      <w:r w:rsidRPr="00F20BC9">
        <w:t xml:space="preserve"> and </w:t>
      </w:r>
      <w:proofErr w:type="spellStart"/>
      <w:r w:rsidRPr="00F20BC9">
        <w:t>adolescents</w:t>
      </w:r>
      <w:proofErr w:type="spellEnd"/>
      <w:r w:rsidRPr="00F20BC9">
        <w:t xml:space="preserve">. </w:t>
      </w:r>
      <w:proofErr w:type="spellStart"/>
      <w:r w:rsidRPr="00F20BC9">
        <w:t>Sampson</w:t>
      </w:r>
      <w:proofErr w:type="spellEnd"/>
      <w:r w:rsidRPr="00F20BC9">
        <w:t xml:space="preserve"> HA, </w:t>
      </w:r>
      <w:proofErr w:type="spellStart"/>
      <w:r w:rsidRPr="00F20BC9">
        <w:t>Mendelson</w:t>
      </w:r>
      <w:proofErr w:type="spellEnd"/>
      <w:r w:rsidRPr="00F20BC9">
        <w:t xml:space="preserve"> L, Rosen JP. N </w:t>
      </w:r>
      <w:proofErr w:type="spellStart"/>
      <w:r w:rsidRPr="00F20BC9">
        <w:t>Engl</w:t>
      </w:r>
      <w:proofErr w:type="spellEnd"/>
      <w:r w:rsidRPr="00F20BC9">
        <w:t xml:space="preserve"> J Med. August, 1992; 6:327 (6): </w:t>
      </w:r>
      <w:proofErr w:type="gramStart"/>
      <w:r w:rsidRPr="00F20BC9">
        <w:t>380-4</w:t>
      </w:r>
      <w:proofErr w:type="gramEnd"/>
      <w:r w:rsidRPr="00F20BC9">
        <w:t>.</w:t>
      </w:r>
    </w:p>
    <w:p w14:paraId="3BAA5BD2" w14:textId="77777777" w:rsidR="00F20BC9" w:rsidRPr="00F20BC9" w:rsidRDefault="00F20BC9" w:rsidP="00B353A9">
      <w:pPr>
        <w:pStyle w:val="Punktlistanumrerad"/>
      </w:pPr>
      <w:proofErr w:type="spellStart"/>
      <w:r w:rsidRPr="00F20BC9">
        <w:t>Lessons</w:t>
      </w:r>
      <w:proofErr w:type="spellEnd"/>
      <w:r w:rsidRPr="00F20BC9">
        <w:t xml:space="preserve"> for management </w:t>
      </w:r>
      <w:proofErr w:type="spellStart"/>
      <w:r w:rsidRPr="00F20BC9">
        <w:t>of</w:t>
      </w:r>
      <w:proofErr w:type="spellEnd"/>
      <w:r w:rsidRPr="00F20BC9">
        <w:t xml:space="preserve"> </w:t>
      </w:r>
      <w:proofErr w:type="spellStart"/>
      <w:r w:rsidRPr="00F20BC9">
        <w:t>anaphylaxis</w:t>
      </w:r>
      <w:proofErr w:type="spellEnd"/>
      <w:r w:rsidRPr="00F20BC9">
        <w:t xml:space="preserve"> from a </w:t>
      </w:r>
      <w:proofErr w:type="spellStart"/>
      <w:r w:rsidRPr="00F20BC9">
        <w:t>study</w:t>
      </w:r>
      <w:proofErr w:type="spellEnd"/>
      <w:r w:rsidRPr="00F20BC9">
        <w:t xml:space="preserve"> </w:t>
      </w:r>
      <w:proofErr w:type="spellStart"/>
      <w:r w:rsidRPr="00F20BC9">
        <w:t>of</w:t>
      </w:r>
      <w:proofErr w:type="spellEnd"/>
      <w:r w:rsidRPr="00F20BC9">
        <w:t xml:space="preserve"> fatal </w:t>
      </w:r>
      <w:proofErr w:type="spellStart"/>
      <w:proofErr w:type="gramStart"/>
      <w:r w:rsidRPr="00F20BC9">
        <w:t>reactions.Pumphrey</w:t>
      </w:r>
      <w:proofErr w:type="spellEnd"/>
      <w:proofErr w:type="gramEnd"/>
      <w:r w:rsidRPr="00F20BC9">
        <w:t xml:space="preserve"> RS et al </w:t>
      </w:r>
      <w:proofErr w:type="spellStart"/>
      <w:r w:rsidRPr="00F20BC9">
        <w:t>Clin</w:t>
      </w:r>
      <w:proofErr w:type="spellEnd"/>
      <w:r w:rsidRPr="00F20BC9">
        <w:t xml:space="preserve"> </w:t>
      </w:r>
      <w:proofErr w:type="spellStart"/>
      <w:r w:rsidRPr="00F20BC9">
        <w:t>Exp</w:t>
      </w:r>
      <w:proofErr w:type="spellEnd"/>
      <w:r w:rsidRPr="00F20BC9">
        <w:t xml:space="preserve"> </w:t>
      </w:r>
      <w:proofErr w:type="spellStart"/>
      <w:r w:rsidRPr="00F20BC9">
        <w:t>Allergy</w:t>
      </w:r>
      <w:proofErr w:type="spellEnd"/>
      <w:r w:rsidRPr="00F20BC9">
        <w:t xml:space="preserve"> 2000;30:1144-50</w:t>
      </w:r>
    </w:p>
    <w:p w14:paraId="11915BF6" w14:textId="77777777" w:rsidR="00F20BC9" w:rsidRPr="00F20BC9" w:rsidRDefault="00F20BC9" w:rsidP="00B353A9">
      <w:pPr>
        <w:pStyle w:val="Punktlistanumrerad"/>
      </w:pPr>
      <w:proofErr w:type="spellStart"/>
      <w:r w:rsidRPr="00F20BC9">
        <w:t>Further</w:t>
      </w:r>
      <w:proofErr w:type="spellEnd"/>
      <w:r w:rsidRPr="00F20BC9">
        <w:t xml:space="preserve"> fatal </w:t>
      </w:r>
      <w:proofErr w:type="spellStart"/>
      <w:r w:rsidRPr="00F20BC9">
        <w:t>allergic</w:t>
      </w:r>
      <w:proofErr w:type="spellEnd"/>
      <w:r w:rsidRPr="00F20BC9">
        <w:t xml:space="preserve"> </w:t>
      </w:r>
      <w:proofErr w:type="spellStart"/>
      <w:r w:rsidRPr="00F20BC9">
        <w:t>reactions</w:t>
      </w:r>
      <w:proofErr w:type="spellEnd"/>
      <w:r w:rsidRPr="00F20BC9">
        <w:t xml:space="preserve"> to </w:t>
      </w:r>
      <w:proofErr w:type="spellStart"/>
      <w:r w:rsidRPr="00F20BC9">
        <w:t>food</w:t>
      </w:r>
      <w:proofErr w:type="spellEnd"/>
      <w:r w:rsidRPr="00F20BC9">
        <w:t xml:space="preserve"> in the UK 1999 -</w:t>
      </w:r>
      <w:proofErr w:type="gramStart"/>
      <w:r w:rsidRPr="00F20BC9">
        <w:t>2006:Pumphrey</w:t>
      </w:r>
      <w:proofErr w:type="gramEnd"/>
      <w:r w:rsidRPr="00F20BC9">
        <w:t xml:space="preserve"> and </w:t>
      </w:r>
      <w:proofErr w:type="spellStart"/>
      <w:r w:rsidRPr="00F20BC9">
        <w:t>Gowland</w:t>
      </w:r>
      <w:proofErr w:type="spellEnd"/>
      <w:r w:rsidRPr="00F20BC9">
        <w:t>, JACI 2007, 119 (4): 1018-1019</w:t>
      </w:r>
    </w:p>
    <w:p w14:paraId="1081A996" w14:textId="77777777" w:rsidR="00F20BC9" w:rsidRPr="00F20BC9" w:rsidRDefault="00F20BC9" w:rsidP="00B353A9">
      <w:pPr>
        <w:pStyle w:val="Punktlistanumrerad"/>
      </w:pPr>
      <w:proofErr w:type="spellStart"/>
      <w:r w:rsidRPr="00F20BC9">
        <w:t>Cardiovascular</w:t>
      </w:r>
      <w:proofErr w:type="spellEnd"/>
      <w:r w:rsidRPr="00F20BC9">
        <w:t xml:space="preserve"> </w:t>
      </w:r>
      <w:proofErr w:type="spellStart"/>
      <w:r w:rsidRPr="00F20BC9">
        <w:t>disease</w:t>
      </w:r>
      <w:proofErr w:type="spellEnd"/>
      <w:r w:rsidRPr="00F20BC9">
        <w:t xml:space="preserve"> and </w:t>
      </w:r>
      <w:proofErr w:type="spellStart"/>
      <w:r w:rsidRPr="00F20BC9">
        <w:t>anaphylaxis</w:t>
      </w:r>
      <w:proofErr w:type="spellEnd"/>
      <w:r w:rsidRPr="00F20BC9">
        <w:t>. Mueller UR</w:t>
      </w:r>
      <w:proofErr w:type="gramStart"/>
      <w:r w:rsidRPr="00F20BC9">
        <w:t xml:space="preserve"> :</w:t>
      </w:r>
      <w:proofErr w:type="spellStart"/>
      <w:r w:rsidRPr="00F20BC9">
        <w:t>Curr</w:t>
      </w:r>
      <w:proofErr w:type="spellEnd"/>
      <w:proofErr w:type="gramEnd"/>
      <w:r w:rsidRPr="00F20BC9">
        <w:t xml:space="preserve"> </w:t>
      </w:r>
      <w:proofErr w:type="spellStart"/>
      <w:r w:rsidRPr="00F20BC9">
        <w:t>Opin</w:t>
      </w:r>
      <w:proofErr w:type="spellEnd"/>
      <w:r w:rsidRPr="00F20BC9">
        <w:t xml:space="preserve"> </w:t>
      </w:r>
      <w:proofErr w:type="spellStart"/>
      <w:r w:rsidRPr="00F20BC9">
        <w:t>Allergy</w:t>
      </w:r>
      <w:proofErr w:type="spellEnd"/>
      <w:r w:rsidRPr="00F20BC9">
        <w:t xml:space="preserve"> </w:t>
      </w:r>
      <w:proofErr w:type="spellStart"/>
      <w:r w:rsidRPr="00F20BC9">
        <w:t>Clin</w:t>
      </w:r>
      <w:proofErr w:type="spellEnd"/>
      <w:r w:rsidRPr="00F20BC9">
        <w:t xml:space="preserve"> </w:t>
      </w:r>
      <w:proofErr w:type="spellStart"/>
      <w:r w:rsidRPr="00F20BC9">
        <w:t>Immunol</w:t>
      </w:r>
      <w:proofErr w:type="spellEnd"/>
      <w:r w:rsidRPr="00F20BC9">
        <w:t xml:space="preserve"> 2007;7 (4) :337- 341.</w:t>
      </w:r>
    </w:p>
    <w:p w14:paraId="5953A254" w14:textId="77777777" w:rsidR="00F20BC9" w:rsidRPr="00F20BC9" w:rsidRDefault="00F20BC9" w:rsidP="00B353A9">
      <w:pPr>
        <w:pStyle w:val="Punktlistanumrerad"/>
      </w:pPr>
      <w:proofErr w:type="spellStart"/>
      <w:r w:rsidRPr="00F20BC9">
        <w:t>Anaphylaxis</w:t>
      </w:r>
      <w:proofErr w:type="spellEnd"/>
      <w:r w:rsidRPr="00F20BC9">
        <w:t xml:space="preserve"> in patients </w:t>
      </w:r>
      <w:proofErr w:type="spellStart"/>
      <w:r w:rsidRPr="00F20BC9">
        <w:t>with</w:t>
      </w:r>
      <w:proofErr w:type="spellEnd"/>
      <w:r w:rsidRPr="00F20BC9">
        <w:t xml:space="preserve"> </w:t>
      </w:r>
      <w:proofErr w:type="spellStart"/>
      <w:r w:rsidRPr="00F20BC9">
        <w:t>mastocytosis</w:t>
      </w:r>
      <w:proofErr w:type="spellEnd"/>
      <w:r w:rsidRPr="00F20BC9">
        <w:t xml:space="preserve">: a </w:t>
      </w:r>
      <w:proofErr w:type="spellStart"/>
      <w:r w:rsidRPr="00F20BC9">
        <w:t>study</w:t>
      </w:r>
      <w:proofErr w:type="spellEnd"/>
      <w:r w:rsidRPr="00F20BC9">
        <w:t xml:space="preserve"> on </w:t>
      </w:r>
      <w:proofErr w:type="spellStart"/>
      <w:r w:rsidRPr="00F20BC9">
        <w:t>history</w:t>
      </w:r>
      <w:proofErr w:type="spellEnd"/>
      <w:r w:rsidRPr="00F20BC9">
        <w:t xml:space="preserve">, </w:t>
      </w:r>
      <w:proofErr w:type="spellStart"/>
      <w:r w:rsidRPr="00F20BC9">
        <w:t>clinical</w:t>
      </w:r>
      <w:proofErr w:type="spellEnd"/>
      <w:r w:rsidRPr="00F20BC9">
        <w:t xml:space="preserve"> features and risk </w:t>
      </w:r>
      <w:proofErr w:type="spellStart"/>
      <w:r w:rsidRPr="00F20BC9">
        <w:t>factors</w:t>
      </w:r>
      <w:proofErr w:type="spellEnd"/>
      <w:r w:rsidRPr="00F20BC9">
        <w:t xml:space="preserve"> in 120 patients. </w:t>
      </w:r>
      <w:proofErr w:type="spellStart"/>
      <w:r w:rsidRPr="00F20BC9">
        <w:t>Brockow</w:t>
      </w:r>
      <w:proofErr w:type="spellEnd"/>
      <w:r w:rsidRPr="00F20BC9">
        <w:t xml:space="preserve"> K, </w:t>
      </w:r>
      <w:proofErr w:type="spellStart"/>
      <w:r w:rsidRPr="00F20BC9">
        <w:t>Jofer</w:t>
      </w:r>
      <w:proofErr w:type="spellEnd"/>
      <w:r w:rsidRPr="00F20BC9">
        <w:t xml:space="preserve"> C, </w:t>
      </w:r>
      <w:proofErr w:type="spellStart"/>
      <w:r w:rsidRPr="00F20BC9">
        <w:t>Behrendt</w:t>
      </w:r>
      <w:proofErr w:type="spellEnd"/>
      <w:r w:rsidRPr="00F20BC9">
        <w:t xml:space="preserve"> H, Ring J. </w:t>
      </w:r>
      <w:proofErr w:type="spellStart"/>
      <w:r w:rsidRPr="00F20BC9">
        <w:t>Allergy</w:t>
      </w:r>
      <w:proofErr w:type="spellEnd"/>
      <w:r w:rsidRPr="00F20BC9">
        <w:t xml:space="preserve"> 2008;63 (2): 226 - 232.</w:t>
      </w:r>
    </w:p>
    <w:p w14:paraId="78874B40" w14:textId="77777777" w:rsidR="00F20BC9" w:rsidRPr="00F20BC9" w:rsidRDefault="00F20BC9" w:rsidP="00B353A9">
      <w:pPr>
        <w:pStyle w:val="Punktlistanumrerad"/>
      </w:pPr>
      <w:r w:rsidRPr="00F20BC9">
        <w:t xml:space="preserve">A </w:t>
      </w:r>
      <w:proofErr w:type="spellStart"/>
      <w:r w:rsidRPr="00F20BC9">
        <w:t>distinct</w:t>
      </w:r>
      <w:proofErr w:type="spellEnd"/>
      <w:r w:rsidRPr="00F20BC9">
        <w:t xml:space="preserve"> </w:t>
      </w:r>
      <w:proofErr w:type="spellStart"/>
      <w:r w:rsidRPr="00F20BC9">
        <w:t>biomolecular</w:t>
      </w:r>
      <w:proofErr w:type="spellEnd"/>
      <w:r w:rsidRPr="00F20BC9">
        <w:t xml:space="preserve"> </w:t>
      </w:r>
      <w:proofErr w:type="spellStart"/>
      <w:r w:rsidRPr="00F20BC9">
        <w:t>profile</w:t>
      </w:r>
      <w:proofErr w:type="spellEnd"/>
      <w:r w:rsidRPr="00F20BC9">
        <w:t xml:space="preserve"> </w:t>
      </w:r>
      <w:proofErr w:type="spellStart"/>
      <w:r w:rsidRPr="00F20BC9">
        <w:t>identifies</w:t>
      </w:r>
      <w:proofErr w:type="spellEnd"/>
      <w:r w:rsidRPr="00F20BC9">
        <w:t xml:space="preserve"> </w:t>
      </w:r>
      <w:proofErr w:type="spellStart"/>
      <w:r w:rsidRPr="00F20BC9">
        <w:t>monoclonal</w:t>
      </w:r>
      <w:proofErr w:type="spellEnd"/>
      <w:r w:rsidRPr="00F20BC9">
        <w:t xml:space="preserve"> mast cell disorders in patients </w:t>
      </w:r>
      <w:proofErr w:type="spellStart"/>
      <w:r w:rsidRPr="00F20BC9">
        <w:t>with</w:t>
      </w:r>
      <w:proofErr w:type="spellEnd"/>
      <w:r w:rsidRPr="00F20BC9">
        <w:t xml:space="preserve"> </w:t>
      </w:r>
      <w:proofErr w:type="spellStart"/>
      <w:r w:rsidRPr="00F20BC9">
        <w:t>ideopatic</w:t>
      </w:r>
      <w:proofErr w:type="spellEnd"/>
      <w:r w:rsidRPr="00F20BC9">
        <w:t xml:space="preserve"> </w:t>
      </w:r>
      <w:proofErr w:type="spellStart"/>
      <w:r w:rsidRPr="00F20BC9">
        <w:t>anaphylaxis</w:t>
      </w:r>
      <w:proofErr w:type="spellEnd"/>
      <w:r w:rsidRPr="00F20BC9">
        <w:t xml:space="preserve">: </w:t>
      </w:r>
      <w:proofErr w:type="spellStart"/>
      <w:proofErr w:type="gramStart"/>
      <w:r w:rsidRPr="00F20BC9">
        <w:t>Carter,Metcalfe</w:t>
      </w:r>
      <w:proofErr w:type="spellEnd"/>
      <w:proofErr w:type="gramEnd"/>
      <w:r w:rsidRPr="00F20BC9">
        <w:t xml:space="preserve"> et al , JACI 2018, 141 (1): 180 - 188</w:t>
      </w:r>
    </w:p>
    <w:p w14:paraId="795ED52D" w14:textId="77777777" w:rsidR="00F20BC9" w:rsidRPr="00F20BC9" w:rsidRDefault="00F20BC9" w:rsidP="00B353A9">
      <w:pPr>
        <w:pStyle w:val="Punktlistanumrerad"/>
      </w:pPr>
      <w:proofErr w:type="spellStart"/>
      <w:r w:rsidRPr="00F20BC9">
        <w:t>Elevated</w:t>
      </w:r>
      <w:proofErr w:type="spellEnd"/>
      <w:r w:rsidRPr="00F20BC9">
        <w:t xml:space="preserve"> </w:t>
      </w:r>
      <w:proofErr w:type="gramStart"/>
      <w:r w:rsidRPr="00F20BC9">
        <w:t>basal serum</w:t>
      </w:r>
      <w:proofErr w:type="gramEnd"/>
      <w:r w:rsidRPr="00F20BC9">
        <w:t xml:space="preserve"> </w:t>
      </w:r>
      <w:proofErr w:type="spellStart"/>
      <w:r w:rsidRPr="00F20BC9">
        <w:t>tryptase</w:t>
      </w:r>
      <w:proofErr w:type="spellEnd"/>
      <w:r w:rsidRPr="00F20BC9">
        <w:t xml:space="preserve"> and hymenoptera </w:t>
      </w:r>
      <w:proofErr w:type="spellStart"/>
      <w:r w:rsidRPr="00F20BC9">
        <w:t>venom</w:t>
      </w:r>
      <w:proofErr w:type="spellEnd"/>
      <w:r w:rsidRPr="00F20BC9">
        <w:t xml:space="preserve"> </w:t>
      </w:r>
      <w:proofErr w:type="spellStart"/>
      <w:r w:rsidRPr="00F20BC9">
        <w:t>allergy</w:t>
      </w:r>
      <w:proofErr w:type="spellEnd"/>
      <w:r w:rsidRPr="00F20BC9">
        <w:t xml:space="preserve">: relation to </w:t>
      </w:r>
      <w:proofErr w:type="spellStart"/>
      <w:r w:rsidRPr="00F20BC9">
        <w:t>severity</w:t>
      </w:r>
      <w:proofErr w:type="spellEnd"/>
      <w:r w:rsidRPr="00F20BC9">
        <w:t xml:space="preserve"> </w:t>
      </w:r>
      <w:proofErr w:type="spellStart"/>
      <w:r w:rsidRPr="00F20BC9">
        <w:t>of</w:t>
      </w:r>
      <w:proofErr w:type="spellEnd"/>
      <w:r w:rsidRPr="00F20BC9">
        <w:t xml:space="preserve"> sting </w:t>
      </w:r>
      <w:proofErr w:type="spellStart"/>
      <w:r w:rsidRPr="00F20BC9">
        <w:t>reactions</w:t>
      </w:r>
      <w:proofErr w:type="spellEnd"/>
      <w:r w:rsidRPr="00F20BC9">
        <w:t xml:space="preserve"> and to </w:t>
      </w:r>
      <w:proofErr w:type="spellStart"/>
      <w:r w:rsidRPr="00F20BC9">
        <w:t>safety</w:t>
      </w:r>
      <w:proofErr w:type="spellEnd"/>
      <w:r w:rsidRPr="00F20BC9">
        <w:t xml:space="preserve"> and </w:t>
      </w:r>
      <w:proofErr w:type="spellStart"/>
      <w:r w:rsidRPr="00F20BC9">
        <w:t>efficacy</w:t>
      </w:r>
      <w:proofErr w:type="spellEnd"/>
      <w:r w:rsidRPr="00F20BC9">
        <w:t xml:space="preserve"> </w:t>
      </w:r>
      <w:proofErr w:type="spellStart"/>
      <w:r w:rsidRPr="00F20BC9">
        <w:t>of</w:t>
      </w:r>
      <w:proofErr w:type="spellEnd"/>
      <w:r w:rsidRPr="00F20BC9">
        <w:t xml:space="preserve"> </w:t>
      </w:r>
      <w:proofErr w:type="spellStart"/>
      <w:r w:rsidRPr="00F20BC9">
        <w:t>venom</w:t>
      </w:r>
      <w:proofErr w:type="spellEnd"/>
      <w:r w:rsidRPr="00F20BC9">
        <w:t xml:space="preserve"> </w:t>
      </w:r>
      <w:proofErr w:type="spellStart"/>
      <w:r w:rsidRPr="00F20BC9">
        <w:t>immunotherapy</w:t>
      </w:r>
      <w:proofErr w:type="spellEnd"/>
      <w:r w:rsidRPr="00F20BC9">
        <w:t xml:space="preserve"> G. </w:t>
      </w:r>
      <w:proofErr w:type="spellStart"/>
      <w:r w:rsidRPr="00F20BC9">
        <w:t>Haeberli</w:t>
      </w:r>
      <w:proofErr w:type="spellEnd"/>
      <w:r w:rsidRPr="00F20BC9">
        <w:t xml:space="preserve">, U. Müller </w:t>
      </w:r>
      <w:proofErr w:type="spellStart"/>
      <w:r w:rsidRPr="00F20BC9">
        <w:t>Clin</w:t>
      </w:r>
      <w:proofErr w:type="spellEnd"/>
      <w:r w:rsidRPr="00F20BC9">
        <w:t xml:space="preserve"> </w:t>
      </w:r>
      <w:proofErr w:type="spellStart"/>
      <w:r w:rsidRPr="00F20BC9">
        <w:t>Exp</w:t>
      </w:r>
      <w:proofErr w:type="spellEnd"/>
      <w:r w:rsidRPr="00F20BC9">
        <w:t xml:space="preserve"> </w:t>
      </w:r>
      <w:proofErr w:type="spellStart"/>
      <w:r w:rsidRPr="00F20BC9">
        <w:t>Allergy</w:t>
      </w:r>
      <w:proofErr w:type="spellEnd"/>
      <w:r w:rsidRPr="00F20BC9">
        <w:t xml:space="preserve"> 2003; 33:1216–1220</w:t>
      </w:r>
    </w:p>
    <w:p w14:paraId="46251429" w14:textId="77777777" w:rsidR="00F20BC9" w:rsidRPr="00F20BC9" w:rsidRDefault="00F20BC9" w:rsidP="00B353A9">
      <w:pPr>
        <w:pStyle w:val="Punktlistanumrerad"/>
      </w:pPr>
      <w:proofErr w:type="spellStart"/>
      <w:r w:rsidRPr="00F20BC9">
        <w:t>Heritable</w:t>
      </w:r>
      <w:proofErr w:type="spellEnd"/>
      <w:r w:rsidRPr="00F20BC9">
        <w:t xml:space="preserve"> risk for </w:t>
      </w:r>
      <w:proofErr w:type="spellStart"/>
      <w:r w:rsidRPr="00F20BC9">
        <w:t>severe</w:t>
      </w:r>
      <w:proofErr w:type="spellEnd"/>
      <w:r w:rsidRPr="00F20BC9">
        <w:t xml:space="preserve"> </w:t>
      </w:r>
      <w:proofErr w:type="spellStart"/>
      <w:r w:rsidRPr="00F20BC9">
        <w:t>anaphylaxis</w:t>
      </w:r>
      <w:proofErr w:type="spellEnd"/>
      <w:r w:rsidRPr="00F20BC9">
        <w:t xml:space="preserve"> </w:t>
      </w:r>
      <w:proofErr w:type="spellStart"/>
      <w:r w:rsidRPr="00F20BC9">
        <w:t>associated</w:t>
      </w:r>
      <w:proofErr w:type="spellEnd"/>
      <w:r w:rsidRPr="00F20BC9">
        <w:t xml:space="preserve"> </w:t>
      </w:r>
      <w:proofErr w:type="spellStart"/>
      <w:r w:rsidRPr="00F20BC9">
        <w:t>with</w:t>
      </w:r>
      <w:proofErr w:type="spellEnd"/>
      <w:r w:rsidRPr="00F20BC9">
        <w:t xml:space="preserve"> </w:t>
      </w:r>
      <w:proofErr w:type="spellStart"/>
      <w:r w:rsidRPr="00F20BC9">
        <w:t>increases</w:t>
      </w:r>
      <w:proofErr w:type="spellEnd"/>
      <w:r w:rsidRPr="00F20BC9">
        <w:t xml:space="preserve"> </w:t>
      </w:r>
      <w:proofErr w:type="spellStart"/>
      <w:r w:rsidRPr="00F20BC9">
        <w:t>alpha</w:t>
      </w:r>
      <w:proofErr w:type="spellEnd"/>
      <w:r w:rsidRPr="00F20BC9">
        <w:t xml:space="preserve"> </w:t>
      </w:r>
      <w:proofErr w:type="spellStart"/>
      <w:r w:rsidRPr="00F20BC9">
        <w:t>tryptase-encoding</w:t>
      </w:r>
      <w:proofErr w:type="spellEnd"/>
      <w:r w:rsidRPr="00F20BC9">
        <w:t xml:space="preserve"> </w:t>
      </w:r>
      <w:proofErr w:type="spellStart"/>
      <w:r w:rsidRPr="00F20BC9">
        <w:t>germline</w:t>
      </w:r>
      <w:proofErr w:type="spellEnd"/>
      <w:r w:rsidRPr="00F20BC9">
        <w:t xml:space="preserve"> copy </w:t>
      </w:r>
      <w:proofErr w:type="spellStart"/>
      <w:r w:rsidRPr="00F20BC9">
        <w:t>number</w:t>
      </w:r>
      <w:proofErr w:type="spellEnd"/>
      <w:r w:rsidRPr="00F20BC9">
        <w:t xml:space="preserve"> at TPSAB1 Lyons et al: JACI 2021; 147 (2): 622 – 632</w:t>
      </w:r>
    </w:p>
    <w:p w14:paraId="178349A1" w14:textId="77777777" w:rsidR="00F20BC9" w:rsidRPr="00F20BC9" w:rsidRDefault="00F20BC9" w:rsidP="00B353A9">
      <w:pPr>
        <w:pStyle w:val="Punktlistanumrerad"/>
      </w:pPr>
      <w:proofErr w:type="spellStart"/>
      <w:r w:rsidRPr="00F20BC9">
        <w:t>Hereditary</w:t>
      </w:r>
      <w:proofErr w:type="spellEnd"/>
      <w:r w:rsidRPr="00F20BC9">
        <w:t xml:space="preserve"> </w:t>
      </w:r>
      <w:proofErr w:type="spellStart"/>
      <w:r w:rsidRPr="00F20BC9">
        <w:t>alpha</w:t>
      </w:r>
      <w:proofErr w:type="spellEnd"/>
      <w:r w:rsidRPr="00F20BC9">
        <w:t xml:space="preserve"> </w:t>
      </w:r>
      <w:proofErr w:type="spellStart"/>
      <w:r w:rsidRPr="00F20BC9">
        <w:t>tryptasemia</w:t>
      </w:r>
      <w:proofErr w:type="spellEnd"/>
      <w:r w:rsidRPr="00F20BC9">
        <w:t xml:space="preserve"> is a valid </w:t>
      </w:r>
      <w:proofErr w:type="spellStart"/>
      <w:r w:rsidRPr="00F20BC9">
        <w:t>genetic</w:t>
      </w:r>
      <w:proofErr w:type="spellEnd"/>
      <w:r w:rsidRPr="00F20BC9">
        <w:t xml:space="preserve"> </w:t>
      </w:r>
      <w:proofErr w:type="spellStart"/>
      <w:r w:rsidRPr="00F20BC9">
        <w:t>biomarker</w:t>
      </w:r>
      <w:proofErr w:type="spellEnd"/>
      <w:r w:rsidRPr="00F20BC9">
        <w:t xml:space="preserve"> for </w:t>
      </w:r>
      <w:proofErr w:type="spellStart"/>
      <w:r w:rsidRPr="00F20BC9">
        <w:t>severe</w:t>
      </w:r>
      <w:proofErr w:type="spellEnd"/>
      <w:r w:rsidRPr="00F20BC9">
        <w:t xml:space="preserve"> </w:t>
      </w:r>
      <w:proofErr w:type="spellStart"/>
      <w:r w:rsidRPr="00F20BC9">
        <w:t>mediator</w:t>
      </w:r>
      <w:proofErr w:type="spellEnd"/>
      <w:r w:rsidRPr="00F20BC9">
        <w:t xml:space="preserve"> – </w:t>
      </w:r>
      <w:proofErr w:type="spellStart"/>
      <w:r w:rsidRPr="00F20BC9">
        <w:t>related</w:t>
      </w:r>
      <w:proofErr w:type="spellEnd"/>
      <w:r w:rsidRPr="00F20BC9">
        <w:t xml:space="preserve"> symptoms in </w:t>
      </w:r>
      <w:proofErr w:type="spellStart"/>
      <w:r w:rsidRPr="00F20BC9">
        <w:t>mastocytosis</w:t>
      </w:r>
      <w:proofErr w:type="spellEnd"/>
      <w:r w:rsidRPr="00F20BC9">
        <w:t xml:space="preserve">. </w:t>
      </w:r>
      <w:proofErr w:type="spellStart"/>
      <w:r w:rsidRPr="00F20BC9">
        <w:t>Greiner</w:t>
      </w:r>
      <w:proofErr w:type="spellEnd"/>
      <w:r w:rsidRPr="00F20BC9">
        <w:t xml:space="preserve"> et al; </w:t>
      </w:r>
      <w:proofErr w:type="spellStart"/>
      <w:r w:rsidRPr="00F20BC9">
        <w:t>Blood</w:t>
      </w:r>
      <w:proofErr w:type="spellEnd"/>
      <w:r w:rsidRPr="00F20BC9">
        <w:t xml:space="preserve"> 2021; 137 (2): 238 – 247</w:t>
      </w:r>
    </w:p>
    <w:p w14:paraId="22AC6C13" w14:textId="77777777" w:rsidR="00F20BC9" w:rsidRPr="00F20BC9" w:rsidRDefault="00F20BC9" w:rsidP="00B353A9">
      <w:pPr>
        <w:pStyle w:val="Punktlistanumrerad"/>
      </w:pPr>
      <w:proofErr w:type="spellStart"/>
      <w:r w:rsidRPr="00F20BC9">
        <w:t>Selecting</w:t>
      </w:r>
      <w:proofErr w:type="spellEnd"/>
      <w:r w:rsidRPr="00F20BC9">
        <w:t xml:space="preserve"> the Right </w:t>
      </w:r>
      <w:proofErr w:type="spellStart"/>
      <w:r w:rsidRPr="00F20BC9">
        <w:t>Criteria</w:t>
      </w:r>
      <w:proofErr w:type="spellEnd"/>
      <w:r w:rsidRPr="00F20BC9">
        <w:t xml:space="preserve"> and Proper </w:t>
      </w:r>
      <w:proofErr w:type="spellStart"/>
      <w:r w:rsidRPr="00F20BC9">
        <w:t>Classification</w:t>
      </w:r>
      <w:proofErr w:type="spellEnd"/>
      <w:r w:rsidRPr="00F20BC9">
        <w:t xml:space="preserve"> to </w:t>
      </w:r>
      <w:proofErr w:type="spellStart"/>
      <w:r w:rsidRPr="00F20BC9">
        <w:t>Diagnose</w:t>
      </w:r>
      <w:proofErr w:type="spellEnd"/>
      <w:r w:rsidRPr="00F20BC9">
        <w:t xml:space="preserve"> Mast Cell </w:t>
      </w:r>
      <w:proofErr w:type="spellStart"/>
      <w:r w:rsidRPr="00F20BC9">
        <w:t>Activation</w:t>
      </w:r>
      <w:proofErr w:type="spellEnd"/>
      <w:r w:rsidRPr="00F20BC9">
        <w:t xml:space="preserve"> </w:t>
      </w:r>
      <w:proofErr w:type="spellStart"/>
      <w:r w:rsidRPr="00F20BC9">
        <w:t>Syndromes</w:t>
      </w:r>
      <w:proofErr w:type="spellEnd"/>
      <w:r w:rsidRPr="00F20BC9">
        <w:t xml:space="preserve">: A </w:t>
      </w:r>
      <w:proofErr w:type="spellStart"/>
      <w:r w:rsidRPr="00F20BC9">
        <w:t>Critical</w:t>
      </w:r>
      <w:proofErr w:type="spellEnd"/>
      <w:r w:rsidRPr="00F20BC9">
        <w:t xml:space="preserve"> Review Theo </w:t>
      </w:r>
      <w:proofErr w:type="spellStart"/>
      <w:r w:rsidRPr="00F20BC9">
        <w:t>Gülen</w:t>
      </w:r>
      <w:proofErr w:type="spellEnd"/>
      <w:r w:rsidRPr="00F20BC9">
        <w:t xml:space="preserve"> et al; JACI in </w:t>
      </w:r>
      <w:proofErr w:type="spellStart"/>
      <w:r w:rsidRPr="00F20BC9">
        <w:t>Practise</w:t>
      </w:r>
      <w:proofErr w:type="spellEnd"/>
      <w:r w:rsidRPr="00F20BC9">
        <w:t xml:space="preserve"> 2021; 9 (</w:t>
      </w:r>
      <w:proofErr w:type="gramStart"/>
      <w:r w:rsidRPr="00F20BC9">
        <w:t>11 )</w:t>
      </w:r>
      <w:proofErr w:type="gramEnd"/>
      <w:r w:rsidRPr="00F20BC9">
        <w:t>: 3918 -3928</w:t>
      </w:r>
    </w:p>
    <w:p w14:paraId="4BBACC6C" w14:textId="77777777" w:rsidR="00F20BC9" w:rsidRPr="00F20BC9" w:rsidRDefault="00F20BC9" w:rsidP="00B353A9">
      <w:pPr>
        <w:pStyle w:val="Punktlistanumrerad"/>
      </w:pPr>
      <w:proofErr w:type="spellStart"/>
      <w:r w:rsidRPr="00F20BC9">
        <w:t>Diagnosis</w:t>
      </w:r>
      <w:proofErr w:type="spellEnd"/>
      <w:r w:rsidRPr="00F20BC9">
        <w:t xml:space="preserve"> and Management </w:t>
      </w:r>
      <w:proofErr w:type="spellStart"/>
      <w:r w:rsidRPr="00F20BC9">
        <w:t>of</w:t>
      </w:r>
      <w:proofErr w:type="spellEnd"/>
      <w:r w:rsidRPr="00F20BC9">
        <w:t xml:space="preserve"> patients </w:t>
      </w:r>
      <w:proofErr w:type="spellStart"/>
      <w:r w:rsidRPr="00F20BC9">
        <w:t>with</w:t>
      </w:r>
      <w:proofErr w:type="spellEnd"/>
      <w:r w:rsidRPr="00F20BC9">
        <w:t xml:space="preserve"> the </w:t>
      </w:r>
      <w:proofErr w:type="spellStart"/>
      <w:r w:rsidRPr="00F20BC9">
        <w:t>alpha</w:t>
      </w:r>
      <w:proofErr w:type="spellEnd"/>
      <w:r w:rsidRPr="00F20BC9">
        <w:t>-Gal-</w:t>
      </w:r>
      <w:proofErr w:type="spellStart"/>
      <w:r w:rsidRPr="00F20BC9">
        <w:t>syndrome</w:t>
      </w:r>
      <w:proofErr w:type="spellEnd"/>
      <w:r w:rsidRPr="00F20BC9">
        <w:t xml:space="preserve"> Platts-Mills et al JACI in </w:t>
      </w:r>
      <w:proofErr w:type="spellStart"/>
      <w:r w:rsidRPr="00F20BC9">
        <w:t>Practise</w:t>
      </w:r>
      <w:proofErr w:type="spellEnd"/>
      <w:r w:rsidRPr="00F20BC9">
        <w:t xml:space="preserve"> 2020 8(1</w:t>
      </w:r>
      <w:proofErr w:type="gramStart"/>
      <w:r w:rsidRPr="00F20BC9">
        <w:t>) :</w:t>
      </w:r>
      <w:proofErr w:type="gramEnd"/>
      <w:r w:rsidRPr="00F20BC9">
        <w:t xml:space="preserve"> 15-23</w:t>
      </w:r>
    </w:p>
    <w:p w14:paraId="58413BED" w14:textId="77777777" w:rsidR="00F20BC9" w:rsidRPr="00F20BC9" w:rsidRDefault="00F20BC9" w:rsidP="00B353A9">
      <w:pPr>
        <w:pStyle w:val="Punktlistanumrerad"/>
      </w:pPr>
      <w:r w:rsidRPr="00F20BC9">
        <w:t xml:space="preserve">IgE to the mammalian </w:t>
      </w:r>
      <w:proofErr w:type="spellStart"/>
      <w:r w:rsidRPr="00F20BC9">
        <w:t>oligosacharide</w:t>
      </w:r>
      <w:proofErr w:type="spellEnd"/>
      <w:r w:rsidRPr="00F20BC9">
        <w:t xml:space="preserve"> </w:t>
      </w:r>
      <w:proofErr w:type="spellStart"/>
      <w:r w:rsidRPr="00F20BC9">
        <w:t>alpha</w:t>
      </w:r>
      <w:proofErr w:type="spellEnd"/>
      <w:r w:rsidRPr="00F20BC9">
        <w:t xml:space="preserve"> Gal is </w:t>
      </w:r>
      <w:proofErr w:type="spellStart"/>
      <w:r w:rsidRPr="00F20BC9">
        <w:t>associated</w:t>
      </w:r>
      <w:proofErr w:type="spellEnd"/>
      <w:r w:rsidRPr="00F20BC9">
        <w:t xml:space="preserve"> </w:t>
      </w:r>
      <w:proofErr w:type="spellStart"/>
      <w:r w:rsidRPr="00F20BC9">
        <w:t>with</w:t>
      </w:r>
      <w:proofErr w:type="spellEnd"/>
      <w:r w:rsidRPr="00F20BC9">
        <w:t xml:space="preserve"> </w:t>
      </w:r>
      <w:proofErr w:type="spellStart"/>
      <w:r w:rsidRPr="00F20BC9">
        <w:t>increased</w:t>
      </w:r>
      <w:proofErr w:type="spellEnd"/>
      <w:r w:rsidRPr="00F20BC9">
        <w:t xml:space="preserve"> </w:t>
      </w:r>
      <w:proofErr w:type="spellStart"/>
      <w:r w:rsidRPr="00F20BC9">
        <w:t>atheroma</w:t>
      </w:r>
      <w:proofErr w:type="spellEnd"/>
      <w:r w:rsidRPr="00F20BC9">
        <w:t xml:space="preserve"> </w:t>
      </w:r>
      <w:proofErr w:type="spellStart"/>
      <w:r w:rsidRPr="00F20BC9">
        <w:t>volume</w:t>
      </w:r>
      <w:proofErr w:type="spellEnd"/>
      <w:r w:rsidRPr="00F20BC9">
        <w:t xml:space="preserve"> and plaques </w:t>
      </w:r>
      <w:proofErr w:type="spellStart"/>
      <w:r w:rsidRPr="00F20BC9">
        <w:t>with</w:t>
      </w:r>
      <w:proofErr w:type="spellEnd"/>
      <w:r w:rsidRPr="00F20BC9">
        <w:t xml:space="preserve"> </w:t>
      </w:r>
      <w:proofErr w:type="spellStart"/>
      <w:r w:rsidRPr="00F20BC9">
        <w:t>unstable</w:t>
      </w:r>
      <w:proofErr w:type="spellEnd"/>
      <w:r w:rsidRPr="00F20BC9">
        <w:t xml:space="preserve"> </w:t>
      </w:r>
      <w:proofErr w:type="spellStart"/>
      <w:r w:rsidRPr="00F20BC9">
        <w:t>characteristics</w:t>
      </w:r>
      <w:proofErr w:type="spellEnd"/>
      <w:r w:rsidRPr="00F20BC9">
        <w:t xml:space="preserve"> – </w:t>
      </w:r>
      <w:proofErr w:type="spellStart"/>
      <w:r w:rsidRPr="00F20BC9">
        <w:t>Brief</w:t>
      </w:r>
      <w:proofErr w:type="spellEnd"/>
      <w:r w:rsidRPr="00F20BC9">
        <w:t xml:space="preserve"> </w:t>
      </w:r>
      <w:proofErr w:type="spellStart"/>
      <w:r w:rsidRPr="00F20BC9">
        <w:t>report</w:t>
      </w:r>
      <w:proofErr w:type="spellEnd"/>
      <w:r w:rsidRPr="00F20BC9">
        <w:t xml:space="preserve">; Wilson et al </w:t>
      </w:r>
      <w:proofErr w:type="spellStart"/>
      <w:r w:rsidRPr="00F20BC9">
        <w:t>Arterioscler</w:t>
      </w:r>
      <w:proofErr w:type="spellEnd"/>
      <w:r w:rsidRPr="00F20BC9">
        <w:t xml:space="preserve"> </w:t>
      </w:r>
      <w:proofErr w:type="spellStart"/>
      <w:r w:rsidRPr="00F20BC9">
        <w:t>Thromb</w:t>
      </w:r>
      <w:proofErr w:type="spellEnd"/>
      <w:r w:rsidRPr="00F20BC9">
        <w:t xml:space="preserve"> </w:t>
      </w:r>
      <w:proofErr w:type="spellStart"/>
      <w:r w:rsidRPr="00F20BC9">
        <w:t>Vasc</w:t>
      </w:r>
      <w:proofErr w:type="spellEnd"/>
      <w:r w:rsidRPr="00F20BC9">
        <w:t xml:space="preserve"> </w:t>
      </w:r>
      <w:proofErr w:type="spellStart"/>
      <w:r w:rsidRPr="00F20BC9">
        <w:t>Biol</w:t>
      </w:r>
      <w:proofErr w:type="spellEnd"/>
      <w:r w:rsidRPr="00F20BC9">
        <w:t xml:space="preserve"> </w:t>
      </w:r>
      <w:proofErr w:type="gramStart"/>
      <w:r w:rsidRPr="00F20BC9">
        <w:t>2018 ;</w:t>
      </w:r>
      <w:proofErr w:type="gramEnd"/>
      <w:r w:rsidRPr="00F20BC9">
        <w:t xml:space="preserve"> 38 (7): 1665 -1669</w:t>
      </w:r>
    </w:p>
    <w:p w14:paraId="59A4D421" w14:textId="77777777" w:rsidR="00F20BC9" w:rsidRPr="00F20BC9" w:rsidRDefault="00F20BC9" w:rsidP="00B353A9">
      <w:pPr>
        <w:pStyle w:val="Punktlistanumrerad"/>
      </w:pPr>
      <w:r w:rsidRPr="00F20BC9">
        <w:t xml:space="preserve">The </w:t>
      </w:r>
      <w:proofErr w:type="spellStart"/>
      <w:r w:rsidRPr="00F20BC9">
        <w:t>alpha</w:t>
      </w:r>
      <w:proofErr w:type="spellEnd"/>
      <w:r w:rsidRPr="00F20BC9">
        <w:t xml:space="preserve">-gal story: </w:t>
      </w:r>
      <w:proofErr w:type="spellStart"/>
      <w:r w:rsidRPr="00F20BC9">
        <w:t>Lessons</w:t>
      </w:r>
      <w:proofErr w:type="spellEnd"/>
      <w:r w:rsidRPr="00F20BC9">
        <w:t xml:space="preserve"> </w:t>
      </w:r>
      <w:proofErr w:type="spellStart"/>
      <w:r w:rsidRPr="00F20BC9">
        <w:t>learned</w:t>
      </w:r>
      <w:proofErr w:type="spellEnd"/>
      <w:r w:rsidRPr="00F20BC9">
        <w:t xml:space="preserve"> from </w:t>
      </w:r>
      <w:proofErr w:type="spellStart"/>
      <w:r w:rsidRPr="00F20BC9">
        <w:t>connecting</w:t>
      </w:r>
      <w:proofErr w:type="spellEnd"/>
      <w:r w:rsidRPr="00F20BC9">
        <w:t xml:space="preserve"> the </w:t>
      </w:r>
      <w:proofErr w:type="spellStart"/>
      <w:r w:rsidRPr="00F20BC9">
        <w:t>dots</w:t>
      </w:r>
      <w:proofErr w:type="spellEnd"/>
      <w:r w:rsidRPr="00F20BC9">
        <w:t xml:space="preserve">, </w:t>
      </w:r>
      <w:proofErr w:type="spellStart"/>
      <w:r w:rsidRPr="00F20BC9">
        <w:t>Steinke</w:t>
      </w:r>
      <w:proofErr w:type="spellEnd"/>
      <w:r w:rsidRPr="00F20BC9">
        <w:t xml:space="preserve">, PhD, Thomas A. E. Platts-Mills and Scott P. </w:t>
      </w:r>
      <w:proofErr w:type="spellStart"/>
      <w:r w:rsidRPr="00F20BC9">
        <w:t>Commins</w:t>
      </w:r>
      <w:proofErr w:type="spellEnd"/>
      <w:r w:rsidRPr="00F20BC9">
        <w:t xml:space="preserve"> J </w:t>
      </w:r>
      <w:proofErr w:type="spellStart"/>
      <w:r w:rsidRPr="00F20BC9">
        <w:t>Allergy</w:t>
      </w:r>
      <w:proofErr w:type="spellEnd"/>
      <w:r w:rsidRPr="00F20BC9">
        <w:t xml:space="preserve"> </w:t>
      </w:r>
      <w:proofErr w:type="spellStart"/>
      <w:r w:rsidRPr="00F20BC9">
        <w:t>Clin</w:t>
      </w:r>
      <w:proofErr w:type="spellEnd"/>
      <w:r w:rsidRPr="00F20BC9">
        <w:t xml:space="preserve"> </w:t>
      </w:r>
      <w:proofErr w:type="spellStart"/>
      <w:r w:rsidRPr="00F20BC9">
        <w:t>Immunol</w:t>
      </w:r>
      <w:proofErr w:type="spellEnd"/>
      <w:r w:rsidRPr="00F20BC9">
        <w:t xml:space="preserve"> </w:t>
      </w:r>
      <w:proofErr w:type="gramStart"/>
      <w:r w:rsidRPr="00F20BC9">
        <w:t>2015,Vol</w:t>
      </w:r>
      <w:proofErr w:type="gramEnd"/>
      <w:r w:rsidRPr="00F20BC9">
        <w:t xml:space="preserve"> 135 (3); 589-596.</w:t>
      </w:r>
    </w:p>
    <w:p w14:paraId="236AD872" w14:textId="77777777" w:rsidR="00F20BC9" w:rsidRPr="00F20BC9" w:rsidRDefault="00F20BC9" w:rsidP="00B353A9">
      <w:pPr>
        <w:pStyle w:val="Punktlistanumrerad"/>
      </w:pPr>
      <w:r w:rsidRPr="00F20BC9">
        <w:t xml:space="preserve">Clinical </w:t>
      </w:r>
      <w:proofErr w:type="spellStart"/>
      <w:r w:rsidRPr="00F20BC9">
        <w:t>spectrum</w:t>
      </w:r>
      <w:proofErr w:type="spellEnd"/>
      <w:r w:rsidRPr="00F20BC9">
        <w:t xml:space="preserve"> </w:t>
      </w:r>
      <w:proofErr w:type="spellStart"/>
      <w:r w:rsidRPr="00F20BC9">
        <w:t>of</w:t>
      </w:r>
      <w:proofErr w:type="spellEnd"/>
      <w:r w:rsidRPr="00F20BC9">
        <w:t xml:space="preserve"> </w:t>
      </w:r>
      <w:proofErr w:type="spellStart"/>
      <w:r w:rsidRPr="00F20BC9">
        <w:t>alpha</w:t>
      </w:r>
      <w:proofErr w:type="spellEnd"/>
      <w:r w:rsidRPr="00F20BC9">
        <w:t xml:space="preserve">-Gal </w:t>
      </w:r>
      <w:proofErr w:type="spellStart"/>
      <w:r w:rsidRPr="00F20BC9">
        <w:t>syndrome</w:t>
      </w:r>
      <w:proofErr w:type="spellEnd"/>
      <w:r w:rsidRPr="00F20BC9">
        <w:t xml:space="preserve">: from </w:t>
      </w:r>
      <w:proofErr w:type="spellStart"/>
      <w:r w:rsidRPr="00F20BC9">
        <w:t>immediate-type</w:t>
      </w:r>
      <w:proofErr w:type="spellEnd"/>
      <w:r w:rsidRPr="00F20BC9">
        <w:t xml:space="preserve"> to </w:t>
      </w:r>
      <w:proofErr w:type="spellStart"/>
      <w:r w:rsidRPr="00F20BC9">
        <w:t>delayed</w:t>
      </w:r>
      <w:proofErr w:type="spellEnd"/>
      <w:r w:rsidRPr="00F20BC9">
        <w:t xml:space="preserve"> </w:t>
      </w:r>
      <w:proofErr w:type="spellStart"/>
      <w:r w:rsidRPr="00F20BC9">
        <w:t>immediate-type</w:t>
      </w:r>
      <w:proofErr w:type="spellEnd"/>
      <w:r w:rsidRPr="00F20BC9">
        <w:t xml:space="preserve"> </w:t>
      </w:r>
      <w:proofErr w:type="spellStart"/>
      <w:r w:rsidRPr="00F20BC9">
        <w:t>reactions</w:t>
      </w:r>
      <w:proofErr w:type="spellEnd"/>
      <w:r w:rsidRPr="00F20BC9">
        <w:t xml:space="preserve"> to mammalian </w:t>
      </w:r>
      <w:proofErr w:type="spellStart"/>
      <w:r w:rsidRPr="00F20BC9">
        <w:t>innards</w:t>
      </w:r>
      <w:proofErr w:type="spellEnd"/>
      <w:r w:rsidRPr="00F20BC9">
        <w:t xml:space="preserve"> and </w:t>
      </w:r>
      <w:proofErr w:type="spellStart"/>
      <w:r w:rsidRPr="00F20BC9">
        <w:t>meat</w:t>
      </w:r>
      <w:proofErr w:type="spellEnd"/>
      <w:r w:rsidRPr="00F20BC9">
        <w:t xml:space="preserve">: Fischer, </w:t>
      </w:r>
      <w:proofErr w:type="spellStart"/>
      <w:r w:rsidRPr="00F20BC9">
        <w:t>Biederman</w:t>
      </w:r>
      <w:proofErr w:type="spellEnd"/>
      <w:r w:rsidRPr="00F20BC9">
        <w:t xml:space="preserve"> et </w:t>
      </w:r>
      <w:proofErr w:type="gramStart"/>
      <w:r w:rsidRPr="00F20BC9">
        <w:t>al :</w:t>
      </w:r>
      <w:proofErr w:type="gramEnd"/>
      <w:r w:rsidRPr="00F20BC9">
        <w:t xml:space="preserve"> </w:t>
      </w:r>
      <w:proofErr w:type="spellStart"/>
      <w:r w:rsidRPr="00F20BC9">
        <w:t>Allergology</w:t>
      </w:r>
      <w:proofErr w:type="spellEnd"/>
      <w:r w:rsidRPr="00F20BC9">
        <w:t xml:space="preserve"> Journal International 2016; 25: 55 - 62</w:t>
      </w:r>
    </w:p>
    <w:p w14:paraId="54FE5AD0" w14:textId="77777777" w:rsidR="00F20BC9" w:rsidRPr="00F20BC9" w:rsidRDefault="00F20BC9" w:rsidP="00B353A9">
      <w:pPr>
        <w:pStyle w:val="Punktlistanumrerad"/>
        <w:rPr>
          <w:lang w:val="en-US"/>
        </w:rPr>
      </w:pPr>
      <w:proofErr w:type="spellStart"/>
      <w:r w:rsidRPr="00F20BC9">
        <w:t>Cetuximab-induced</w:t>
      </w:r>
      <w:proofErr w:type="spellEnd"/>
      <w:r w:rsidRPr="00F20BC9">
        <w:t xml:space="preserve"> </w:t>
      </w:r>
      <w:proofErr w:type="spellStart"/>
      <w:r w:rsidRPr="00F20BC9">
        <w:t>anaphylaxis</w:t>
      </w:r>
      <w:proofErr w:type="spellEnd"/>
      <w:r w:rsidRPr="00F20BC9">
        <w:t xml:space="preserve"> and IgE </w:t>
      </w:r>
      <w:proofErr w:type="spellStart"/>
      <w:r w:rsidRPr="00F20BC9">
        <w:t>specific</w:t>
      </w:r>
      <w:proofErr w:type="spellEnd"/>
      <w:r w:rsidRPr="00F20BC9">
        <w:t xml:space="preserve"> for galactose-alpha-1,3-galactose. Chung CH, Platts-Mills </w:t>
      </w:r>
      <w:proofErr w:type="spellStart"/>
      <w:r w:rsidRPr="00F20BC9">
        <w:t>mfl</w:t>
      </w:r>
      <w:proofErr w:type="spellEnd"/>
      <w:r w:rsidRPr="00F20BC9">
        <w:t xml:space="preserve"> N </w:t>
      </w:r>
      <w:proofErr w:type="spellStart"/>
      <w:r w:rsidRPr="00F20BC9">
        <w:t>Engl</w:t>
      </w:r>
      <w:proofErr w:type="spellEnd"/>
      <w:r w:rsidRPr="00F20BC9">
        <w:t xml:space="preserve"> J Med 2008;358:</w:t>
      </w:r>
      <w:proofErr w:type="gramStart"/>
      <w:r w:rsidRPr="00F20BC9">
        <w:t>1109-17</w:t>
      </w:r>
      <w:proofErr w:type="gramEnd"/>
      <w:r w:rsidRPr="00F20BC9">
        <w:t>.</w:t>
      </w:r>
    </w:p>
    <w:p w14:paraId="30A4F20F" w14:textId="77777777" w:rsidR="00F20BC9" w:rsidRPr="00B33C41" w:rsidRDefault="00F20BC9" w:rsidP="00B33C41">
      <w:pPr>
        <w:pStyle w:val="Rubrik2"/>
      </w:pPr>
      <w:bookmarkStart w:id="100" w:name="_Toc256000013"/>
      <w:bookmarkStart w:id="101" w:name="_Toc31636930"/>
      <w:bookmarkStart w:id="102" w:name="_Toc256000028"/>
      <w:bookmarkStart w:id="103" w:name="_Toc98317075"/>
      <w:bookmarkStart w:id="104" w:name="_Toc98329345"/>
      <w:bookmarkStart w:id="105" w:name="_Toc160800369"/>
      <w:r w:rsidRPr="00B33C41">
        <w:lastRenderedPageBreak/>
        <w:t>Länkförteckning</w:t>
      </w:r>
      <w:bookmarkEnd w:id="100"/>
      <w:bookmarkEnd w:id="101"/>
      <w:bookmarkEnd w:id="102"/>
      <w:bookmarkEnd w:id="103"/>
      <w:bookmarkEnd w:id="104"/>
      <w:bookmarkEnd w:id="105"/>
    </w:p>
    <w:p w14:paraId="42E70636" w14:textId="5BE5EFE8" w:rsidR="00F20BC9" w:rsidRPr="00F20BC9" w:rsidRDefault="00F20BC9" w:rsidP="00DF0E52">
      <w:pPr>
        <w:pStyle w:val="Punktlista"/>
      </w:pPr>
      <w:r w:rsidRPr="00F20BC9">
        <w:t>Akut anafylaktisk reaktion hos vuxna, SÄS. Sjukhusövergripande rutin, SÄS.</w:t>
      </w:r>
      <w:r w:rsidRPr="00F20BC9">
        <w:br/>
      </w:r>
      <w:hyperlink r:id="rId16" w:history="1">
        <w:r w:rsidRPr="00B8527B">
          <w:rPr>
            <w:rStyle w:val="Hyperlnk"/>
          </w:rPr>
          <w:t>https://hittadokument.vgregion.se/sas</w:t>
        </w:r>
      </w:hyperlink>
    </w:p>
    <w:p w14:paraId="33E61A83" w14:textId="6B8802D7" w:rsidR="00F20BC9" w:rsidRPr="00F20BC9" w:rsidRDefault="00F20BC9" w:rsidP="00DF0E52">
      <w:pPr>
        <w:pStyle w:val="Punktlista"/>
      </w:pPr>
      <w:r w:rsidRPr="00F20BC9">
        <w:t>Varningar och begränsning av vårdinsats i Melior. Sjukhusövergripande rutin, SÄS.</w:t>
      </w:r>
      <w:r w:rsidR="00B33C41">
        <w:br/>
      </w:r>
      <w:hyperlink r:id="rId17" w:history="1">
        <w:r w:rsidRPr="00B33C41">
          <w:rPr>
            <w:rStyle w:val="Hyperlnk"/>
          </w:rPr>
          <w:t>https://hittadokument.vgregion.se/sas</w:t>
        </w:r>
      </w:hyperlink>
    </w:p>
    <w:p w14:paraId="1D93E5B7" w14:textId="77777777" w:rsidR="00F20BC9" w:rsidRPr="00F20BC9" w:rsidRDefault="00F20BC9" w:rsidP="00DF0E52">
      <w:pPr>
        <w:pStyle w:val="Punktlista"/>
      </w:pPr>
      <w:r w:rsidRPr="00F20BC9">
        <w:t>Svenska föreningen för allergologi (SFFA)</w:t>
      </w:r>
      <w:r w:rsidRPr="00F20BC9">
        <w:br/>
      </w:r>
      <w:hyperlink r:id="rId18" w:history="1">
        <w:r w:rsidRPr="00B33C41">
          <w:rPr>
            <w:rStyle w:val="Hyperlnk"/>
          </w:rPr>
          <w:t>www.sffa.nu</w:t>
        </w:r>
      </w:hyperlink>
    </w:p>
    <w:bookmarkEnd w:id="0"/>
    <w:sectPr w:rsidR="00F20BC9" w:rsidRPr="00F20BC9" w:rsidSect="00F20BC9">
      <w:headerReference w:type="default" r:id="rId19"/>
      <w:footerReference w:type="even" r:id="rId20"/>
      <w:footerReference w:type="default" r:id="rId21"/>
      <w:headerReference w:type="first" r:id="rId22"/>
      <w:footerReference w:type="first" r:id="rId23"/>
      <w:type w:val="continuous"/>
      <w:pgSz w:w="11900" w:h="16840"/>
      <w:pgMar w:top="1418" w:right="1979" w:bottom="1276" w:left="992" w:header="283"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5FDE" w14:textId="77777777" w:rsidR="00363B23" w:rsidRDefault="00363B23">
      <w:r>
        <w:separator/>
      </w:r>
    </w:p>
  </w:endnote>
  <w:endnote w:type="continuationSeparator" w:id="0">
    <w:p w14:paraId="44A96240" w14:textId="77777777" w:rsidR="00363B23" w:rsidRDefault="00363B23">
      <w:r>
        <w:continuationSeparator/>
      </w:r>
    </w:p>
  </w:endnote>
  <w:endnote w:type="continuationNotice" w:id="1">
    <w:p w14:paraId="5ACB493C" w14:textId="77777777" w:rsidR="00363B23" w:rsidRDefault="00363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Sidfot"/>
      <w:ind w:left="6237" w:hanging="141"/>
      <w:jc w:val="left"/>
    </w:pPr>
    <w:r>
      <w:rPr>
        <w:noProof/>
      </w:rPr>
      <w:drawing>
        <wp:anchor distT="0" distB="0" distL="114300" distR="114300" simplePos="0" relativeHeight="251658241"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EA38" w14:textId="77777777" w:rsidR="00363B23" w:rsidRDefault="00363B23"/>
  </w:footnote>
  <w:footnote w:type="continuationSeparator" w:id="0">
    <w:p w14:paraId="339A95E9" w14:textId="77777777" w:rsidR="00363B23" w:rsidRDefault="00363B23">
      <w:r>
        <w:continuationSeparator/>
      </w:r>
    </w:p>
  </w:footnote>
  <w:footnote w:type="continuationNotice" w:id="1">
    <w:p w14:paraId="5EE3BAE5" w14:textId="77777777" w:rsidR="00363B23" w:rsidRDefault="00363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58243"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26" type="#_x0000_t202" style="position:absolute;margin-left:0;margin-top:-.05pt;width:367.5pt;height:2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70464969" w14:textId="1B285E8B" w:rsidR="00DA65C4" w:rsidRDefault="00DA65C4" w:rsidP="00DA65C4">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Sidhuvud"/>
      <w:ind w:right="567"/>
    </w:pPr>
    <w:r>
      <w:rPr>
        <w:noProof/>
        <w:sz w:val="20"/>
        <w:szCs w:val="20"/>
      </w:rPr>
      <mc:AlternateContent>
        <mc:Choice Requires="wps">
          <w:drawing>
            <wp:anchor distT="0" distB="0" distL="114300" distR="114300" simplePos="0" relativeHeight="251658242"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ruta 6" o:spid="_x0000_s1027" type="#_x0000_t202" style="position:absolute;margin-left:-13.6pt;margin-top:-5.15pt;width:367.5pt;height:25.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Fw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" filled="f" stroked="f" strokeweight=".5pt">
              <v:textbox>
                <w:txbxContent>
                  <w:p w14:paraId="72D45401" w14:textId="0A2CCBAA" w:rsidR="00413A60" w:rsidRDefault="00413A60">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8240"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E9479F4"/>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4"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5"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6"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7"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8"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9" w15:restartNumberingAfterBreak="0">
    <w:nsid w:val="2794161D"/>
    <w:multiLevelType w:val="hybridMultilevel"/>
    <w:tmpl w:val="F5126DB0"/>
    <w:lvl w:ilvl="0" w:tplc="585C14F0">
      <w:start w:val="1"/>
      <w:numFmt w:val="decimal"/>
      <w:pStyle w:val="Punktlistanumrera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1B32AB"/>
    <w:multiLevelType w:val="hybridMultilevel"/>
    <w:tmpl w:val="F3D49CD2"/>
    <w:lvl w:ilvl="0" w:tplc="63C63CDC">
      <w:start w:val="1"/>
      <w:numFmt w:val="upperLetter"/>
      <w:lvlText w:val="%1."/>
      <w:lvlJc w:val="left"/>
      <w:pPr>
        <w:tabs>
          <w:tab w:val="num" w:pos="720"/>
        </w:tabs>
        <w:ind w:left="720" w:hanging="360"/>
      </w:pPr>
      <w:rPr>
        <w:rFonts w:hint="default"/>
      </w:rPr>
    </w:lvl>
    <w:lvl w:ilvl="1" w:tplc="15407692">
      <w:start w:val="1"/>
      <w:numFmt w:val="decimal"/>
      <w:lvlText w:val="%2."/>
      <w:lvlJc w:val="left"/>
      <w:pPr>
        <w:tabs>
          <w:tab w:val="num" w:pos="1440"/>
        </w:tabs>
        <w:ind w:left="1440" w:hanging="360"/>
      </w:pPr>
      <w:rPr>
        <w:rFonts w:hint="default"/>
      </w:rPr>
    </w:lvl>
    <w:lvl w:ilvl="2" w:tplc="5B7E8208" w:tentative="1">
      <w:start w:val="1"/>
      <w:numFmt w:val="lowerRoman"/>
      <w:lvlText w:val="%3."/>
      <w:lvlJc w:val="right"/>
      <w:pPr>
        <w:tabs>
          <w:tab w:val="num" w:pos="2160"/>
        </w:tabs>
        <w:ind w:left="2160" w:hanging="180"/>
      </w:pPr>
    </w:lvl>
    <w:lvl w:ilvl="3" w:tplc="F35EF46C" w:tentative="1">
      <w:start w:val="1"/>
      <w:numFmt w:val="decimal"/>
      <w:lvlText w:val="%4."/>
      <w:lvlJc w:val="left"/>
      <w:pPr>
        <w:tabs>
          <w:tab w:val="num" w:pos="2880"/>
        </w:tabs>
        <w:ind w:left="2880" w:hanging="360"/>
      </w:pPr>
    </w:lvl>
    <w:lvl w:ilvl="4" w:tplc="7010721A" w:tentative="1">
      <w:start w:val="1"/>
      <w:numFmt w:val="lowerLetter"/>
      <w:lvlText w:val="%5."/>
      <w:lvlJc w:val="left"/>
      <w:pPr>
        <w:tabs>
          <w:tab w:val="num" w:pos="3600"/>
        </w:tabs>
        <w:ind w:left="3600" w:hanging="360"/>
      </w:pPr>
    </w:lvl>
    <w:lvl w:ilvl="5" w:tplc="B6C41A24" w:tentative="1">
      <w:start w:val="1"/>
      <w:numFmt w:val="lowerRoman"/>
      <w:lvlText w:val="%6."/>
      <w:lvlJc w:val="right"/>
      <w:pPr>
        <w:tabs>
          <w:tab w:val="num" w:pos="4320"/>
        </w:tabs>
        <w:ind w:left="4320" w:hanging="180"/>
      </w:pPr>
    </w:lvl>
    <w:lvl w:ilvl="6" w:tplc="3F5AB8EA" w:tentative="1">
      <w:start w:val="1"/>
      <w:numFmt w:val="decimal"/>
      <w:lvlText w:val="%7."/>
      <w:lvlJc w:val="left"/>
      <w:pPr>
        <w:tabs>
          <w:tab w:val="num" w:pos="5040"/>
        </w:tabs>
        <w:ind w:left="5040" w:hanging="360"/>
      </w:pPr>
    </w:lvl>
    <w:lvl w:ilvl="7" w:tplc="8720539C" w:tentative="1">
      <w:start w:val="1"/>
      <w:numFmt w:val="lowerLetter"/>
      <w:lvlText w:val="%8."/>
      <w:lvlJc w:val="left"/>
      <w:pPr>
        <w:tabs>
          <w:tab w:val="num" w:pos="5760"/>
        </w:tabs>
        <w:ind w:left="5760" w:hanging="360"/>
      </w:pPr>
    </w:lvl>
    <w:lvl w:ilvl="8" w:tplc="F6AA645A" w:tentative="1">
      <w:start w:val="1"/>
      <w:numFmt w:val="lowerRoman"/>
      <w:lvlText w:val="%9."/>
      <w:lvlJc w:val="right"/>
      <w:pPr>
        <w:tabs>
          <w:tab w:val="num" w:pos="6480"/>
        </w:tabs>
        <w:ind w:left="6480" w:hanging="180"/>
      </w:pPr>
    </w:lvl>
  </w:abstractNum>
  <w:abstractNum w:abstractNumId="11" w15:restartNumberingAfterBreak="0">
    <w:nsid w:val="32662D24"/>
    <w:multiLevelType w:val="hybridMultilevel"/>
    <w:tmpl w:val="C2DE738C"/>
    <w:lvl w:ilvl="0" w:tplc="CF4899B8">
      <w:numFmt w:val="bullet"/>
      <w:lvlText w:val="˗"/>
      <w:lvlJc w:val="left"/>
      <w:pPr>
        <w:ind w:left="717" w:hanging="360"/>
      </w:pPr>
      <w:rPr>
        <w:rFonts w:ascii="Times New Roman" w:eastAsia="Times New Roman" w:hAnsi="Times New Roman" w:cs="Times New Roman" w:hint="default"/>
      </w:rPr>
    </w:lvl>
    <w:lvl w:ilvl="1" w:tplc="94DEA44C" w:tentative="1">
      <w:start w:val="1"/>
      <w:numFmt w:val="bullet"/>
      <w:lvlText w:val="o"/>
      <w:lvlJc w:val="left"/>
      <w:pPr>
        <w:tabs>
          <w:tab w:val="num" w:pos="4847"/>
        </w:tabs>
        <w:ind w:left="4847" w:hanging="360"/>
      </w:pPr>
      <w:rPr>
        <w:rFonts w:ascii="Courier New" w:hAnsi="Courier New" w:hint="default"/>
      </w:rPr>
    </w:lvl>
    <w:lvl w:ilvl="2" w:tplc="80AA9A14" w:tentative="1">
      <w:start w:val="1"/>
      <w:numFmt w:val="bullet"/>
      <w:lvlText w:val=""/>
      <w:lvlJc w:val="left"/>
      <w:pPr>
        <w:tabs>
          <w:tab w:val="num" w:pos="5567"/>
        </w:tabs>
        <w:ind w:left="5567" w:hanging="360"/>
      </w:pPr>
      <w:rPr>
        <w:rFonts w:ascii="Wingdings" w:hAnsi="Wingdings" w:hint="default"/>
      </w:rPr>
    </w:lvl>
    <w:lvl w:ilvl="3" w:tplc="68F64554" w:tentative="1">
      <w:start w:val="1"/>
      <w:numFmt w:val="bullet"/>
      <w:lvlText w:val=""/>
      <w:lvlJc w:val="left"/>
      <w:pPr>
        <w:tabs>
          <w:tab w:val="num" w:pos="6287"/>
        </w:tabs>
        <w:ind w:left="6287" w:hanging="360"/>
      </w:pPr>
      <w:rPr>
        <w:rFonts w:ascii="Symbol" w:hAnsi="Symbol" w:hint="default"/>
      </w:rPr>
    </w:lvl>
    <w:lvl w:ilvl="4" w:tplc="190E9724" w:tentative="1">
      <w:start w:val="1"/>
      <w:numFmt w:val="bullet"/>
      <w:lvlText w:val="o"/>
      <w:lvlJc w:val="left"/>
      <w:pPr>
        <w:tabs>
          <w:tab w:val="num" w:pos="7007"/>
        </w:tabs>
        <w:ind w:left="7007" w:hanging="360"/>
      </w:pPr>
      <w:rPr>
        <w:rFonts w:ascii="Courier New" w:hAnsi="Courier New" w:hint="default"/>
      </w:rPr>
    </w:lvl>
    <w:lvl w:ilvl="5" w:tplc="B6F0C53A" w:tentative="1">
      <w:start w:val="1"/>
      <w:numFmt w:val="bullet"/>
      <w:lvlText w:val=""/>
      <w:lvlJc w:val="left"/>
      <w:pPr>
        <w:tabs>
          <w:tab w:val="num" w:pos="7727"/>
        </w:tabs>
        <w:ind w:left="7727" w:hanging="360"/>
      </w:pPr>
      <w:rPr>
        <w:rFonts w:ascii="Wingdings" w:hAnsi="Wingdings" w:hint="default"/>
      </w:rPr>
    </w:lvl>
    <w:lvl w:ilvl="6" w:tplc="F27E808C" w:tentative="1">
      <w:start w:val="1"/>
      <w:numFmt w:val="bullet"/>
      <w:lvlText w:val=""/>
      <w:lvlJc w:val="left"/>
      <w:pPr>
        <w:tabs>
          <w:tab w:val="num" w:pos="8447"/>
        </w:tabs>
        <w:ind w:left="8447" w:hanging="360"/>
      </w:pPr>
      <w:rPr>
        <w:rFonts w:ascii="Symbol" w:hAnsi="Symbol" w:hint="default"/>
      </w:rPr>
    </w:lvl>
    <w:lvl w:ilvl="7" w:tplc="05B41702" w:tentative="1">
      <w:start w:val="1"/>
      <w:numFmt w:val="bullet"/>
      <w:lvlText w:val="o"/>
      <w:lvlJc w:val="left"/>
      <w:pPr>
        <w:tabs>
          <w:tab w:val="num" w:pos="9167"/>
        </w:tabs>
        <w:ind w:left="9167" w:hanging="360"/>
      </w:pPr>
      <w:rPr>
        <w:rFonts w:ascii="Courier New" w:hAnsi="Courier New" w:hint="default"/>
      </w:rPr>
    </w:lvl>
    <w:lvl w:ilvl="8" w:tplc="EFDC7524" w:tentative="1">
      <w:start w:val="1"/>
      <w:numFmt w:val="bullet"/>
      <w:lvlText w:val=""/>
      <w:lvlJc w:val="left"/>
      <w:pPr>
        <w:tabs>
          <w:tab w:val="num" w:pos="9887"/>
        </w:tabs>
        <w:ind w:left="9887" w:hanging="360"/>
      </w:pPr>
      <w:rPr>
        <w:rFonts w:ascii="Wingdings" w:hAnsi="Wingdings" w:hint="default"/>
      </w:rPr>
    </w:lvl>
  </w:abstractNum>
  <w:abstractNum w:abstractNumId="12"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74E09"/>
    <w:multiLevelType w:val="hybridMultilevel"/>
    <w:tmpl w:val="3C6A0CB2"/>
    <w:lvl w:ilvl="0" w:tplc="72B02F0E">
      <w:start w:val="1"/>
      <w:numFmt w:val="bullet"/>
      <w:pStyle w:va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4"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5"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7" w15:restartNumberingAfterBreak="0">
    <w:nsid w:val="54340635"/>
    <w:multiLevelType w:val="hybridMultilevel"/>
    <w:tmpl w:val="1B6660C0"/>
    <w:lvl w:ilvl="0" w:tplc="05061E3A">
      <w:start w:val="1"/>
      <w:numFmt w:val="decimal"/>
      <w:pStyle w:val="Liststycke"/>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9"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0"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1"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16cid:durableId="671224480">
    <w:abstractNumId w:val="21"/>
  </w:num>
  <w:num w:numId="2" w16cid:durableId="2052654660">
    <w:abstractNumId w:val="18"/>
  </w:num>
  <w:num w:numId="3" w16cid:durableId="1962766173">
    <w:abstractNumId w:val="0"/>
  </w:num>
  <w:num w:numId="4" w16cid:durableId="556935290">
    <w:abstractNumId w:val="7"/>
  </w:num>
  <w:num w:numId="5" w16cid:durableId="1640262203">
    <w:abstractNumId w:val="19"/>
  </w:num>
  <w:num w:numId="6" w16cid:durableId="519975647">
    <w:abstractNumId w:val="3"/>
  </w:num>
  <w:num w:numId="7" w16cid:durableId="2077163783">
    <w:abstractNumId w:val="15"/>
  </w:num>
  <w:num w:numId="8" w16cid:durableId="816460434">
    <w:abstractNumId w:val="12"/>
  </w:num>
  <w:num w:numId="9" w16cid:durableId="1287740408">
    <w:abstractNumId w:val="2"/>
  </w:num>
  <w:num w:numId="10" w16cid:durableId="101725982">
    <w:abstractNumId w:val="2"/>
  </w:num>
  <w:num w:numId="11" w16cid:durableId="608242801">
    <w:abstractNumId w:val="4"/>
  </w:num>
  <w:num w:numId="12" w16cid:durableId="503545798">
    <w:abstractNumId w:val="5"/>
  </w:num>
  <w:num w:numId="13" w16cid:durableId="122117304">
    <w:abstractNumId w:val="17"/>
  </w:num>
  <w:num w:numId="14" w16cid:durableId="1154177178">
    <w:abstractNumId w:val="13"/>
  </w:num>
  <w:num w:numId="15" w16cid:durableId="421339488">
    <w:abstractNumId w:val="8"/>
  </w:num>
  <w:num w:numId="16" w16cid:durableId="632833608">
    <w:abstractNumId w:val="16"/>
  </w:num>
  <w:num w:numId="17" w16cid:durableId="545679636">
    <w:abstractNumId w:val="6"/>
  </w:num>
  <w:num w:numId="18" w16cid:durableId="517354139">
    <w:abstractNumId w:val="14"/>
  </w:num>
  <w:num w:numId="19" w16cid:durableId="1417021755">
    <w:abstractNumId w:val="20"/>
  </w:num>
  <w:num w:numId="20" w16cid:durableId="175509672">
    <w:abstractNumId w:val="1"/>
  </w:num>
  <w:num w:numId="21" w16cid:durableId="714278305">
    <w:abstractNumId w:val="10"/>
  </w:num>
  <w:num w:numId="22" w16cid:durableId="1744137871">
    <w:abstractNumId w:val="11"/>
  </w:num>
  <w:num w:numId="23" w16cid:durableId="1198273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51D5"/>
    <w:rsid w:val="00006D2A"/>
    <w:rsid w:val="00010D47"/>
    <w:rsid w:val="00015476"/>
    <w:rsid w:val="00016CF0"/>
    <w:rsid w:val="0002435C"/>
    <w:rsid w:val="00030DDD"/>
    <w:rsid w:val="000313BB"/>
    <w:rsid w:val="00033ED5"/>
    <w:rsid w:val="00050500"/>
    <w:rsid w:val="0005691C"/>
    <w:rsid w:val="00056ECB"/>
    <w:rsid w:val="00056ED5"/>
    <w:rsid w:val="000655CC"/>
    <w:rsid w:val="000657C2"/>
    <w:rsid w:val="000700AE"/>
    <w:rsid w:val="00084024"/>
    <w:rsid w:val="0009062C"/>
    <w:rsid w:val="00095368"/>
    <w:rsid w:val="000954C4"/>
    <w:rsid w:val="000A3860"/>
    <w:rsid w:val="000A4C35"/>
    <w:rsid w:val="000A611A"/>
    <w:rsid w:val="000B12D9"/>
    <w:rsid w:val="000B4536"/>
    <w:rsid w:val="000B7715"/>
    <w:rsid w:val="000C4AEB"/>
    <w:rsid w:val="000E463B"/>
    <w:rsid w:val="000E5A7E"/>
    <w:rsid w:val="000F43A3"/>
    <w:rsid w:val="000F7681"/>
    <w:rsid w:val="00103031"/>
    <w:rsid w:val="001044FE"/>
    <w:rsid w:val="0011007E"/>
    <w:rsid w:val="001139D4"/>
    <w:rsid w:val="00131B08"/>
    <w:rsid w:val="00132A59"/>
    <w:rsid w:val="00133337"/>
    <w:rsid w:val="00133A0F"/>
    <w:rsid w:val="0013580F"/>
    <w:rsid w:val="001371EB"/>
    <w:rsid w:val="00137B6D"/>
    <w:rsid w:val="0014070B"/>
    <w:rsid w:val="001422C1"/>
    <w:rsid w:val="001522AE"/>
    <w:rsid w:val="00157D5B"/>
    <w:rsid w:val="00161FE6"/>
    <w:rsid w:val="001647EA"/>
    <w:rsid w:val="00164C3D"/>
    <w:rsid w:val="00166D3A"/>
    <w:rsid w:val="00180114"/>
    <w:rsid w:val="00181FDC"/>
    <w:rsid w:val="001860B9"/>
    <w:rsid w:val="00186F2B"/>
    <w:rsid w:val="001874D6"/>
    <w:rsid w:val="0019632A"/>
    <w:rsid w:val="001A4E7C"/>
    <w:rsid w:val="001A7F12"/>
    <w:rsid w:val="001B762C"/>
    <w:rsid w:val="001C324F"/>
    <w:rsid w:val="001C4D0A"/>
    <w:rsid w:val="001C5FEF"/>
    <w:rsid w:val="001F4544"/>
    <w:rsid w:val="00211487"/>
    <w:rsid w:val="00211D91"/>
    <w:rsid w:val="002166D9"/>
    <w:rsid w:val="00217123"/>
    <w:rsid w:val="00217DEC"/>
    <w:rsid w:val="00235B57"/>
    <w:rsid w:val="00241B86"/>
    <w:rsid w:val="00250F24"/>
    <w:rsid w:val="002523C5"/>
    <w:rsid w:val="0025380B"/>
    <w:rsid w:val="0025703A"/>
    <w:rsid w:val="00262F3D"/>
    <w:rsid w:val="00263281"/>
    <w:rsid w:val="002651D6"/>
    <w:rsid w:val="0026551F"/>
    <w:rsid w:val="00280A85"/>
    <w:rsid w:val="00284119"/>
    <w:rsid w:val="00290B5C"/>
    <w:rsid w:val="00294791"/>
    <w:rsid w:val="002B0B30"/>
    <w:rsid w:val="002B0C78"/>
    <w:rsid w:val="002B7DCA"/>
    <w:rsid w:val="002C0C02"/>
    <w:rsid w:val="002C1277"/>
    <w:rsid w:val="002C60AD"/>
    <w:rsid w:val="002D0E0E"/>
    <w:rsid w:val="002D14A5"/>
    <w:rsid w:val="002D6023"/>
    <w:rsid w:val="002E263F"/>
    <w:rsid w:val="002E2861"/>
    <w:rsid w:val="002E6F81"/>
    <w:rsid w:val="002F08BA"/>
    <w:rsid w:val="002F0DEA"/>
    <w:rsid w:val="002F2CFF"/>
    <w:rsid w:val="002F568B"/>
    <w:rsid w:val="002F7818"/>
    <w:rsid w:val="0030644F"/>
    <w:rsid w:val="003066D0"/>
    <w:rsid w:val="00311401"/>
    <w:rsid w:val="003203D7"/>
    <w:rsid w:val="00320F86"/>
    <w:rsid w:val="00324171"/>
    <w:rsid w:val="00326C24"/>
    <w:rsid w:val="00337F99"/>
    <w:rsid w:val="0034307B"/>
    <w:rsid w:val="00345EB1"/>
    <w:rsid w:val="00350CC4"/>
    <w:rsid w:val="00356A83"/>
    <w:rsid w:val="00360E0D"/>
    <w:rsid w:val="0036357D"/>
    <w:rsid w:val="00363B23"/>
    <w:rsid w:val="0036594C"/>
    <w:rsid w:val="00367D19"/>
    <w:rsid w:val="00371BED"/>
    <w:rsid w:val="00384019"/>
    <w:rsid w:val="003854F1"/>
    <w:rsid w:val="0039118E"/>
    <w:rsid w:val="00397F54"/>
    <w:rsid w:val="003A0D43"/>
    <w:rsid w:val="003B2A4B"/>
    <w:rsid w:val="003C7524"/>
    <w:rsid w:val="003D099E"/>
    <w:rsid w:val="003D21A2"/>
    <w:rsid w:val="003D29D2"/>
    <w:rsid w:val="003E0705"/>
    <w:rsid w:val="003E239B"/>
    <w:rsid w:val="003E2FF7"/>
    <w:rsid w:val="003F1013"/>
    <w:rsid w:val="003F1ACF"/>
    <w:rsid w:val="003F781D"/>
    <w:rsid w:val="00404948"/>
    <w:rsid w:val="00406BEA"/>
    <w:rsid w:val="00413A60"/>
    <w:rsid w:val="004230F7"/>
    <w:rsid w:val="0043167E"/>
    <w:rsid w:val="0043279E"/>
    <w:rsid w:val="0043409A"/>
    <w:rsid w:val="00443C1E"/>
    <w:rsid w:val="00446255"/>
    <w:rsid w:val="00451935"/>
    <w:rsid w:val="00460ED0"/>
    <w:rsid w:val="00465651"/>
    <w:rsid w:val="00470CE7"/>
    <w:rsid w:val="00470F4F"/>
    <w:rsid w:val="00472482"/>
    <w:rsid w:val="00480DC7"/>
    <w:rsid w:val="004876F6"/>
    <w:rsid w:val="0049236A"/>
    <w:rsid w:val="00492718"/>
    <w:rsid w:val="004A355D"/>
    <w:rsid w:val="004A4970"/>
    <w:rsid w:val="004B2183"/>
    <w:rsid w:val="004B2A01"/>
    <w:rsid w:val="004C2559"/>
    <w:rsid w:val="004C70B5"/>
    <w:rsid w:val="004D7BA3"/>
    <w:rsid w:val="004E5184"/>
    <w:rsid w:val="004E6C3D"/>
    <w:rsid w:val="004F4518"/>
    <w:rsid w:val="004F4C62"/>
    <w:rsid w:val="00501433"/>
    <w:rsid w:val="005022E9"/>
    <w:rsid w:val="00511CC4"/>
    <w:rsid w:val="005153DB"/>
    <w:rsid w:val="005200F5"/>
    <w:rsid w:val="00531E60"/>
    <w:rsid w:val="00536A5A"/>
    <w:rsid w:val="00541D07"/>
    <w:rsid w:val="00544BAB"/>
    <w:rsid w:val="00545F31"/>
    <w:rsid w:val="00554CA1"/>
    <w:rsid w:val="005578FA"/>
    <w:rsid w:val="005605E8"/>
    <w:rsid w:val="00565129"/>
    <w:rsid w:val="00565CD0"/>
    <w:rsid w:val="00567820"/>
    <w:rsid w:val="005770AD"/>
    <w:rsid w:val="00581414"/>
    <w:rsid w:val="00582490"/>
    <w:rsid w:val="005826FA"/>
    <w:rsid w:val="005856E2"/>
    <w:rsid w:val="0059642F"/>
    <w:rsid w:val="00597E28"/>
    <w:rsid w:val="005A2E3B"/>
    <w:rsid w:val="005A54ED"/>
    <w:rsid w:val="005A5D5B"/>
    <w:rsid w:val="005A6081"/>
    <w:rsid w:val="005A627D"/>
    <w:rsid w:val="005C0045"/>
    <w:rsid w:val="005C084E"/>
    <w:rsid w:val="005C4606"/>
    <w:rsid w:val="005D0B0C"/>
    <w:rsid w:val="005E02B3"/>
    <w:rsid w:val="005E1E24"/>
    <w:rsid w:val="00605008"/>
    <w:rsid w:val="0060596B"/>
    <w:rsid w:val="00606D97"/>
    <w:rsid w:val="00614E64"/>
    <w:rsid w:val="00617710"/>
    <w:rsid w:val="00617EE6"/>
    <w:rsid w:val="0062184C"/>
    <w:rsid w:val="00622ABE"/>
    <w:rsid w:val="00623724"/>
    <w:rsid w:val="00627BEA"/>
    <w:rsid w:val="00631116"/>
    <w:rsid w:val="006319DB"/>
    <w:rsid w:val="0065595B"/>
    <w:rsid w:val="00660269"/>
    <w:rsid w:val="00665E1F"/>
    <w:rsid w:val="00665F89"/>
    <w:rsid w:val="00673C92"/>
    <w:rsid w:val="006753EC"/>
    <w:rsid w:val="006874AF"/>
    <w:rsid w:val="006A2789"/>
    <w:rsid w:val="006A4978"/>
    <w:rsid w:val="006A7261"/>
    <w:rsid w:val="006B0D29"/>
    <w:rsid w:val="006B1819"/>
    <w:rsid w:val="006B5DE7"/>
    <w:rsid w:val="006C3C6A"/>
    <w:rsid w:val="006C5048"/>
    <w:rsid w:val="006C6A4B"/>
    <w:rsid w:val="006C779F"/>
    <w:rsid w:val="006D01F5"/>
    <w:rsid w:val="006D0CFB"/>
    <w:rsid w:val="006D30C0"/>
    <w:rsid w:val="006D7535"/>
    <w:rsid w:val="006E4105"/>
    <w:rsid w:val="006E450B"/>
    <w:rsid w:val="006F0D7E"/>
    <w:rsid w:val="00710B77"/>
    <w:rsid w:val="0072075B"/>
    <w:rsid w:val="007221C2"/>
    <w:rsid w:val="00725816"/>
    <w:rsid w:val="00730955"/>
    <w:rsid w:val="00731F8C"/>
    <w:rsid w:val="00733A9C"/>
    <w:rsid w:val="00736574"/>
    <w:rsid w:val="007367E0"/>
    <w:rsid w:val="00737215"/>
    <w:rsid w:val="00754905"/>
    <w:rsid w:val="00757240"/>
    <w:rsid w:val="00760038"/>
    <w:rsid w:val="00762EE0"/>
    <w:rsid w:val="00765C41"/>
    <w:rsid w:val="00771100"/>
    <w:rsid w:val="007759DD"/>
    <w:rsid w:val="0078609F"/>
    <w:rsid w:val="007917BA"/>
    <w:rsid w:val="007A18BA"/>
    <w:rsid w:val="007A5C6F"/>
    <w:rsid w:val="007D4241"/>
    <w:rsid w:val="007D4317"/>
    <w:rsid w:val="007D4EA3"/>
    <w:rsid w:val="007F1CFF"/>
    <w:rsid w:val="007F5DD5"/>
    <w:rsid w:val="00821A1B"/>
    <w:rsid w:val="008262E9"/>
    <w:rsid w:val="00827E69"/>
    <w:rsid w:val="00833F0C"/>
    <w:rsid w:val="00835C4D"/>
    <w:rsid w:val="008370A8"/>
    <w:rsid w:val="00843F48"/>
    <w:rsid w:val="00851423"/>
    <w:rsid w:val="00857848"/>
    <w:rsid w:val="008654B6"/>
    <w:rsid w:val="0087139C"/>
    <w:rsid w:val="00874194"/>
    <w:rsid w:val="00880E83"/>
    <w:rsid w:val="00892F28"/>
    <w:rsid w:val="00893E85"/>
    <w:rsid w:val="008A0C5F"/>
    <w:rsid w:val="008A3DEA"/>
    <w:rsid w:val="008A4EB9"/>
    <w:rsid w:val="008A74C0"/>
    <w:rsid w:val="008B1694"/>
    <w:rsid w:val="008C4B27"/>
    <w:rsid w:val="008C7F2A"/>
    <w:rsid w:val="008E36F8"/>
    <w:rsid w:val="008E426A"/>
    <w:rsid w:val="008E46B2"/>
    <w:rsid w:val="008E682C"/>
    <w:rsid w:val="008E78A1"/>
    <w:rsid w:val="008F589F"/>
    <w:rsid w:val="00906238"/>
    <w:rsid w:val="00907EF9"/>
    <w:rsid w:val="0091295C"/>
    <w:rsid w:val="00914D58"/>
    <w:rsid w:val="00921F47"/>
    <w:rsid w:val="009228AB"/>
    <w:rsid w:val="0093085B"/>
    <w:rsid w:val="00931C57"/>
    <w:rsid w:val="009347A5"/>
    <w:rsid w:val="00942257"/>
    <w:rsid w:val="009471BF"/>
    <w:rsid w:val="00950E4E"/>
    <w:rsid w:val="00952524"/>
    <w:rsid w:val="009529BD"/>
    <w:rsid w:val="009533B4"/>
    <w:rsid w:val="0096478E"/>
    <w:rsid w:val="00971D93"/>
    <w:rsid w:val="009B1E75"/>
    <w:rsid w:val="009B1F6B"/>
    <w:rsid w:val="009B55E4"/>
    <w:rsid w:val="009C0D12"/>
    <w:rsid w:val="009C192E"/>
    <w:rsid w:val="009C2B64"/>
    <w:rsid w:val="009D3711"/>
    <w:rsid w:val="009D6819"/>
    <w:rsid w:val="009D6D1C"/>
    <w:rsid w:val="009E0CF9"/>
    <w:rsid w:val="009E127F"/>
    <w:rsid w:val="009E3BB2"/>
    <w:rsid w:val="009E531B"/>
    <w:rsid w:val="009E6C56"/>
    <w:rsid w:val="009E7DCF"/>
    <w:rsid w:val="009F1D7F"/>
    <w:rsid w:val="009F21EF"/>
    <w:rsid w:val="009F4A56"/>
    <w:rsid w:val="009F4E65"/>
    <w:rsid w:val="00A006A5"/>
    <w:rsid w:val="00A05942"/>
    <w:rsid w:val="00A07BEC"/>
    <w:rsid w:val="00A24D13"/>
    <w:rsid w:val="00A264BE"/>
    <w:rsid w:val="00A272CA"/>
    <w:rsid w:val="00A33051"/>
    <w:rsid w:val="00A407AD"/>
    <w:rsid w:val="00A40923"/>
    <w:rsid w:val="00A41C05"/>
    <w:rsid w:val="00A42426"/>
    <w:rsid w:val="00A514B7"/>
    <w:rsid w:val="00A54A0B"/>
    <w:rsid w:val="00A56127"/>
    <w:rsid w:val="00A65FD4"/>
    <w:rsid w:val="00A81198"/>
    <w:rsid w:val="00A81E48"/>
    <w:rsid w:val="00A82035"/>
    <w:rsid w:val="00A90D77"/>
    <w:rsid w:val="00A92E07"/>
    <w:rsid w:val="00A936B3"/>
    <w:rsid w:val="00A96040"/>
    <w:rsid w:val="00AA0B3A"/>
    <w:rsid w:val="00AA6EB4"/>
    <w:rsid w:val="00AA767D"/>
    <w:rsid w:val="00AB0C2A"/>
    <w:rsid w:val="00AB0CC9"/>
    <w:rsid w:val="00AC3FF6"/>
    <w:rsid w:val="00AD73EC"/>
    <w:rsid w:val="00AE5BC7"/>
    <w:rsid w:val="00AF5AAF"/>
    <w:rsid w:val="00B046D8"/>
    <w:rsid w:val="00B13F4C"/>
    <w:rsid w:val="00B16219"/>
    <w:rsid w:val="00B16C59"/>
    <w:rsid w:val="00B33C41"/>
    <w:rsid w:val="00B33DCB"/>
    <w:rsid w:val="00B33FDD"/>
    <w:rsid w:val="00B353A9"/>
    <w:rsid w:val="00B359CC"/>
    <w:rsid w:val="00B36107"/>
    <w:rsid w:val="00B40F06"/>
    <w:rsid w:val="00B41789"/>
    <w:rsid w:val="00B46C03"/>
    <w:rsid w:val="00B5227B"/>
    <w:rsid w:val="00B60C6C"/>
    <w:rsid w:val="00B619A9"/>
    <w:rsid w:val="00B65A9D"/>
    <w:rsid w:val="00B66D60"/>
    <w:rsid w:val="00B71C27"/>
    <w:rsid w:val="00B75EDE"/>
    <w:rsid w:val="00B77D88"/>
    <w:rsid w:val="00B77FAF"/>
    <w:rsid w:val="00B84336"/>
    <w:rsid w:val="00B851B9"/>
    <w:rsid w:val="00B8527B"/>
    <w:rsid w:val="00B862C9"/>
    <w:rsid w:val="00B86453"/>
    <w:rsid w:val="00B90054"/>
    <w:rsid w:val="00B92C14"/>
    <w:rsid w:val="00BA0066"/>
    <w:rsid w:val="00BA7CDE"/>
    <w:rsid w:val="00BB69DB"/>
    <w:rsid w:val="00BC322E"/>
    <w:rsid w:val="00BC44CD"/>
    <w:rsid w:val="00BC48A6"/>
    <w:rsid w:val="00BD22B1"/>
    <w:rsid w:val="00BE7978"/>
    <w:rsid w:val="00C00DD1"/>
    <w:rsid w:val="00C07DDB"/>
    <w:rsid w:val="00C36565"/>
    <w:rsid w:val="00C4115D"/>
    <w:rsid w:val="00C43BDD"/>
    <w:rsid w:val="00C47778"/>
    <w:rsid w:val="00C5011E"/>
    <w:rsid w:val="00C50EE5"/>
    <w:rsid w:val="00C5240A"/>
    <w:rsid w:val="00C5398F"/>
    <w:rsid w:val="00C556F5"/>
    <w:rsid w:val="00C70E19"/>
    <w:rsid w:val="00C72574"/>
    <w:rsid w:val="00C7430C"/>
    <w:rsid w:val="00C7702C"/>
    <w:rsid w:val="00C84493"/>
    <w:rsid w:val="00C85DA1"/>
    <w:rsid w:val="00C9071C"/>
    <w:rsid w:val="00C908FF"/>
    <w:rsid w:val="00C97BD3"/>
    <w:rsid w:val="00CA39EF"/>
    <w:rsid w:val="00CA521F"/>
    <w:rsid w:val="00CB0493"/>
    <w:rsid w:val="00CB17FF"/>
    <w:rsid w:val="00CB1ED7"/>
    <w:rsid w:val="00CC167C"/>
    <w:rsid w:val="00CC52D9"/>
    <w:rsid w:val="00CC6266"/>
    <w:rsid w:val="00CD103E"/>
    <w:rsid w:val="00CD2B6E"/>
    <w:rsid w:val="00CD6647"/>
    <w:rsid w:val="00CE4B73"/>
    <w:rsid w:val="00CF70BB"/>
    <w:rsid w:val="00D074DB"/>
    <w:rsid w:val="00D139CF"/>
    <w:rsid w:val="00D374B9"/>
    <w:rsid w:val="00D37E7F"/>
    <w:rsid w:val="00D4055D"/>
    <w:rsid w:val="00D47AD7"/>
    <w:rsid w:val="00D51529"/>
    <w:rsid w:val="00D85218"/>
    <w:rsid w:val="00D915B1"/>
    <w:rsid w:val="00DA299D"/>
    <w:rsid w:val="00DA65C4"/>
    <w:rsid w:val="00DB0094"/>
    <w:rsid w:val="00DC1F07"/>
    <w:rsid w:val="00DD2BE0"/>
    <w:rsid w:val="00DE4447"/>
    <w:rsid w:val="00DE5DA2"/>
    <w:rsid w:val="00DF0033"/>
    <w:rsid w:val="00DF0E52"/>
    <w:rsid w:val="00E026BF"/>
    <w:rsid w:val="00E07B1B"/>
    <w:rsid w:val="00E10D80"/>
    <w:rsid w:val="00E11853"/>
    <w:rsid w:val="00E42F7A"/>
    <w:rsid w:val="00E52A86"/>
    <w:rsid w:val="00E54B47"/>
    <w:rsid w:val="00E553BF"/>
    <w:rsid w:val="00E55D93"/>
    <w:rsid w:val="00E600F5"/>
    <w:rsid w:val="00E61294"/>
    <w:rsid w:val="00E7237C"/>
    <w:rsid w:val="00E77C46"/>
    <w:rsid w:val="00E86CE8"/>
    <w:rsid w:val="00E90E82"/>
    <w:rsid w:val="00EA00CB"/>
    <w:rsid w:val="00EA1BAA"/>
    <w:rsid w:val="00EA3FCD"/>
    <w:rsid w:val="00EA42A0"/>
    <w:rsid w:val="00EB6714"/>
    <w:rsid w:val="00EC076A"/>
    <w:rsid w:val="00EC0A68"/>
    <w:rsid w:val="00EC5006"/>
    <w:rsid w:val="00ED1EAD"/>
    <w:rsid w:val="00ED49C3"/>
    <w:rsid w:val="00ED6CE8"/>
    <w:rsid w:val="00ED7AA6"/>
    <w:rsid w:val="00EE2A56"/>
    <w:rsid w:val="00EE3818"/>
    <w:rsid w:val="00EE4020"/>
    <w:rsid w:val="00F109A1"/>
    <w:rsid w:val="00F20BC9"/>
    <w:rsid w:val="00F22264"/>
    <w:rsid w:val="00F2564D"/>
    <w:rsid w:val="00F327D6"/>
    <w:rsid w:val="00F34754"/>
    <w:rsid w:val="00F35B05"/>
    <w:rsid w:val="00F413D9"/>
    <w:rsid w:val="00F5135F"/>
    <w:rsid w:val="00F51F78"/>
    <w:rsid w:val="00F83CB0"/>
    <w:rsid w:val="00F86F47"/>
    <w:rsid w:val="00F90B64"/>
    <w:rsid w:val="00F97F52"/>
    <w:rsid w:val="00FA5435"/>
    <w:rsid w:val="00FA7128"/>
    <w:rsid w:val="00FB27D7"/>
    <w:rsid w:val="00FB2F0F"/>
    <w:rsid w:val="00FB5086"/>
    <w:rsid w:val="00FB5411"/>
    <w:rsid w:val="00FB5C6F"/>
    <w:rsid w:val="00FB6392"/>
    <w:rsid w:val="00FD3C70"/>
    <w:rsid w:val="00FD6820"/>
    <w:rsid w:val="00FE014F"/>
    <w:rsid w:val="00FE0B81"/>
    <w:rsid w:val="00FE12D8"/>
    <w:rsid w:val="00FF188B"/>
    <w:rsid w:val="00FF246F"/>
    <w:rsid w:val="00FF7C02"/>
    <w:rsid w:val="024801E3"/>
    <w:rsid w:val="647B2B65"/>
    <w:rsid w:val="6B2CF8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strokecolor="#4a773c">
      <v:stroke color="#4a773c" weight="1pt"/>
      <v:shadow opacity="24903f" origin=",.5" offset="0,.55556mm"/>
      <o:colormru v:ext="edit" colors="#4a773c"/>
    </o:shapedefaults>
    <o:shapelayout v:ext="edit">
      <o:idmap v:ext="edit" data="1"/>
    </o:shapelayout>
  </w:shapeDefaults>
  <w:doNotEmbedSmartTags/>
  <w:decimalSymbol w:val=","/>
  <w:listSeparator w:val=";"/>
  <w14:docId w14:val="1FE2B7EB"/>
  <w14:defaultImageDpi w14:val="330"/>
  <w15:docId w15:val="{05325872-151F-41A7-9AD9-8EFA6E16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240"/>
    <w:pPr>
      <w:spacing w:after="120" w:line="288" w:lineRule="auto"/>
      <w:ind w:right="868"/>
    </w:pPr>
    <w:rPr>
      <w:sz w:val="24"/>
      <w:szCs w:val="24"/>
    </w:rPr>
  </w:style>
  <w:style w:type="paragraph" w:styleId="Rubrik1">
    <w:name w:val="heading 1"/>
    <w:aliases w:val="Rubrik VGR"/>
    <w:next w:val="Normal"/>
    <w:link w:val="Rubrik1Char"/>
    <w:qFormat/>
    <w:rsid w:val="006E4105"/>
    <w:pPr>
      <w:keepNext/>
      <w:spacing w:before="1400" w:after="240"/>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paragraph" w:styleId="Rubrik6">
    <w:name w:val="heading 6"/>
    <w:basedOn w:val="Normal"/>
    <w:next w:val="Normal"/>
    <w:link w:val="Rubrik6Char"/>
    <w:uiPriority w:val="9"/>
    <w:semiHidden/>
    <w:unhideWhenUsed/>
    <w:qFormat/>
    <w:rsid w:val="00F20BC9"/>
    <w:pPr>
      <w:keepNext/>
      <w:keepLines/>
      <w:spacing w:before="40" w:after="0"/>
      <w:outlineLvl w:val="5"/>
    </w:pPr>
    <w:rPr>
      <w:rFonts w:asciiTheme="majorHAnsi" w:eastAsiaTheme="majorEastAsia" w:hAnsiTheme="majorHAnsi" w:cstheme="majorBidi"/>
      <w:color w:val="00304B" w:themeColor="accent1" w:themeShade="7F"/>
    </w:rPr>
  </w:style>
  <w:style w:type="paragraph" w:styleId="Rubrik7">
    <w:name w:val="heading 7"/>
    <w:basedOn w:val="Normal"/>
    <w:next w:val="Normal"/>
    <w:link w:val="Rubrik7Char"/>
    <w:uiPriority w:val="9"/>
    <w:semiHidden/>
    <w:unhideWhenUsed/>
    <w:qFormat/>
    <w:rsid w:val="00F20BC9"/>
    <w:pPr>
      <w:keepNext/>
      <w:keepLines/>
      <w:spacing w:before="40" w:after="0"/>
      <w:outlineLvl w:val="6"/>
    </w:pPr>
    <w:rPr>
      <w:rFonts w:asciiTheme="majorHAnsi" w:eastAsiaTheme="majorEastAsia" w:hAnsiTheme="majorHAnsi" w:cstheme="majorBidi"/>
      <w:i/>
      <w:iCs/>
      <w:color w:val="00304B" w:themeColor="accent1" w:themeShade="7F"/>
    </w:rPr>
  </w:style>
  <w:style w:type="paragraph" w:styleId="Rubrik9">
    <w:name w:val="heading 9"/>
    <w:basedOn w:val="Normal"/>
    <w:next w:val="Normal"/>
    <w:link w:val="Rubrik9Char"/>
    <w:uiPriority w:val="9"/>
    <w:semiHidden/>
    <w:unhideWhenUsed/>
    <w:qFormat/>
    <w:rsid w:val="00F20BC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6E4105"/>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34"/>
    <w:rsid w:val="00CB1ED7"/>
    <w:pPr>
      <w:numPr>
        <w:numId w:val="13"/>
      </w:numPr>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B33C41"/>
    <w:pPr>
      <w:tabs>
        <w:tab w:val="right" w:leader="dot" w:pos="8779"/>
      </w:tabs>
      <w:spacing w:after="0"/>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B33C41"/>
    <w:pPr>
      <w:tabs>
        <w:tab w:val="right" w:leader="dot" w:pos="8777"/>
      </w:tabs>
      <w:spacing w:after="0"/>
      <w:ind w:left="357"/>
    </w:pPr>
  </w:style>
  <w:style w:type="paragraph" w:styleId="Innehll3">
    <w:name w:val="toc 3"/>
    <w:basedOn w:val="Normal"/>
    <w:next w:val="Normal"/>
    <w:autoRedefine/>
    <w:uiPriority w:val="39"/>
    <w:unhideWhenUsed/>
    <w:rsid w:val="00B33C41"/>
    <w:pPr>
      <w:tabs>
        <w:tab w:val="right" w:leader="dot" w:pos="8777"/>
      </w:tabs>
      <w:spacing w:after="0"/>
      <w:ind w:left="714"/>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015476"/>
    <w:pPr>
      <w:keepNext/>
      <w:keepLines/>
      <w:widowControl w:val="0"/>
      <w:autoSpaceDE w:val="0"/>
      <w:autoSpaceDN w:val="0"/>
      <w:adjustRightInd w:val="0"/>
      <w:spacing w:before="240" w:after="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9B1E75"/>
    <w:pPr>
      <w:numPr>
        <w:numId w:val="14"/>
      </w:numPr>
      <w:tabs>
        <w:tab w:val="left" w:pos="357"/>
      </w:tabs>
      <w:spacing w:after="60"/>
      <w:ind w:left="357" w:hanging="357"/>
      <w:contextualSpacing/>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 w:type="character" w:customStyle="1" w:styleId="Rubrik6Char">
    <w:name w:val="Rubrik 6 Char"/>
    <w:basedOn w:val="Standardstycketeckensnitt"/>
    <w:link w:val="Rubrik6"/>
    <w:uiPriority w:val="9"/>
    <w:semiHidden/>
    <w:rsid w:val="00F20BC9"/>
    <w:rPr>
      <w:rFonts w:asciiTheme="majorHAnsi" w:eastAsiaTheme="majorEastAsia" w:hAnsiTheme="majorHAnsi" w:cstheme="majorBidi"/>
      <w:color w:val="00304B" w:themeColor="accent1" w:themeShade="7F"/>
      <w:sz w:val="24"/>
      <w:szCs w:val="24"/>
    </w:rPr>
  </w:style>
  <w:style w:type="character" w:customStyle="1" w:styleId="Rubrik7Char">
    <w:name w:val="Rubrik 7 Char"/>
    <w:basedOn w:val="Standardstycketeckensnitt"/>
    <w:link w:val="Rubrik7"/>
    <w:uiPriority w:val="9"/>
    <w:semiHidden/>
    <w:rsid w:val="00F20BC9"/>
    <w:rPr>
      <w:rFonts w:asciiTheme="majorHAnsi" w:eastAsiaTheme="majorEastAsia" w:hAnsiTheme="majorHAnsi" w:cstheme="majorBidi"/>
      <w:i/>
      <w:iCs/>
      <w:color w:val="00304B" w:themeColor="accent1" w:themeShade="7F"/>
      <w:sz w:val="24"/>
      <w:szCs w:val="24"/>
    </w:rPr>
  </w:style>
  <w:style w:type="character" w:customStyle="1" w:styleId="Rubrik9Char">
    <w:name w:val="Rubrik 9 Char"/>
    <w:basedOn w:val="Standardstycketeckensnitt"/>
    <w:link w:val="Rubrik9"/>
    <w:uiPriority w:val="9"/>
    <w:semiHidden/>
    <w:rsid w:val="00F20BC9"/>
    <w:rPr>
      <w:rFonts w:asciiTheme="majorHAnsi" w:eastAsiaTheme="majorEastAsia" w:hAnsiTheme="majorHAnsi" w:cstheme="majorBidi"/>
      <w:i/>
      <w:iCs/>
      <w:color w:val="272727" w:themeColor="text1" w:themeTint="D8"/>
      <w:sz w:val="21"/>
      <w:szCs w:val="21"/>
    </w:rPr>
  </w:style>
  <w:style w:type="paragraph" w:styleId="Punktlista2">
    <w:name w:val="List Bullet 2"/>
    <w:basedOn w:val="Normal"/>
    <w:unhideWhenUsed/>
    <w:rsid w:val="00F20BC9"/>
    <w:pPr>
      <w:numPr>
        <w:numId w:val="20"/>
      </w:numPr>
      <w:contextualSpacing/>
    </w:pPr>
  </w:style>
  <w:style w:type="character" w:styleId="AnvndHyperlnk">
    <w:name w:val="FollowedHyperlink"/>
    <w:basedOn w:val="Standardstycketeckensnitt"/>
    <w:uiPriority w:val="99"/>
    <w:semiHidden/>
    <w:unhideWhenUsed/>
    <w:rsid w:val="00EE4020"/>
    <w:rPr>
      <w:color w:val="9EA2A2" w:themeColor="followedHyperlink"/>
      <w:u w:val="single"/>
    </w:rPr>
  </w:style>
  <w:style w:type="paragraph" w:customStyle="1" w:styleId="Tabelltext">
    <w:name w:val="Tabelltext"/>
    <w:qFormat/>
    <w:rsid w:val="00AB0C2A"/>
    <w:pPr>
      <w:spacing w:before="20" w:after="60"/>
    </w:pPr>
    <w:rPr>
      <w:rFonts w:ascii="Calibri" w:hAnsi="Calibri"/>
      <w:sz w:val="22"/>
    </w:rPr>
  </w:style>
  <w:style w:type="paragraph" w:customStyle="1" w:styleId="Normalmedindrag">
    <w:name w:val="Normal med indrag"/>
    <w:qFormat/>
    <w:rsid w:val="00A96040"/>
    <w:pPr>
      <w:spacing w:after="120" w:line="288" w:lineRule="auto"/>
      <w:ind w:left="357" w:right="868"/>
    </w:pPr>
    <w:rPr>
      <w:sz w:val="24"/>
      <w:szCs w:val="24"/>
    </w:rPr>
  </w:style>
  <w:style w:type="paragraph" w:styleId="Underrubrik">
    <w:name w:val="Subtitle"/>
    <w:basedOn w:val="Normal"/>
    <w:next w:val="Normal"/>
    <w:link w:val="UnderrubrikChar"/>
    <w:qFormat/>
    <w:rsid w:val="00C00DD1"/>
    <w:pPr>
      <w:numPr>
        <w:ilvl w:val="1"/>
      </w:numPr>
      <w:spacing w:before="120" w:after="0"/>
    </w:pPr>
    <w:rPr>
      <w:rFonts w:ascii="Calibri" w:eastAsiaTheme="minorEastAsia" w:hAnsi="Calibri" w:cstheme="minorBidi"/>
      <w:b/>
      <w:szCs w:val="22"/>
    </w:rPr>
  </w:style>
  <w:style w:type="character" w:customStyle="1" w:styleId="UnderrubrikChar">
    <w:name w:val="Underrubrik Char"/>
    <w:basedOn w:val="Standardstycketeckensnitt"/>
    <w:link w:val="Underrubrik"/>
    <w:rsid w:val="00C00DD1"/>
    <w:rPr>
      <w:rFonts w:ascii="Calibri" w:eastAsiaTheme="minorEastAsia" w:hAnsi="Calibri" w:cstheme="minorBidi"/>
      <w:b/>
      <w:sz w:val="24"/>
      <w:szCs w:val="22"/>
    </w:rPr>
  </w:style>
  <w:style w:type="paragraph" w:customStyle="1" w:styleId="Punktlistanumrerad">
    <w:name w:val="Punktlista numrerad"/>
    <w:qFormat/>
    <w:rsid w:val="00B353A9"/>
    <w:pPr>
      <w:numPr>
        <w:numId w:val="23"/>
      </w:numPr>
      <w:tabs>
        <w:tab w:val="left" w:pos="357"/>
      </w:tabs>
      <w:suppressAutoHyphens/>
      <w:spacing w:after="60" w:line="288" w:lineRule="auto"/>
      <w:ind w:left="357" w:hanging="35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mellanarkiv-offentlig.vgregion.se/alfresco/s/archive/stream/public/v1/source/available/SOFIA/SAS9642-738863596-217/SURROGATE/Akut%20anafylaktisk%20reaktion%20hos%20vuxna%2c%20S%c3%84S.pdf" TargetMode="External" Id="rId13" /><Relationship Type="http://schemas.openxmlformats.org/officeDocument/2006/relationships/hyperlink" Target="http://www.sffa.nu/" TargetMode="External" Id="rId18"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hyperlink" Target="https://mellanarkiv-offentlig.vgregion.se/alfresco/s/archive/stream/public/v1/source/available/SOFIA/SAS9642-738863596-217/SURROGATE/Akut%20anafylaktisk%20reaktion%20hos%20vuxna%2c%20S%c3%84S.pdf" TargetMode="External" Id="rId12" /><Relationship Type="http://schemas.openxmlformats.org/officeDocument/2006/relationships/hyperlink" Target="https://mellanarkiv-offentlig.vgregion.se/alfresco/s/archive/stream/public/v1/source/available/SOFIA/SAS9642-738863596-217/SURROGATE/Akut%20anafylaktisk%20reaktion%20hos%20vuxna%2c%20S%c3%84S.pdf" TargetMode="External" Id="rId17" /><Relationship Type="http://schemas.openxmlformats.org/officeDocument/2006/relationships/theme" Target="theme/theme1.xml" Id="rId25" /><Relationship Type="http://schemas.openxmlformats.org/officeDocument/2006/relationships/hyperlink" Target="https://mellanarkiv-offentlig.vgregion.se/alfresco/s/archive/stream/public/v1/source/available/SOFIA/SAS9642-738863596-217/SURROGATE/Akut%20anafylaktisk%20reaktion%20hos%20vuxna%2c%20S%c3%84S.pdf" TargetMode="External" Id="rId16" /><Relationship Type="http://schemas.openxmlformats.org/officeDocument/2006/relationships/footer" Target="footer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hyperlink" Target="http://www.sffa.nu" TargetMode="External" Id="rId15" /><Relationship Type="http://schemas.openxmlformats.org/officeDocument/2006/relationships/footer" Target="footer3.xml" Id="rId23"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webSettings" Target="webSettings.xml" Id="rId9" /><Relationship Type="http://schemas.openxmlformats.org/officeDocument/2006/relationships/hyperlink" Target="https://mellanarkiv-offentlig.vgregion.se/alfresco/s/archive/stream/public/v1/source/available/SOFIA/SAS9642-738863596-362/SURROGATE/Varningar%20och%20begr%c3%a4nsning%20av%20v%c3%a5rdinsats%20i%20Melior.pdf" TargetMode="External" Id="rId14" /><Relationship Type="http://schemas.openxmlformats.org/officeDocument/2006/relationships/header" Target="header2.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Dok_med_omslag_sd_red</Template>
  <TotalTime>116</TotalTime>
  <Pages>13</Pages>
  <Words>3315</Words>
  <Characters>22783</Characters>
  <Application>Microsoft Office Word</Application>
  <DocSecurity>0</DocSecurity>
  <Lines>189</Lines>
  <Paragraphs>52</Paragraphs>
  <ScaleCrop>false</ScaleCrop>
  <HeadingPairs>
    <vt:vector size="2" baseType="variant">
      <vt:variant>
        <vt:lpstr>Rubrik</vt:lpstr>
      </vt:variant>
      <vt:variant>
        <vt:i4>1</vt:i4>
      </vt:variant>
    </vt:vector>
  </HeadingPairs>
  <TitlesOfParts>
    <vt:vector size="1" baseType="lpstr">
      <vt:lpstr>Mall för riktlinje</vt:lpstr>
    </vt:vector>
  </TitlesOfParts>
  <Manager/>
  <Company/>
  <LinksUpToDate>false</LinksUpToDate>
  <CharactersWithSpaces>26046</CharactersWithSpaces>
  <SharedDoc>false</SharedDoc>
  <HyperlinkBase/>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Anafylaxibehandling och utredning hos vuxna patienter inom SÄS samt råd om uppföljning</dc:title>
  <dc:subject/>
  <dc:creator>patrik.jens.johansson@vgregion.se</dc:creator>
  <keywords/>
  <lastModifiedBy>Karin Åhlin</lastModifiedBy>
  <revision>106</revision>
  <lastPrinted>2016-03-31T10:56:00.0000000Z</lastPrinted>
  <dcterms:created xsi:type="dcterms:W3CDTF">2022-03-28T05:05:00.0000000Z</dcterms:created>
  <dcterms:modified xsi:type="dcterms:W3CDTF">2024-03-08T13:25:00.0000000Z</dcterms:modified>
</coreProperties>
</file>