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184167" w:rsidP="009A32ED" w:rsidRDefault="008418DF" w14:paraId="061914D4" w14:textId="7E271947">
      <w:pPr>
        <w:pStyle w:val="Rubrik1"/>
      </w:pPr>
      <w:bookmarkStart w:name="_Toc223420766" w:id="0"/>
      <w:bookmarkStart w:name="_Toc321146591" w:id="1"/>
      <w:r>
        <w:t>Varningar och begränsning av vårdinsats i Melior</w:t>
      </w:r>
      <w:bookmarkEnd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2"/>
      <w:bookmarkStart w:name="_Toc223420487" w:id="3"/>
      <w:bookmarkStart w:name="_Toc223420767" w:id="4"/>
      <w:bookmarkEnd w:id="1"/>
      <w:r>
        <w:t>Förändringar sedan föregående version</w:t>
      </w:r>
      <w:bookmarkEnd w:id="2"/>
      <w:bookmarkEnd w:id="3"/>
      <w:bookmarkEnd w:id="4"/>
    </w:p>
    <w:p w:rsidR="008418DF" w:rsidP="009A32ED" w:rsidRDefault="008418DF" w14:paraId="06DAD81C" w14:textId="758D69BA">
      <w:pPr>
        <w:ind w:right="-143"/>
      </w:pPr>
      <w:r w:rsidRPr="008418DF">
        <w:t>Se även riktlinjerna ”</w:t>
      </w:r>
      <w:hyperlink w:tgtFrame="_blank" w:history="1" r:id="rId8">
        <w:r w:rsidRPr="008418DF">
          <w:rPr>
            <w:rStyle w:val="Hyperlnk"/>
          </w:rPr>
          <w:t>Textjournal i Melior</w:t>
        </w:r>
      </w:hyperlink>
      <w:r w:rsidRPr="008418DF">
        <w:t>” och ”</w:t>
      </w:r>
      <w:hyperlink w:tgtFrame="_blank" w:history="1" r:id="rId9">
        <w:r w:rsidRPr="008418DF">
          <w:rPr>
            <w:rStyle w:val="Hyperlnk"/>
          </w:rPr>
          <w:t>Livsuppehållande behandling</w:t>
        </w:r>
      </w:hyperlink>
      <w:r w:rsidRPr="008418DF">
        <w:t>” [1, 2]. 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5"/>
      <w:bookmarkStart w:name="_Toc223420488" w:id="6"/>
      <w:bookmarkStart w:name="_Toc223420768" w:id="7"/>
      <w:bookmarkStart w:name="_Toc72840807" w:id="8"/>
      <w:r>
        <w:t>Sammanfattning</w:t>
      </w:r>
      <w:bookmarkEnd w:id="5"/>
      <w:bookmarkEnd w:id="6"/>
      <w:bookmarkEnd w:id="7"/>
    </w:p>
    <w:p w:rsidRPr="007A334E" w:rsidR="008418DF" w:rsidP="1896D8E0" w:rsidRDefault="008418DF" w14:paraId="7866228C" w14:textId="3BFB8DB9">
      <w:pPr>
        <w:ind w:right="-143"/>
        <w:rPr>
          <w:highlight w:val="yellow"/>
        </w:rPr>
      </w:pPr>
      <w:r w:rsidR="008418DF">
        <w:rPr/>
        <w:t>Tagit bort information kring dokumentation av blodsmitta som uppmärksamhetsinformation då det enligt regionalt beslut inte ska dokumenteras på det viset längre</w:t>
      </w:r>
      <w:r w:rsidR="008418DF">
        <w:rPr/>
        <w:t>. </w:t>
      </w:r>
      <w:r w:rsidR="008418DF">
        <w:rPr/>
        <w:t xml:space="preserve"> </w:t>
      </w:r>
      <w:r>
        <w:br/>
      </w:r>
      <w:r w:rsidR="44BA4609">
        <w:rPr/>
        <w:t>U</w:t>
      </w:r>
      <w:r w:rsidR="44BA4609">
        <w:rPr/>
        <w:t xml:space="preserve">ppdaterat </w:t>
      </w:r>
      <w:r w:rsidR="0278E0F7">
        <w:rPr/>
        <w:t xml:space="preserve">ett </w:t>
      </w:r>
      <w:r w:rsidR="44BA4609">
        <w:rPr/>
        <w:t>enval</w:t>
      </w:r>
      <w:r w:rsidR="44BA4609">
        <w:rPr/>
        <w:t xml:space="preserve"> under sökord Smittorisk från “Ingen känd” till “-”.</w:t>
      </w:r>
    </w:p>
    <w:sdt>
      <w:sdtPr>
        <w:id w:val="-88094380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185A39" w:rsidP="00646B2A" w:rsidRDefault="00185A39" w14:paraId="77BED3EF" w14:textId="6236A75A">
          <w:pPr>
            <w:pStyle w:val="Innehll1"/>
          </w:pPr>
          <w:r>
            <w:t>Innehåll</w:t>
          </w:r>
        </w:p>
        <w:p w:rsidR="00646B2A" w:rsidP="00646B2A" w:rsidRDefault="00646B2A" w14:paraId="05750D1F" w14:textId="34ACB15E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"1-4" \h \z \u </w:instrText>
          </w:r>
          <w:r>
            <w:fldChar w:fldCharType="separate"/>
          </w:r>
          <w:hyperlink w:history="1" w:anchor="_Toc223420766">
            <w:r w:rsidRPr="00FA1912">
              <w:rPr>
                <w:rStyle w:val="Hyperlnk"/>
                <w:rFonts w:eastAsia="MS Gothic"/>
                <w:noProof/>
              </w:rPr>
              <w:t>Varningar och begränsning av vårdinsats i Melior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68506A5" w14:textId="5DF2D97C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67">
            <w:r w:rsidRPr="00FA1912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685CE478" w14:textId="166A3AA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68">
            <w:r w:rsidRPr="00FA1912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4EB5CB99" w14:textId="55B7B40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69">
            <w:r w:rsidRPr="00FA1912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F509E06" w14:textId="3B54E1C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0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42CB262B" w14:textId="6ED0640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1">
            <w:r w:rsidRPr="00FA1912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06841F3C" w14:textId="7BAC7AA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2">
            <w:r w:rsidRPr="00FA1912">
              <w:rPr>
                <w:rStyle w:val="Hyperlnk"/>
                <w:rFonts w:eastAsia="MS Gothic"/>
                <w:noProof/>
              </w:rPr>
              <w:t>Läkemedelsöverkänslighet = Varningstriangel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5D65D5BD" wp14:editId="26C59837">
                  <wp:extent cx="228600" cy="209550"/>
                  <wp:effectExtent l="0" t="0" r="0" b="0"/>
                  <wp:docPr id="1375434065" name="Bildobjekt 2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15AEEB95" w14:textId="08FD4C77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3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290821A" w14:textId="3FCB382E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4">
            <w:r w:rsidRPr="00FA1912">
              <w:rPr>
                <w:rStyle w:val="Hyperlnk"/>
                <w:rFonts w:eastAsia="MS Gothic"/>
                <w:noProof/>
              </w:rPr>
              <w:t>Registrering av Varning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CDC0A85" w14:textId="43EACD9B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5">
            <w:r w:rsidRPr="00FA1912">
              <w:rPr>
                <w:rStyle w:val="Hyperlnk"/>
                <w:rFonts w:eastAsia="MS Gothic"/>
                <w:noProof/>
              </w:rPr>
              <w:t>Överkänslighet = Utropstecknet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056D46AF" wp14:editId="4C3D4CBD">
                  <wp:extent cx="228600" cy="209550"/>
                  <wp:effectExtent l="0" t="0" r="0" b="0"/>
                  <wp:docPr id="1802618737" name="Bildobjekt 8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108C5986" w14:textId="70E8475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6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3532EE9" w14:textId="67135C62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7">
            <w:r w:rsidRPr="00FA1912">
              <w:rPr>
                <w:rStyle w:val="Hyperlnk"/>
                <w:rFonts w:eastAsia="MS Gothic"/>
                <w:noProof/>
              </w:rPr>
              <w:t>Registrering av Överkänslighet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593B9A8D" w14:textId="6A98FEEF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8">
            <w:r w:rsidRPr="00FA1912">
              <w:rPr>
                <w:rStyle w:val="Hyperlnk"/>
                <w:rFonts w:eastAsia="MS Gothic"/>
                <w:noProof/>
              </w:rPr>
              <w:t>Smittorisk = Utropstecknet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66B5CC18" wp14:editId="6763A1F6">
                  <wp:extent cx="228600" cy="209550"/>
                  <wp:effectExtent l="0" t="0" r="0" b="0"/>
                  <wp:docPr id="1095553189" name="Bildobjekt 12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5EA50171" w14:textId="5D3F7538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79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B352D4E" w14:textId="78FBC8A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0">
            <w:r w:rsidRPr="00FA1912">
              <w:rPr>
                <w:rStyle w:val="Hyperlnk"/>
                <w:rFonts w:eastAsia="MS Gothic"/>
                <w:noProof/>
              </w:rPr>
              <w:t>Registrering av Smittorisk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421800B2" w14:textId="30C825F9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1">
            <w:r w:rsidRPr="00FA1912">
              <w:rPr>
                <w:rStyle w:val="Hyperlnk"/>
                <w:rFonts w:eastAsia="MS Gothic" w:cs="Segoe UI"/>
                <w:noProof/>
              </w:rPr>
              <w:t>Observera (begränsning av vårdinsats) = Blå ring </w:t>
            </w:r>
            <w:r w:rsidRPr="00FA1912">
              <w:rPr>
                <w:rStyle w:val="Hyperlnk"/>
                <w:rFonts w:ascii="Segoe UI" w:hAnsi="Segoe UI" w:eastAsia="MS Gothic" w:cs="Segoe UI"/>
                <w:noProof/>
                <w:sz w:val="18"/>
                <w:szCs w:val="18"/>
              </w:rPr>
              <w:drawing>
                <wp:inline distT="0" distB="0" distL="0" distR="0" wp14:anchorId="7449541F" wp14:editId="3C2D2FD5">
                  <wp:extent cx="226695" cy="226695"/>
                  <wp:effectExtent l="0" t="0" r="1905" b="1905"/>
                  <wp:docPr id="682040573" name="Bildobjekt 13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695" cy="226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DDF9424" w14:textId="185A176D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2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542FCFF" w14:textId="0E024614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3">
            <w:r w:rsidRPr="00FA1912">
              <w:rPr>
                <w:rStyle w:val="Hyperlnk"/>
                <w:rFonts w:eastAsia="MS Gothic"/>
                <w:noProof/>
              </w:rPr>
              <w:t>Vid upprättande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25F0AD43" w14:textId="2D01DC3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4">
            <w:r w:rsidRPr="00FA1912">
              <w:rPr>
                <w:rStyle w:val="Hyperlnk"/>
                <w:rFonts w:eastAsia="MS Gothic"/>
                <w:noProof/>
              </w:rPr>
              <w:t>När beslut om begränsning upphör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1D33A91A" w14:textId="6722660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5">
            <w:r w:rsidRPr="00FA1912">
              <w:rPr>
                <w:rStyle w:val="Hyperlnk"/>
                <w:rFonts w:eastAsia="MS Gothic"/>
                <w:noProof/>
              </w:rPr>
              <w:t>Signering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61EB020A" w14:textId="6F22126C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6">
            <w:r w:rsidRPr="00FA1912">
              <w:rPr>
                <w:rStyle w:val="Hyperlnk"/>
                <w:rFonts w:eastAsia="MS Gothic"/>
                <w:noProof/>
              </w:rPr>
              <w:t>Spårbarhet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0FBA314C" w14:textId="1EBC2675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7">
            <w:r w:rsidRPr="00FA1912">
              <w:rPr>
                <w:rStyle w:val="Hyperlnk"/>
                <w:rFonts w:eastAsia="MS Gothic"/>
                <w:noProof/>
              </w:rPr>
              <w:t>Journalföring i samband med ställningstagande om vårdbegränsningar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46B2A" w:rsidP="00646B2A" w:rsidRDefault="00646B2A" w14:paraId="7501E727" w14:textId="57640096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3420788">
            <w:r w:rsidRPr="00FA1912">
              <w:rPr>
                <w:rStyle w:val="Hyperlnk"/>
                <w:rFonts w:eastAsia="MS Gothic"/>
                <w:noProof/>
              </w:rPr>
              <w:t>Källförteckning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85A39" w:rsidP="00646B2A" w:rsidRDefault="00646B2A" w14:paraId="6ED568D0" w14:textId="650DCC5C">
          <w:pPr>
            <w:pStyle w:val="Innehll1"/>
          </w:pPr>
          <w:r>
            <w:fldChar w:fldCharType="end"/>
          </w:r>
        </w:p>
      </w:sdtContent>
    </w:sdt>
    <w:p w:rsidR="00B405A1" w:rsidP="00185A39" w:rsidRDefault="00B405A1" w14:paraId="1FC6584C" w14:textId="751F7AF2">
      <w:pPr>
        <w:pStyle w:val="Innehll1"/>
      </w:pP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9"/>
      <w:bookmarkStart w:name="_Toc223420490" w:id="10"/>
      <w:bookmarkStart w:name="_Toc223420769" w:id="11"/>
      <w:bookmarkEnd w:id="8"/>
      <w:r>
        <w:t>Förutsättningar</w:t>
      </w:r>
      <w:bookmarkEnd w:id="9"/>
      <w:bookmarkEnd w:id="10"/>
      <w:bookmarkEnd w:id="11"/>
    </w:p>
    <w:p w:rsidR="008418DF" w:rsidP="008418DF" w:rsidRDefault="008418DF" w14:paraId="406D526A" w14:textId="77777777">
      <w:pPr>
        <w:ind w:right="-143"/>
      </w:pPr>
      <w:r w:rsidRPr="008418DF">
        <w:t>Om varningsknappar visas på journalen är knapparna ”klickbara” tillbaka till den anteckning där varningen skapades. </w:t>
      </w:r>
    </w:p>
    <w:p w:rsidR="009A32ED" w:rsidP="008418DF" w:rsidRDefault="008418DF" w14:paraId="7CCE59AC" w14:textId="0DFD1077">
      <w:pPr>
        <w:pStyle w:val="Rubrik3"/>
      </w:pPr>
      <w:bookmarkStart w:name="_Toc223420770" w:id="12"/>
      <w:r>
        <w:t>Ansvar</w:t>
      </w:r>
      <w:bookmarkEnd w:id="12"/>
    </w:p>
    <w:p w:rsidR="009A32ED" w:rsidP="009A32ED" w:rsidRDefault="008418DF" w14:paraId="135305BC" w14:textId="7FD06163">
      <w:pPr>
        <w:ind w:right="-143"/>
      </w:pPr>
      <w:r w:rsidRPr="008418DF">
        <w:t>Se respektive varningsmarkering under rubrik </w:t>
      </w:r>
      <w:r>
        <w:rPr>
          <w:rStyle w:val="Hyperlnk"/>
        </w:rPr>
        <w:t>Utförande</w:t>
      </w:r>
      <w:r w:rsidRPr="008418DF">
        <w:t>. </w:t>
      </w:r>
    </w:p>
    <w:p w:rsidR="006A7E8C" w:rsidP="006A7E8C" w:rsidRDefault="009A32ED" w14:paraId="6C45752F" w14:textId="77777777">
      <w:pPr>
        <w:pStyle w:val="Rubrik2"/>
        <w:ind w:right="-143"/>
        <w:rPr>
          <w:color w:val="auto"/>
        </w:rPr>
      </w:pPr>
      <w:bookmarkStart w:name="_Toc100327192" w:id="13"/>
      <w:bookmarkStart w:name="_Toc223420491" w:id="14"/>
      <w:bookmarkStart w:name="_Toc223420771" w:id="15"/>
      <w:r w:rsidRPr="00065A6B">
        <w:rPr>
          <w:color w:val="auto"/>
        </w:rPr>
        <w:t>Utförande</w:t>
      </w:r>
      <w:bookmarkEnd w:id="13"/>
      <w:bookmarkEnd w:id="14"/>
      <w:bookmarkEnd w:id="15"/>
    </w:p>
    <w:p w:rsidRPr="008418DF" w:rsidR="008418DF" w:rsidP="006A7E8C" w:rsidRDefault="008418DF" w14:paraId="28E34949" w14:textId="31AA45D3">
      <w:pPr>
        <w:pStyle w:val="Rubrik3"/>
        <w:rPr>
          <w:color w:val="auto"/>
        </w:rPr>
      </w:pPr>
      <w:bookmarkStart w:name="_Toc223420772" w:id="16"/>
      <w:r w:rsidRPr="008418DF">
        <w:rPr>
          <w:rStyle w:val="Rubrik3Char"/>
        </w:rPr>
        <w:t>Läkemedelsöverkänslighet = Varningstriangel</w:t>
      </w:r>
      <w:r w:rsidRPr="008418DF">
        <w:t> </w:t>
      </w:r>
      <w:r w:rsidRPr="008418DF">
        <w:rPr>
          <w:noProof/>
        </w:rPr>
        <w:drawing>
          <wp:inline distT="0" distB="0" distL="0" distR="0" wp14:anchorId="7F4C303B" wp14:editId="0D46DEA2">
            <wp:extent cx="228600" cy="209550"/>
            <wp:effectExtent l="0" t="0" r="0" b="0"/>
            <wp:docPr id="1651715553" name="Bildobjekt 2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6"/>
      <w:r w:rsidRPr="008418DF">
        <w:t> </w:t>
      </w:r>
    </w:p>
    <w:p w:rsidRPr="008418DF" w:rsidR="008418DF" w:rsidP="008418DF" w:rsidRDefault="008418DF" w14:paraId="327F471E" w14:textId="77777777">
      <w:pPr>
        <w:ind w:right="-143"/>
      </w:pPr>
      <w:r w:rsidRPr="008418DF">
        <w:t>Varningstriangeln ska användas vid registrering av läkemedelsöverkänslighet. Avsikten med att registreringen är att förhindra att patienten utsätts för reaktioner orsakade av läkemedel. </w:t>
      </w:r>
    </w:p>
    <w:p w:rsidRPr="008418DF" w:rsidR="008418DF" w:rsidP="0013620F" w:rsidRDefault="008418DF" w14:paraId="57D81C52" w14:textId="77777777">
      <w:pPr>
        <w:pStyle w:val="Rubrik3"/>
      </w:pPr>
      <w:bookmarkStart w:name="_Toc223420773" w:id="17"/>
      <w:r w:rsidRPr="008418DF">
        <w:t>Ansvar</w:t>
      </w:r>
      <w:bookmarkEnd w:id="17"/>
      <w:r w:rsidRPr="008418DF">
        <w:t> </w:t>
      </w:r>
    </w:p>
    <w:p w:rsidR="008418DF" w:rsidP="008418DF" w:rsidRDefault="008418DF" w14:paraId="18C34823" w14:textId="77777777">
      <w:pPr>
        <w:ind w:right="-143"/>
      </w:pPr>
      <w:r w:rsidRPr="008418DF">
        <w:t>Ansvar för registrering av ”Varning” åligger läkare. Läkarsekreterare kan registrera om ATC-kod framgår av diktatet. Läkare ansvarar för att snarast signera registreringen. </w:t>
      </w:r>
    </w:p>
    <w:p w:rsidRPr="008418DF" w:rsidR="008418DF" w:rsidP="0013620F" w:rsidRDefault="008418DF" w14:paraId="7E43630C" w14:textId="77777777">
      <w:pPr>
        <w:pStyle w:val="Rubrik3"/>
      </w:pPr>
      <w:bookmarkStart w:name="_Toc223420774" w:id="18"/>
      <w:r w:rsidRPr="008418DF">
        <w:t>Registrering av Varning</w:t>
      </w:r>
      <w:bookmarkEnd w:id="18"/>
      <w:r w:rsidRPr="008418DF">
        <w:t> </w:t>
      </w:r>
    </w:p>
    <w:p w:rsidRPr="008418DF" w:rsidR="008418DF" w:rsidP="008418DF" w:rsidRDefault="008418DF" w14:paraId="7A3BC1FC" w14:textId="77777777">
      <w:pPr>
        <w:ind w:right="-143"/>
      </w:pPr>
      <w:r w:rsidRPr="008418DF">
        <w:t>Registreringen sker i </w:t>
      </w:r>
      <w:r w:rsidRPr="008418DF">
        <w:rPr>
          <w:i/>
          <w:iCs/>
        </w:rPr>
        <w:t>Läkemedelsmodulen</w:t>
      </w:r>
      <w:r w:rsidRPr="008418DF">
        <w:t> via val av ATC-kod, I kommentarfältet beskrivs reaktioner samt eventuell hänvisning till journalanteckning eller annan dokumentation, </w:t>
      </w:r>
      <w:proofErr w:type="gramStart"/>
      <w:r w:rsidRPr="008418DF">
        <w:t>t.ex.</w:t>
      </w:r>
      <w:proofErr w:type="gramEnd"/>
      <w:r w:rsidRPr="008418DF">
        <w:t> röntgensvar, annan enhets anteckning etc. </w:t>
      </w:r>
    </w:p>
    <w:p w:rsidRPr="008418DF" w:rsidR="008418DF" w:rsidP="008418DF" w:rsidRDefault="008418DF" w14:paraId="618DDFD9" w14:textId="77777777">
      <w:pPr>
        <w:pStyle w:val="Punktlista"/>
      </w:pPr>
      <w:r w:rsidRPr="008418DF">
        <w:t>Välj patient (journalmappen öppen). </w:t>
      </w:r>
    </w:p>
    <w:p w:rsidRPr="008418DF" w:rsidR="008418DF" w:rsidP="008418DF" w:rsidRDefault="008418DF" w14:paraId="1AD1790D" w14:textId="77777777">
      <w:pPr>
        <w:pStyle w:val="Punktlista"/>
      </w:pPr>
      <w:r w:rsidRPr="008418DF">
        <w:t>Öppna menyn Läkemedel – Läkemedelsöverkänslighet. </w:t>
      </w:r>
    </w:p>
    <w:p w:rsidRPr="008418DF" w:rsidR="008418DF" w:rsidP="008418DF" w:rsidRDefault="008418DF" w14:paraId="711DACCE" w14:textId="77777777">
      <w:pPr>
        <w:pStyle w:val="Punktlista"/>
      </w:pPr>
      <w:r w:rsidRPr="008418DF">
        <w:t>Klicka på </w:t>
      </w:r>
      <w:r w:rsidRPr="008418DF">
        <w:rPr>
          <w:i/>
          <w:iCs/>
        </w:rPr>
        <w:t>Lägg till</w:t>
      </w:r>
      <w:r w:rsidRPr="008418DF">
        <w:t> och välj </w:t>
      </w:r>
      <w:r w:rsidRPr="008418DF">
        <w:rPr>
          <w:i/>
          <w:iCs/>
        </w:rPr>
        <w:t>ATC-kod </w:t>
      </w:r>
      <w:r w:rsidRPr="008418DF">
        <w:t>genom att klicka </w:t>
      </w:r>
      <w:proofErr w:type="gramStart"/>
      <w:r w:rsidRPr="008418DF">
        <w:t>på ?</w:t>
      </w:r>
      <w:proofErr w:type="gramEnd"/>
      <w:r w:rsidRPr="008418DF">
        <w:t>-tecknet (A-V). </w:t>
      </w:r>
      <w:r w:rsidRPr="008418DF">
        <w:br/>
      </w:r>
      <w:r w:rsidRPr="008418DF">
        <w:t>I samband med registreringen beskrivs reaktionen i detalj och värdering av säkerheten i sambandet mellan sannolik orsak och reaktion i kommentarfältet. För mer information se riktlinje ”</w:t>
      </w:r>
      <w:hyperlink w:tgtFrame="_blank" w:history="1" r:id="rId15">
        <w:r w:rsidRPr="008418DF">
          <w:rPr>
            <w:rStyle w:val="Hyperlnk"/>
          </w:rPr>
          <w:t>Läkemedelsdokumentation på SÄS</w:t>
        </w:r>
      </w:hyperlink>
      <w:r w:rsidRPr="008418DF">
        <w:t>” [3]. </w:t>
      </w:r>
    </w:p>
    <w:p w:rsidRPr="008418DF" w:rsidR="008418DF" w:rsidP="008418DF" w:rsidRDefault="008418DF" w14:paraId="1A7B46CF" w14:textId="19C6C596">
      <w:pPr>
        <w:ind w:right="-143"/>
      </w:pPr>
      <w:r w:rsidRPr="008418DF">
        <w:rPr>
          <w:noProof/>
        </w:rPr>
        <w:drawing>
          <wp:inline distT="0" distB="0" distL="0" distR="0" wp14:anchorId="3885C0D4" wp14:editId="51E6AEA5">
            <wp:extent cx="2628900" cy="1866900"/>
            <wp:effectExtent l="0" t="0" r="0" b="0"/>
            <wp:docPr id="952401190" name="Bildobjekt 4" descr="Skärmklipp från patientjournalen Melior som visar hur information om varning för t.ex. läkemedelsöverkänslighet dokumenter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kärmklipp från patientjournalen Melior som visar hur information om varning för t.ex. läkemedelsöverkänslighet dokumenteras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18DF">
        <w:t> </w:t>
      </w:r>
      <w:r w:rsidRPr="008418DF">
        <w:br/>
      </w:r>
      <w:r w:rsidRPr="008418DF">
        <w:t> </w:t>
      </w:r>
    </w:p>
    <w:p w:rsidRPr="008418DF" w:rsidR="008418DF" w:rsidP="008418DF" w:rsidRDefault="008418DF" w14:paraId="0658434D" w14:textId="77777777">
      <w:pPr>
        <w:pStyle w:val="Punktlista"/>
      </w:pPr>
      <w:r w:rsidRPr="008418DF">
        <w:t>Klicka på OK. </w:t>
      </w:r>
    </w:p>
    <w:p w:rsidRPr="008418DF" w:rsidR="008418DF" w:rsidP="008418DF" w:rsidRDefault="008418DF" w14:paraId="031A9B1F" w14:textId="77777777">
      <w:pPr>
        <w:pStyle w:val="Punktlista"/>
      </w:pPr>
      <w:r w:rsidRPr="008418DF">
        <w:t>Varningstriangeln skapas även vid utsättningsorsak ”Överkänslighet” i läkemedelsmodulen. </w:t>
      </w:r>
    </w:p>
    <w:p w:rsidRPr="008418DF" w:rsidR="008418DF" w:rsidP="008418DF" w:rsidRDefault="008418DF" w14:paraId="4B711FE0" w14:textId="61BA137D">
      <w:pPr>
        <w:ind w:right="-143"/>
        <w:rPr>
          <w:rStyle w:val="Rubrik3Char"/>
        </w:rPr>
      </w:pPr>
      <w:bookmarkStart w:name="_Toc223420775" w:id="19"/>
      <w:r w:rsidRPr="008418DF">
        <w:rPr>
          <w:rStyle w:val="Rubrik3Char"/>
        </w:rPr>
        <w:t>Överkänslighet = Utropstecknet </w:t>
      </w:r>
      <w:r w:rsidRPr="008418DF">
        <w:rPr>
          <w:rStyle w:val="Rubrik3Char"/>
          <w:noProof/>
        </w:rPr>
        <w:drawing>
          <wp:inline distT="0" distB="0" distL="0" distR="0" wp14:anchorId="680C36C6" wp14:editId="68E985AC">
            <wp:extent cx="228600" cy="209550"/>
            <wp:effectExtent l="0" t="0" r="0" b="0"/>
            <wp:docPr id="936793383" name="Bildobjekt 8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9"/>
      <w:r w:rsidRPr="008418DF">
        <w:rPr>
          <w:rStyle w:val="Rubrik3Char"/>
        </w:rPr>
        <w:t> </w:t>
      </w:r>
    </w:p>
    <w:p w:rsidRPr="008418DF" w:rsidR="008418DF" w:rsidP="008418DF" w:rsidRDefault="008418DF" w14:paraId="4DE0A2F9" w14:textId="77777777">
      <w:r w:rsidRPr="008418DF">
        <w:t>Utropstecknet ska användas vid registrering av </w:t>
      </w:r>
      <w:r w:rsidRPr="008418DF">
        <w:rPr>
          <w:i/>
          <w:iCs/>
        </w:rPr>
        <w:t>Överkänslighet</w:t>
      </w:r>
      <w:r w:rsidRPr="008418DF">
        <w:t> och </w:t>
      </w:r>
      <w:r w:rsidRPr="008418DF">
        <w:rPr>
          <w:i/>
          <w:iCs/>
        </w:rPr>
        <w:t>Smittorisk</w:t>
      </w:r>
      <w:r w:rsidRPr="008418DF">
        <w:t xml:space="preserve">. Avsikten med registreringen är att </w:t>
      </w:r>
      <w:r w:rsidRPr="008418DF">
        <w:t>förebygga att patient utsätts för substanser/ämnen, </w:t>
      </w:r>
      <w:r w:rsidRPr="008418DF">
        <w:rPr>
          <w:i/>
          <w:iCs/>
        </w:rPr>
        <w:t>exklusive läkemedel</w:t>
      </w:r>
      <w:r w:rsidRPr="008418DF">
        <w:t>, som har lett till överkänslighetsreaktion. </w:t>
      </w:r>
    </w:p>
    <w:p w:rsidRPr="00634667" w:rsidR="008418DF" w:rsidP="0013620F" w:rsidRDefault="008418DF" w14:paraId="3DD9190D" w14:textId="77777777">
      <w:pPr>
        <w:pStyle w:val="Rubrik3"/>
      </w:pPr>
      <w:bookmarkStart w:name="_Toc223420776" w:id="20"/>
      <w:r w:rsidRPr="00634667">
        <w:t>Ansvar</w:t>
      </w:r>
      <w:bookmarkEnd w:id="20"/>
      <w:r w:rsidRPr="00634667">
        <w:t> </w:t>
      </w:r>
    </w:p>
    <w:p w:rsidRPr="008418DF" w:rsidR="008418DF" w:rsidP="008418DF" w:rsidRDefault="008418DF" w14:paraId="4CA2E575" w14:textId="77777777">
      <w:r w:rsidRPr="008418DF">
        <w:t>Ansvar för registrering av ”Överkänslighet” åligger läkare eller sjuksköterska. Läkarsekreterare kan registrera vid diktat.  </w:t>
      </w:r>
    </w:p>
    <w:p w:rsidRPr="00634667" w:rsidR="008418DF" w:rsidP="0013620F" w:rsidRDefault="008418DF" w14:paraId="20499C43" w14:textId="77777777">
      <w:pPr>
        <w:pStyle w:val="Rubrik3"/>
      </w:pPr>
      <w:bookmarkStart w:name="_Toc223420777" w:id="21"/>
      <w:r w:rsidRPr="00634667">
        <w:t>Registrering av Överkänslighet</w:t>
      </w:r>
      <w:bookmarkEnd w:id="21"/>
      <w:r w:rsidRPr="00634667">
        <w:t> </w:t>
      </w:r>
    </w:p>
    <w:p w:rsidRPr="008418DF" w:rsidR="008418DF" w:rsidP="008418DF" w:rsidRDefault="008418DF" w14:paraId="42FC7940" w14:textId="77777777">
      <w:r w:rsidRPr="008418DF">
        <w:t>Registrering görs genom journalanteckning i mallen </w:t>
      </w:r>
      <w:r w:rsidRPr="008418DF">
        <w:rPr>
          <w:i/>
          <w:iCs/>
        </w:rPr>
        <w:t>Patientbakgrund</w:t>
      </w:r>
      <w:r w:rsidRPr="008418DF">
        <w:t> på sökordet ”Överkänslighet”. </w:t>
      </w:r>
    </w:p>
    <w:p w:rsidRPr="008418DF" w:rsidR="008418DF" w:rsidP="008418DF" w:rsidRDefault="008418DF" w14:paraId="6AC46DF4" w14:textId="77777777">
      <w:r w:rsidRPr="008418DF">
        <w:t>I samband med registreringen beskrivs reaktionen i detalj och värdering av säkerheten i sambandet mellan sannolik orsak och reaktion i fritextsfältet. </w:t>
      </w:r>
    </w:p>
    <w:p w:rsidRPr="008418DF" w:rsidR="008418DF" w:rsidP="008418DF" w:rsidRDefault="008418DF" w14:paraId="0CBB2474" w14:textId="77777777">
      <w:pPr>
        <w:pStyle w:val="Punktlista"/>
      </w:pPr>
      <w:r w:rsidRPr="008418DF">
        <w:t>Välj patient och klicka på </w:t>
      </w:r>
      <w:r w:rsidRPr="008418DF">
        <w:rPr>
          <w:i/>
          <w:iCs/>
        </w:rPr>
        <w:t>Journal</w:t>
      </w:r>
      <w:r w:rsidRPr="008418DF">
        <w:t>. </w:t>
      </w:r>
    </w:p>
    <w:p w:rsidRPr="008418DF" w:rsidR="008418DF" w:rsidP="008418DF" w:rsidRDefault="008418DF" w14:paraId="02721E88" w14:textId="77777777">
      <w:pPr>
        <w:pStyle w:val="Punktlista"/>
      </w:pPr>
      <w:r w:rsidRPr="008418DF">
        <w:t>Välj mallen </w:t>
      </w:r>
      <w:r w:rsidRPr="008418DF">
        <w:rPr>
          <w:i/>
          <w:iCs/>
        </w:rPr>
        <w:t>Patientbakgrund</w:t>
      </w:r>
      <w:r w:rsidRPr="008418DF">
        <w:t> och dokumentera på sökordet ”Överkänslighet”, välj ett av </w:t>
      </w:r>
      <w:proofErr w:type="spellStart"/>
      <w:r w:rsidRPr="008418DF">
        <w:t>envalen</w:t>
      </w:r>
      <w:proofErr w:type="spellEnd"/>
      <w:r w:rsidRPr="008418DF">
        <w:t>:  </w:t>
      </w:r>
    </w:p>
    <w:p w:rsidRPr="008418DF" w:rsidR="008418DF" w:rsidP="008418DF" w:rsidRDefault="008418DF" w14:paraId="6F09F735" w14:textId="5CDBD791">
      <w:pPr>
        <w:pStyle w:val="Punktlista"/>
        <w:numPr>
          <w:ilvl w:val="1"/>
          <w:numId w:val="14"/>
        </w:numPr>
      </w:pPr>
      <w:r w:rsidRPr="008418DF">
        <w:t>Ingen känd (</w:t>
      </w:r>
      <w:r w:rsidRPr="008418DF">
        <w:rPr>
          <w:b/>
          <w:bCs/>
        </w:rPr>
        <w:t>OBS! </w:t>
      </w:r>
      <w:r w:rsidRPr="008418DF">
        <w:t>Genererar inte symbolen </w:t>
      </w:r>
      <w:r w:rsidRPr="008418DF">
        <w:rPr>
          <w:noProof/>
        </w:rPr>
        <w:drawing>
          <wp:inline distT="0" distB="0" distL="0" distR="0" wp14:anchorId="379E3557" wp14:editId="7A8509F4">
            <wp:extent cx="285750" cy="266700"/>
            <wp:effectExtent l="0" t="0" r="0" b="0"/>
            <wp:docPr id="5110764" name="Bildobjekt 7" descr="Bild på rött utropstecken som indikerar överkänslsighet och smittorisk i patientjournalen Melior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Bild på rött utropstecken som indikerar överkänslsighet och smittorisk i patientjournalen Melior., Bild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18DF">
        <w:t>) </w:t>
      </w:r>
    </w:p>
    <w:p w:rsidRPr="008418DF" w:rsidR="008418DF" w:rsidP="008418DF" w:rsidRDefault="008418DF" w14:paraId="6C5DA81C" w14:textId="77777777">
      <w:pPr>
        <w:pStyle w:val="Punktlista"/>
        <w:numPr>
          <w:ilvl w:val="1"/>
          <w:numId w:val="14"/>
        </w:numPr>
      </w:pPr>
      <w:r w:rsidRPr="008418DF">
        <w:t>Ja: (Ange ämne och beskrivande fritext) </w:t>
      </w:r>
    </w:p>
    <w:p w:rsidRPr="008418DF" w:rsidR="008418DF" w:rsidP="008418DF" w:rsidRDefault="008418DF" w14:paraId="600734AE" w14:textId="77777777">
      <w:pPr>
        <w:pStyle w:val="Punktlista"/>
        <w:numPr>
          <w:ilvl w:val="1"/>
          <w:numId w:val="14"/>
        </w:numPr>
      </w:pPr>
      <w:r w:rsidRPr="008418DF">
        <w:t>Allergi (Ange ämne och beskrivande fritext).  </w:t>
      </w:r>
    </w:p>
    <w:p w:rsidRPr="00B74EB8" w:rsidR="008418DF" w:rsidP="00B74EB8" w:rsidRDefault="008418DF" w14:paraId="3FDC15C0" w14:textId="77777777">
      <w:pPr>
        <w:rPr>
          <w:rFonts w:ascii="Verdana" w:hAnsi="Verdana"/>
          <w:b/>
          <w:bCs/>
          <w:sz w:val="28"/>
        </w:rPr>
      </w:pPr>
      <w:r w:rsidRPr="00B74EB8">
        <w:rPr>
          <w:b/>
          <w:bCs/>
        </w:rPr>
        <w:t>Definition av: </w:t>
      </w:r>
    </w:p>
    <w:p w:rsidRPr="008418DF" w:rsidR="008418DF" w:rsidP="008418DF" w:rsidRDefault="008418DF" w14:paraId="793B3B57" w14:textId="0C5BE03D">
      <w:r w:rsidRPr="008418DF">
        <w:t>Allergi = När immunsystemet reagerar på något ”vanligt ämne" och bildar antikroppar mot detta ämne är det frågan om allergi. Vid en allergi bildas "allergiantikroppar" (</w:t>
      </w:r>
      <w:proofErr w:type="spellStart"/>
      <w:r w:rsidRPr="008418DF">
        <w:t>lgE</w:t>
      </w:r>
      <w:proofErr w:type="spellEnd"/>
      <w:r w:rsidRPr="008418DF">
        <w:t>, immunglobulin E) mot ett speciellt ämne. Nästa gång allergikern kommer i kontakt med detta ämne startar en reaktion i kroppen, som visar sig i form av allergiska besvär. </w:t>
      </w:r>
    </w:p>
    <w:p w:rsidRPr="008418DF" w:rsidR="008418DF" w:rsidP="008418DF" w:rsidRDefault="008418DF" w14:paraId="70607B94" w14:textId="580B8FCF">
      <w:r w:rsidRPr="008418DF">
        <w:t>Överkänslighet = En överkänslig person kan reagera precis som en allergiker med symtom som </w:t>
      </w:r>
      <w:proofErr w:type="gramStart"/>
      <w:r w:rsidRPr="008418DF">
        <w:t>t.ex.</w:t>
      </w:r>
      <w:proofErr w:type="gramEnd"/>
      <w:r w:rsidRPr="008418DF">
        <w:t> nässelfeber, hösnuva och astma, men här är inte immunsystemet inblandat. Man definierar</w:t>
      </w:r>
      <w:r w:rsidRPr="008418DF">
        <w:tab/>
      </w:r>
      <w:r w:rsidRPr="008418DF">
        <w:t>det som att känsligheten för vanliga ämnen är sjukligt förhöjd i ett eller flera av kroppens organ. </w:t>
      </w:r>
    </w:p>
    <w:p w:rsidRPr="008418DF" w:rsidR="008418DF" w:rsidP="008418DF" w:rsidRDefault="008418DF" w14:paraId="4071CA16" w14:textId="77777777">
      <w:r w:rsidRPr="008418DF">
        <w:t>I fritexten beskrivs reaktionen i detalj och värdering av säkerheten i sambandet mellan sannolik orsak och reaktion. </w:t>
      </w:r>
    </w:p>
    <w:p w:rsidRPr="008418DF" w:rsidR="008418DF" w:rsidP="008418DF" w:rsidRDefault="008418DF" w14:paraId="6862886E" w14:textId="77777777">
      <w:r w:rsidRPr="008418DF">
        <w:t>Om </w:t>
      </w:r>
      <w:r w:rsidRPr="008418DF">
        <w:rPr>
          <w:i/>
          <w:iCs/>
        </w:rPr>
        <w:t>Patientbakgrund</w:t>
      </w:r>
      <w:r w:rsidRPr="008418DF">
        <w:t> redan finns startad väljs sökordet ”Överkänslighet” i denna. Det ska enbart finnas en ”Patientbakgrund” i patientens journal. </w:t>
      </w:r>
    </w:p>
    <w:p w:rsidRPr="008418DF" w:rsidR="008418DF" w:rsidP="008418DF" w:rsidRDefault="008418DF" w14:paraId="5E846E6A" w14:textId="3C5655AB">
      <w:pPr>
        <w:ind w:right="-143"/>
        <w:rPr>
          <w:rStyle w:val="Rubrik3Char"/>
        </w:rPr>
      </w:pPr>
      <w:bookmarkStart w:name="_Toc223420778" w:id="22"/>
      <w:r w:rsidRPr="008418DF">
        <w:rPr>
          <w:rStyle w:val="Rubrik3Char"/>
        </w:rPr>
        <w:t>Smittorisk = Utropstecknet </w:t>
      </w:r>
      <w:r w:rsidRPr="008418DF">
        <w:rPr>
          <w:rStyle w:val="Rubrik3Char"/>
          <w:noProof/>
        </w:rPr>
        <w:drawing>
          <wp:inline distT="0" distB="0" distL="0" distR="0" wp14:anchorId="144CB9E6" wp14:editId="60FBF0EB">
            <wp:extent cx="228600" cy="209550"/>
            <wp:effectExtent l="0" t="0" r="0" b="0"/>
            <wp:docPr id="1579701462" name="Bildobjekt 12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2"/>
      <w:r w:rsidRPr="008418DF">
        <w:rPr>
          <w:rStyle w:val="Rubrik3Char"/>
        </w:rPr>
        <w:t> </w:t>
      </w:r>
    </w:p>
    <w:p w:rsidRPr="008418DF" w:rsidR="008418DF" w:rsidP="008418DF" w:rsidRDefault="008418DF" w14:paraId="198CCBC0" w14:textId="6E68CB24">
      <w:r w:rsidRPr="008418DF">
        <w:t>Utropstecknet ska användas vid registrerin</w:t>
      </w:r>
      <w:r>
        <w:t xml:space="preserve">g av Smittorisk och </w:t>
      </w:r>
      <w:r w:rsidRPr="008418DF">
        <w:t>Överkänslighet. </w:t>
      </w:r>
    </w:p>
    <w:p w:rsidRPr="00634667" w:rsidR="008418DF" w:rsidP="0013620F" w:rsidRDefault="008418DF" w14:paraId="4971462A" w14:textId="77777777">
      <w:pPr>
        <w:pStyle w:val="Rubrik3"/>
      </w:pPr>
      <w:bookmarkStart w:name="_Toc223420779" w:id="23"/>
      <w:r w:rsidRPr="00634667">
        <w:t>Ansvar</w:t>
      </w:r>
      <w:bookmarkEnd w:id="23"/>
      <w:r w:rsidRPr="00634667">
        <w:t> </w:t>
      </w:r>
    </w:p>
    <w:p w:rsidRPr="008418DF" w:rsidR="008418DF" w:rsidP="008418DF" w:rsidRDefault="008418DF" w14:paraId="199D82B1" w14:textId="77777777">
      <w:r w:rsidRPr="008418DF">
        <w:t>Ansvar för registrering av ”Smittorisk” åligger behandlande läkare eller sjuksköterska. Läkarsekreterare kan registrera vid diktat. </w:t>
      </w:r>
    </w:p>
    <w:p w:rsidRPr="00634667" w:rsidR="008418DF" w:rsidP="0013620F" w:rsidRDefault="008418DF" w14:paraId="4AAB7413" w14:textId="77777777">
      <w:pPr>
        <w:pStyle w:val="Rubrik3"/>
      </w:pPr>
      <w:bookmarkStart w:name="_Toc223420780" w:id="24"/>
      <w:r w:rsidRPr="00634667">
        <w:t>Registrering av Smittorisk</w:t>
      </w:r>
      <w:bookmarkEnd w:id="24"/>
      <w:r w:rsidRPr="00634667">
        <w:t> </w:t>
      </w:r>
    </w:p>
    <w:p w:rsidR="008418DF" w:rsidP="007168EF" w:rsidRDefault="008418DF" w14:paraId="2E90EA73" w14:textId="4B41B943">
      <w:r w:rsidRPr="008418DF">
        <w:t xml:space="preserve">Registrering görs genom journalanteckning i </w:t>
      </w:r>
      <w:r w:rsidR="007168EF">
        <w:t>m</w:t>
      </w:r>
      <w:r w:rsidRPr="008418DF">
        <w:t>allen</w:t>
      </w:r>
      <w:r w:rsidR="007168EF">
        <w:t xml:space="preserve"> </w:t>
      </w:r>
      <w:r w:rsidRPr="008418DF">
        <w:t>Patientbakgrund på sökordet ”Smittorisk”. </w:t>
      </w:r>
    </w:p>
    <w:p w:rsidRPr="007168EF" w:rsidR="007168EF" w:rsidP="007168EF" w:rsidRDefault="007168EF" w14:paraId="75434CC4" w14:textId="77777777">
      <w:pPr>
        <w:pStyle w:val="Punktlista"/>
      </w:pPr>
      <w:r w:rsidRPr="007168EF">
        <w:t>Välj patient och klicka på Journal. </w:t>
      </w:r>
    </w:p>
    <w:p w:rsidRPr="007168EF" w:rsidR="007168EF" w:rsidP="007168EF" w:rsidRDefault="007168EF" w14:paraId="31E50286" w14:textId="77777777">
      <w:pPr>
        <w:pStyle w:val="Punktlista"/>
      </w:pPr>
      <w:r w:rsidRPr="007168EF">
        <w:t>Välj mallen Patientbakgrund och dokumentera på sökordet ”Smittorisk”, välj ett av </w:t>
      </w:r>
      <w:proofErr w:type="spellStart"/>
      <w:r w:rsidRPr="007168EF">
        <w:t>envalen</w:t>
      </w:r>
      <w:proofErr w:type="spellEnd"/>
      <w:r w:rsidRPr="007168EF">
        <w:t>: </w:t>
      </w:r>
    </w:p>
    <w:p w:rsidRPr="007168EF" w:rsidR="007168EF" w:rsidP="5EDBAC5D" w:rsidRDefault="007168EF" w14:paraId="399EAA51" w14:textId="488B9A33">
      <w:pPr>
        <w:pStyle w:val="Punktlista"/>
        <w:rPr/>
      </w:pPr>
      <w:r w:rsidR="3C28A210">
        <w:rPr/>
        <w:t xml:space="preserve">- </w:t>
      </w:r>
      <w:r w:rsidR="007168EF">
        <w:rPr/>
        <w:t>(</w:t>
      </w:r>
      <w:r w:rsidRPr="5EDBAC5D" w:rsidR="007168EF">
        <w:rPr>
          <w:b w:val="1"/>
          <w:bCs w:val="1"/>
        </w:rPr>
        <w:t>OBS!</w:t>
      </w:r>
      <w:r w:rsidR="007168EF">
        <w:rPr/>
        <w:t> Genererar inte </w:t>
      </w:r>
      <w:r w:rsidR="007168EF">
        <w:rPr/>
        <w:t>symbolen )</w:t>
      </w:r>
      <w:r w:rsidR="007168EF">
        <w:rPr/>
        <w:t> </w:t>
      </w:r>
    </w:p>
    <w:p w:rsidRPr="007168EF" w:rsidR="007168EF" w:rsidP="007168EF" w:rsidRDefault="007168EF" w14:paraId="16F8C4E3" w14:textId="77777777">
      <w:pPr>
        <w:pStyle w:val="Punktlista"/>
        <w:numPr>
          <w:ilvl w:val="1"/>
          <w:numId w:val="14"/>
        </w:numPr>
      </w:pPr>
      <w:r w:rsidRPr="007168EF">
        <w:t>Bärare av resistenta bakterier (Ange typ och beskrivande fritext) </w:t>
      </w:r>
      <w:r w:rsidRPr="007168EF">
        <w:br/>
      </w:r>
      <w:r w:rsidRPr="007168EF">
        <w:t>Vid val av ”Bärare av resistenta bakterier” ska dokumentation även göras på sökordet ”Rutin resistenta bakterier”.  </w:t>
      </w:r>
    </w:p>
    <w:p w:rsidRPr="007168EF" w:rsidR="007168EF" w:rsidP="007168EF" w:rsidRDefault="007168EF" w14:paraId="60A5FBAD" w14:textId="77777777">
      <w:pPr>
        <w:pStyle w:val="Punktlista"/>
        <w:numPr>
          <w:ilvl w:val="0"/>
          <w:numId w:val="0"/>
        </w:numPr>
        <w:ind w:left="1712"/>
      </w:pPr>
      <w:r w:rsidRPr="007168EF">
        <w:t>Välj ett av </w:t>
      </w:r>
      <w:proofErr w:type="spellStart"/>
      <w:r w:rsidRPr="007168EF">
        <w:t>envalet</w:t>
      </w:r>
      <w:proofErr w:type="spellEnd"/>
      <w:r w:rsidRPr="007168EF">
        <w:t> enligt nedan: </w:t>
      </w:r>
    </w:p>
    <w:p w:rsidRPr="007168EF" w:rsidR="007168EF" w:rsidP="007168EF" w:rsidRDefault="007168EF" w14:paraId="5AB4F310" w14:textId="77777777">
      <w:pPr>
        <w:pStyle w:val="Punktlista"/>
        <w:numPr>
          <w:ilvl w:val="1"/>
          <w:numId w:val="14"/>
        </w:numPr>
      </w:pPr>
      <w:r w:rsidRPr="007168EF">
        <w:t>Riktlinje MRB används gällande rutiner och placering. </w:t>
      </w:r>
    </w:p>
    <w:p w:rsidRPr="007168EF" w:rsidR="007168EF" w:rsidP="007168EF" w:rsidRDefault="007168EF" w14:paraId="6ADD9722" w14:textId="77777777">
      <w:pPr>
        <w:pStyle w:val="Punktlista"/>
        <w:numPr>
          <w:ilvl w:val="1"/>
          <w:numId w:val="14"/>
        </w:numPr>
      </w:pPr>
      <w:r w:rsidRPr="007168EF">
        <w:t>Individuell anpassning gällande rutiner och placering. </w:t>
      </w:r>
    </w:p>
    <w:p w:rsidRPr="007168EF" w:rsidR="007168EF" w:rsidP="007168EF" w:rsidRDefault="007168EF" w14:paraId="51FBE9E3" w14:textId="77777777">
      <w:pPr>
        <w:pStyle w:val="Punktlista"/>
        <w:numPr>
          <w:ilvl w:val="1"/>
          <w:numId w:val="14"/>
        </w:numPr>
      </w:pPr>
      <w:r w:rsidRPr="007168EF">
        <w:t>Ej längre aktuellt. </w:t>
      </w:r>
    </w:p>
    <w:p w:rsidR="007168EF" w:rsidP="007168EF" w:rsidRDefault="007168EF" w14:paraId="0FCE1FB9" w14:textId="78DCBBD2">
      <w:pPr>
        <w:pStyle w:val="Rubrik3"/>
        <w:rPr>
          <w:rFonts w:ascii="Segoe UI" w:hAnsi="Segoe UI"/>
          <w:sz w:val="18"/>
          <w:szCs w:val="18"/>
        </w:rPr>
      </w:pPr>
      <w:bookmarkStart w:name="_Toc223420781" w:id="25"/>
      <w:r>
        <w:rPr>
          <w:rStyle w:val="normaltextrun"/>
          <w:rFonts w:cs="Segoe UI"/>
          <w:color w:val="000000"/>
          <w:sz w:val="30"/>
          <w:szCs w:val="30"/>
        </w:rPr>
        <w:t>Observera (begränsning av vårdinsats) = Blå ring </w:t>
      </w:r>
      <w:r>
        <w:rPr>
          <w:rStyle w:val="wacimagecontainer"/>
          <w:rFonts w:ascii="Segoe UI" w:hAnsi="Segoe UI" w:cs="Segoe UI"/>
          <w:noProof/>
          <w:color w:val="000000"/>
          <w:sz w:val="18"/>
          <w:szCs w:val="18"/>
        </w:rPr>
        <w:drawing>
          <wp:inline distT="0" distB="0" distL="0" distR="0" wp14:anchorId="0FE2EDEC" wp14:editId="5834B3A6">
            <wp:extent cx="226695" cy="226695"/>
            <wp:effectExtent l="0" t="0" r="1905" b="1905"/>
            <wp:docPr id="1922152853" name="Bildobjekt 13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" cy="22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5"/>
      <w:r>
        <w:rPr>
          <w:rStyle w:val="eop"/>
          <w:rFonts w:cs="Segoe UI"/>
          <w:color w:val="000000"/>
          <w:sz w:val="30"/>
          <w:szCs w:val="30"/>
        </w:rPr>
        <w:t> </w:t>
      </w:r>
    </w:p>
    <w:p w:rsidR="007168EF" w:rsidP="007168EF" w:rsidRDefault="007168EF" w14:paraId="71A3BD64" w14:textId="77777777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Den blå ringen används för att markera att någon form av begränsad vårdinsats finns. Begränsningarna kan se olika ut och omfatta allt från </w:t>
      </w:r>
      <w:r>
        <w:rPr>
          <w:rStyle w:val="normaltextrun"/>
          <w:rFonts w:cs="Segoe UI"/>
          <w:i/>
          <w:iCs/>
        </w:rPr>
        <w:t>inga blodprodukter, ingen dialys till ingen hjärt-lungräddning (HLR)</w:t>
      </w:r>
      <w:r>
        <w:rPr>
          <w:rStyle w:val="normaltextrun"/>
          <w:rFonts w:cs="Segoe UI"/>
        </w:rPr>
        <w:t>.</w:t>
      </w:r>
      <w:r>
        <w:rPr>
          <w:rStyle w:val="eop"/>
          <w:rFonts w:cs="Segoe UI"/>
        </w:rPr>
        <w:t> </w:t>
      </w:r>
    </w:p>
    <w:p w:rsidR="007168EF" w:rsidP="007168EF" w:rsidRDefault="007168EF" w14:paraId="31A5A695" w14:textId="77777777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Observera att den blå ringen inte nödvändigtvis innebär att HLR inte ska genomföras.</w:t>
      </w:r>
      <w:r>
        <w:rPr>
          <w:rStyle w:val="eop"/>
          <w:rFonts w:cs="Segoe UI"/>
        </w:rPr>
        <w:t> </w:t>
      </w:r>
    </w:p>
    <w:p w:rsidR="007168EF" w:rsidP="007168EF" w:rsidRDefault="007168EF" w14:paraId="3A21B5E9" w14:textId="3A4C74B3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Beslut om begränsning av vårdinsats/livsuppehållande behandling dokumenteras i aktiviteten ”Begränsning av vårdinsats”.</w:t>
      </w:r>
      <w:r>
        <w:rPr>
          <w:rStyle w:val="eop"/>
          <w:rFonts w:cs="Segoe UI"/>
        </w:rPr>
        <w:t> </w:t>
      </w:r>
    </w:p>
    <w:p w:rsidRPr="00634667" w:rsidR="007168EF" w:rsidP="0013620F" w:rsidRDefault="007168EF" w14:paraId="2C4D2C07" w14:textId="77777777">
      <w:pPr>
        <w:pStyle w:val="Rubrik3"/>
      </w:pPr>
      <w:bookmarkStart w:name="_Toc223420782" w:id="26"/>
      <w:r w:rsidRPr="00634667">
        <w:t>Ansvar</w:t>
      </w:r>
      <w:bookmarkEnd w:id="26"/>
      <w:r w:rsidRPr="00634667">
        <w:t> </w:t>
      </w:r>
    </w:p>
    <w:p w:rsidRPr="007168EF" w:rsidR="007168EF" w:rsidP="007168EF" w:rsidRDefault="007168EF" w14:paraId="279ECA08" w14:textId="77777777">
      <w:r w:rsidRPr="007168EF">
        <w:t>Beslutet om ”Begränsning av vårdinsats” är alltid ett läkarbeslut, men ska samrådas med annan legitimerad medarbetare.  </w:t>
      </w:r>
    </w:p>
    <w:p w:rsidRPr="007168EF" w:rsidR="007168EF" w:rsidP="007168EF" w:rsidRDefault="007168EF" w14:paraId="11B9654F" w14:textId="77777777">
      <w:r w:rsidRPr="007168EF">
        <w:t>Ansvar för registrering av ”Begränsning av vårdinsats” åligger behandlande läkare. Läkarsekreterare kan registrera vid diktat. </w:t>
      </w:r>
    </w:p>
    <w:p w:rsidRPr="00634667" w:rsidR="007168EF" w:rsidP="00634667" w:rsidRDefault="007168EF" w14:paraId="1070375B" w14:textId="77777777">
      <w:pPr>
        <w:pStyle w:val="UnderrubrikVGR"/>
      </w:pPr>
      <w:r w:rsidRPr="00634667">
        <w:t>Registrering av Begränsning av vårdinsats </w:t>
      </w:r>
    </w:p>
    <w:p w:rsidRPr="007168EF" w:rsidR="007168EF" w:rsidP="007168EF" w:rsidRDefault="007168EF" w14:paraId="3C08659E" w14:textId="5320D1C8">
      <w:r w:rsidRPr="007168EF">
        <w:t>Sökordet ”Beslut” genererar symbolen blå ringen (</w:t>
      </w:r>
      <w:r w:rsidRPr="007168EF">
        <w:rPr>
          <w:noProof/>
        </w:rPr>
        <w:drawing>
          <wp:inline distT="0" distB="0" distL="0" distR="0" wp14:anchorId="2A4ECE4D" wp14:editId="7B930B2E">
            <wp:extent cx="152400" cy="152400"/>
            <wp:effectExtent l="0" t="0" r="0" b="0"/>
            <wp:docPr id="1643847817" name="Bildobjekt 17" descr="Bild på blå ringen som indikerar observandum (begränsning av vårdinsats) i patientjournalen Melio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Bild på blå ringen som indikerar observandum (begränsning av vårdinsats) i patientjournalen Melior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168EF">
        <w:rPr>
          <w:vertAlign w:val="subscript"/>
        </w:rPr>
        <w:t>)</w:t>
      </w:r>
      <w:r w:rsidRPr="007168EF">
        <w:t> på journalmappen om </w:t>
      </w:r>
      <w:proofErr w:type="spellStart"/>
      <w:r w:rsidRPr="007168EF">
        <w:t>envalet</w:t>
      </w:r>
      <w:proofErr w:type="spellEnd"/>
      <w:r w:rsidRPr="007168EF">
        <w:t> </w:t>
      </w:r>
      <w:r w:rsidRPr="007168EF">
        <w:rPr>
          <w:i/>
          <w:iCs/>
        </w:rPr>
        <w:t>Behandlingsbegränsning</w:t>
      </w:r>
      <w:r w:rsidRPr="007168EF">
        <w:t> väljs. Den blå ringen släcks när valet ändras till </w:t>
      </w:r>
      <w:r w:rsidRPr="007168EF">
        <w:rPr>
          <w:i/>
          <w:iCs/>
        </w:rPr>
        <w:t>Ingen behandlingsbegränsning</w:t>
      </w:r>
      <w:r w:rsidRPr="007168EF">
        <w:t>. </w:t>
      </w:r>
    </w:p>
    <w:p w:rsidRPr="007168EF" w:rsidR="007168EF" w:rsidP="007168EF" w:rsidRDefault="007168EF" w14:paraId="292F23C9" w14:textId="77777777">
      <w:r w:rsidRPr="007168EF">
        <w:t>Sökorden ”Beslut”, ”Tidpunkt för beslut” samt ”HLR/</w:t>
      </w:r>
      <w:proofErr w:type="spellStart"/>
      <w:r w:rsidRPr="007168EF">
        <w:t>aHLR</w:t>
      </w:r>
      <w:proofErr w:type="spellEnd"/>
      <w:r w:rsidRPr="007168EF">
        <w:t>” är obligatoriska sökord och ska alltid fyllas i. Tidpunkt för beslut genererar även ”Ska omprövas senast…”. </w:t>
      </w:r>
    </w:p>
    <w:p w:rsidRPr="007168EF" w:rsidR="007168EF" w:rsidP="007168EF" w:rsidRDefault="007168EF" w14:paraId="107C9124" w14:textId="77777777">
      <w:r w:rsidRPr="007168EF">
        <w:t>Under sökordet ”Beslut är fattat på” ska ansvarig läkare fylla i för vilket/vilka verksamhetsområde beslutet gäller för. </w:t>
      </w:r>
    </w:p>
    <w:p w:rsidR="007332A6" w:rsidP="007168EF" w:rsidRDefault="007332A6" w14:paraId="33A0C8A1" w14:textId="22EDBEE8">
      <w:r w:rsidRPr="007332A6">
        <w:t>Socialstyrelsen har tagit ställning till hur vägen till ett beslut om begränsning av en vårdinsats ska se ut. Detta beskrivs både i </w:t>
      </w:r>
      <w:hyperlink w:tgtFrame="_blank" w:history="1" r:id="rId19">
        <w:r w:rsidRPr="007332A6">
          <w:rPr>
            <w:rStyle w:val="Hyperlnk"/>
          </w:rPr>
          <w:t>Socialstyrelsens författning om livsuppehållande behandling SOSFS 2011:7</w:t>
        </w:r>
      </w:hyperlink>
      <w:r w:rsidRPr="007332A6">
        <w:t>, men också i ”</w:t>
      </w:r>
      <w:hyperlink w:tgtFrame="_blank" w:history="1" r:id="rId20">
        <w:r w:rsidRPr="007332A6">
          <w:rPr>
            <w:rStyle w:val="Hyperlnk"/>
          </w:rPr>
          <w:t>Om att ge eller inte ge livsuppehållande behandling - Handbok för vårdgivare, verksamhetschefer och personal</w:t>
        </w:r>
      </w:hyperlink>
      <w:r w:rsidRPr="007332A6">
        <w:t>” [4, 5]. </w:t>
      </w:r>
    </w:p>
    <w:p w:rsidR="007332A6" w:rsidP="007332A6" w:rsidRDefault="007332A6" w14:paraId="15D26643" w14:textId="77777777">
      <w:r w:rsidRPr="007332A6">
        <w:t>Se även riktlinje ”</w:t>
      </w:r>
      <w:hyperlink w:tgtFrame="_blank" w:history="1" r:id="rId21">
        <w:r w:rsidRPr="007332A6">
          <w:rPr>
            <w:rStyle w:val="Hyperlnk"/>
          </w:rPr>
          <w:t>Livsuppehållande behandling</w:t>
        </w:r>
      </w:hyperlink>
      <w:r w:rsidRPr="007332A6">
        <w:t>”. </w:t>
      </w:r>
    </w:p>
    <w:p w:rsidRPr="007332A6" w:rsidR="007332A6" w:rsidP="0013620F" w:rsidRDefault="007332A6" w14:paraId="31F99E6B" w14:textId="7F59099A">
      <w:pPr>
        <w:pStyle w:val="Rubrik3"/>
      </w:pPr>
      <w:bookmarkStart w:name="_Toc223420783" w:id="27"/>
      <w:r w:rsidRPr="007332A6">
        <w:t>Vid upprättande</w:t>
      </w:r>
      <w:bookmarkEnd w:id="27"/>
      <w:r w:rsidRPr="007332A6">
        <w:t> </w:t>
      </w:r>
    </w:p>
    <w:p w:rsidRPr="007332A6" w:rsidR="007332A6" w:rsidP="007332A6" w:rsidRDefault="007332A6" w14:paraId="503F4304" w14:textId="77777777">
      <w:pPr>
        <w:pStyle w:val="Punktlista"/>
      </w:pPr>
      <w:r w:rsidRPr="007332A6">
        <w:t>Välj patient och klicka på </w:t>
      </w:r>
      <w:r w:rsidRPr="007332A6">
        <w:rPr>
          <w:i/>
          <w:iCs/>
        </w:rPr>
        <w:t>Journal</w:t>
      </w:r>
      <w:r w:rsidRPr="007332A6">
        <w:t>. </w:t>
      </w:r>
    </w:p>
    <w:p w:rsidRPr="007332A6" w:rsidR="007332A6" w:rsidP="007332A6" w:rsidRDefault="007332A6" w14:paraId="25FAC99F" w14:textId="77777777">
      <w:pPr>
        <w:pStyle w:val="Punktlista"/>
        <w:numPr>
          <w:ilvl w:val="0"/>
          <w:numId w:val="0"/>
        </w:numPr>
        <w:ind w:left="1712"/>
      </w:pPr>
      <w:r w:rsidRPr="007332A6">
        <w:t>Välj aktiviteten </w:t>
      </w:r>
      <w:r w:rsidRPr="007332A6">
        <w:rPr>
          <w:i/>
          <w:iCs/>
        </w:rPr>
        <w:t>Begränsning av vårdinsats</w:t>
      </w:r>
      <w:r w:rsidRPr="007332A6">
        <w:t>. </w:t>
      </w:r>
      <w:r w:rsidRPr="007332A6">
        <w:br/>
      </w:r>
      <w:r w:rsidRPr="007332A6">
        <w:t>Aktiviteten </w:t>
      </w:r>
      <w:r w:rsidRPr="007332A6">
        <w:rPr>
          <w:i/>
          <w:iCs/>
        </w:rPr>
        <w:t>Begränsning av vårdinsats</w:t>
      </w:r>
      <w:r w:rsidRPr="007332A6">
        <w:t> ska vara en fri aktivitet så länge begränsningen är aktuell. </w:t>
      </w:r>
    </w:p>
    <w:p w:rsidRPr="007332A6" w:rsidR="007332A6" w:rsidP="0013620F" w:rsidRDefault="007332A6" w14:paraId="21159216" w14:textId="77777777">
      <w:pPr>
        <w:pStyle w:val="Rubrik3"/>
      </w:pPr>
      <w:bookmarkStart w:name="_Toc223420784" w:id="28"/>
      <w:r w:rsidRPr="007332A6">
        <w:t>När beslut om begränsning upphör</w:t>
      </w:r>
      <w:bookmarkEnd w:id="28"/>
      <w:r w:rsidRPr="007332A6">
        <w:t> </w:t>
      </w:r>
    </w:p>
    <w:p w:rsidRPr="007332A6" w:rsidR="007332A6" w:rsidP="007332A6" w:rsidRDefault="007332A6" w14:paraId="539207BE" w14:textId="77777777">
      <w:pPr>
        <w:pStyle w:val="Punktlista"/>
      </w:pPr>
      <w:r w:rsidRPr="007332A6">
        <w:t>Ändra valet i sökordet ”Beslut” till ”Ingen behandlingsbegränsning”. </w:t>
      </w:r>
    </w:p>
    <w:p w:rsidRPr="007332A6" w:rsidR="007332A6" w:rsidP="007332A6" w:rsidRDefault="007332A6" w14:paraId="243FF53E" w14:textId="77777777">
      <w:pPr>
        <w:pStyle w:val="Punktlista"/>
      </w:pPr>
      <w:r w:rsidRPr="007332A6">
        <w:t>Ta bort från fri aktivitet genom att koppla aktiviteten till den vårdkontakt där beslutet upphävdes. </w:t>
      </w:r>
    </w:p>
    <w:p w:rsidRPr="007168EF" w:rsidR="007332A6" w:rsidP="007168EF" w:rsidRDefault="007332A6" w14:paraId="2E207E13" w14:textId="6B52093E">
      <w:r>
        <w:rPr>
          <w:noProof/>
        </w:rPr>
        <w:drawing>
          <wp:inline distT="0" distB="0" distL="0" distR="0" wp14:anchorId="28F8B651" wp14:editId="0ABF6352">
            <wp:extent cx="3394075" cy="3701415"/>
            <wp:effectExtent l="0" t="0" r="0" b="0"/>
            <wp:docPr id="929951921" name="Bildobjekt 18" descr="Skärmklipp från patientjournalen Melior som visar hur dokumentation görs när beslut om begränsning av vårdinsats upphö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Skärmklipp från patientjournalen Melior som visar hur dokumentation görs när beslut om begränsning av vårdinsats upphör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4075" cy="370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7332A6" w:rsidR="007332A6" w:rsidP="0022785D" w:rsidRDefault="007332A6" w14:paraId="6B1B9E38" w14:textId="77777777">
      <w:pPr>
        <w:pStyle w:val="Rubrik3"/>
      </w:pPr>
      <w:bookmarkStart w:name="_Toc223420785" w:id="29"/>
      <w:r w:rsidRPr="007332A6">
        <w:t>Signering</w:t>
      </w:r>
      <w:bookmarkEnd w:id="29"/>
      <w:r w:rsidRPr="007332A6">
        <w:t> </w:t>
      </w:r>
    </w:p>
    <w:p w:rsidRPr="007332A6" w:rsidR="007332A6" w:rsidP="007332A6" w:rsidRDefault="007332A6" w14:paraId="1D91B4E5" w14:textId="77777777">
      <w:r w:rsidRPr="007332A6">
        <w:t>Den som först upprättar aktiviteten </w:t>
      </w:r>
      <w:r w:rsidRPr="007332A6">
        <w:rPr>
          <w:i/>
          <w:iCs/>
        </w:rPr>
        <w:t>Begränsning av vårdinsats</w:t>
      </w:r>
      <w:r w:rsidRPr="007332A6">
        <w:t> signerar hela aktiviteten. Efter signering kommer alla sökord att stå kvar; även de som saknar information. När ny information skrivits in i </w:t>
      </w:r>
      <w:r w:rsidRPr="007332A6">
        <w:rPr>
          <w:i/>
          <w:iCs/>
        </w:rPr>
        <w:t>Begränsning av vårdinsats</w:t>
      </w:r>
      <w:r w:rsidRPr="007332A6">
        <w:t> signeras respektive sökord av den person som försett sökordet med information. </w:t>
      </w:r>
    </w:p>
    <w:p w:rsidRPr="0022785D" w:rsidR="007332A6" w:rsidP="0022785D" w:rsidRDefault="007332A6" w14:paraId="79D5740E" w14:textId="77777777">
      <w:pPr>
        <w:pStyle w:val="Rubrik3"/>
      </w:pPr>
      <w:bookmarkStart w:name="_Toc223420786" w:id="30"/>
      <w:r w:rsidRPr="0022785D">
        <w:t>Spårbarhet</w:t>
      </w:r>
      <w:bookmarkEnd w:id="30"/>
      <w:r w:rsidRPr="0022785D">
        <w:t> </w:t>
      </w:r>
    </w:p>
    <w:p w:rsidRPr="007332A6" w:rsidR="007332A6" w:rsidP="007332A6" w:rsidRDefault="007332A6" w14:paraId="0CD22624" w14:textId="77777777">
      <w:r w:rsidRPr="007332A6">
        <w:t>Användarnamn, kategori och signatur är synliga efter den information som skrivits in under respektive sökord om inställningen ”Visa signaturer” är markerad. Detta gäller inte första gången </w:t>
      </w:r>
      <w:r w:rsidRPr="007332A6">
        <w:rPr>
          <w:i/>
          <w:iCs/>
        </w:rPr>
        <w:t>Begränsning av vårdinsats</w:t>
      </w:r>
      <w:r w:rsidRPr="007332A6">
        <w:t xml:space="preserve"> skapas. Vid detta signeringstillfälle är användarnamn och signatur synliga vid aktivitetsnamnet. När information ändras i </w:t>
      </w:r>
      <w:r w:rsidRPr="007332A6">
        <w:t>aktiviteten visas ändringsmarkeringen (historikknapp) i vänstermarginalen. </w:t>
      </w:r>
    </w:p>
    <w:p w:rsidRPr="0022785D" w:rsidR="007332A6" w:rsidP="0022785D" w:rsidRDefault="007332A6" w14:paraId="750DD9AA" w14:textId="77777777">
      <w:pPr>
        <w:pStyle w:val="Rubrik3"/>
      </w:pPr>
      <w:bookmarkStart w:name="_Toc223420787" w:id="31"/>
      <w:r w:rsidRPr="0022785D">
        <w:t>Journalföring i samband med ställningstagande om vårdbegränsningar</w:t>
      </w:r>
      <w:bookmarkEnd w:id="31"/>
      <w:r w:rsidRPr="0022785D">
        <w:t> </w:t>
      </w:r>
    </w:p>
    <w:p w:rsidR="007168EF" w:rsidP="007332A6" w:rsidRDefault="007332A6" w14:paraId="205D3FBA" w14:textId="7F614B12">
      <w:r w:rsidRPr="007332A6">
        <w:t>Vid beslut om </w:t>
      </w:r>
      <w:r w:rsidRPr="007332A6">
        <w:rPr>
          <w:i/>
          <w:iCs/>
        </w:rPr>
        <w:t>Begränsning av vårdinsats</w:t>
      </w:r>
      <w:r w:rsidRPr="007332A6">
        <w:t> dokumenteras detta i aktiviteten ”Begränsning av vårdinsats”. Som komplement till denna aktivitet bör en journalanteckning dokumenteras i relevant mall, om vidare planering av patientens vård inklusive ordination av eventuell vitalparametermätning samt läkemedelsbehandling.</w:t>
      </w:r>
    </w:p>
    <w:p w:rsidRPr="007332A6" w:rsidR="007332A6" w:rsidP="007332A6" w:rsidRDefault="007332A6" w14:paraId="7E7F7DBB" w14:textId="77777777">
      <w:r w:rsidRPr="007332A6">
        <w:t>Syftet är att klargöra vidare planering av patientens vård efter beslut om begränsning av vårdinsats.  </w:t>
      </w:r>
    </w:p>
    <w:p w:rsidRPr="007332A6" w:rsidR="007332A6" w:rsidP="007332A6" w:rsidRDefault="007332A6" w14:paraId="7C075DE6" w14:textId="77777777">
      <w:r w:rsidRPr="007332A6">
        <w:t>Om palliativ inriktning åsyftas med </w:t>
      </w:r>
      <w:r w:rsidRPr="007332A6">
        <w:rPr>
          <w:i/>
          <w:iCs/>
        </w:rPr>
        <w:t>begränsning av vårdinsats</w:t>
      </w:r>
      <w:r w:rsidRPr="007332A6">
        <w:t>, bör detta framgå i journalanteckning tillsammans med eventuell läkemedelsordination och mätning av vitalparametrar, för att säkerställa informationsöverföringen till berörd vårdpersonal, som ska bedriva den fortsatta vården av patienten.  </w:t>
      </w:r>
    </w:p>
    <w:p w:rsidRPr="007332A6" w:rsidR="007332A6" w:rsidP="007332A6" w:rsidRDefault="007332A6" w14:paraId="41AA4135" w14:textId="77777777">
      <w:r w:rsidRPr="007332A6">
        <w:t>I Socialstyrelsens handbok </w:t>
      </w:r>
      <w:hyperlink w:tgtFrame="_blank" w:history="1" r:id="rId23">
        <w:r w:rsidRPr="007332A6">
          <w:rPr>
            <w:rStyle w:val="Hyperlnk"/>
          </w:rPr>
          <w:t>Om att ge eller inte ge livsuppehållande behandling</w:t>
        </w:r>
      </w:hyperlink>
      <w:r w:rsidRPr="007332A6">
        <w:t> finns väl beskrivet vikten av tydlig dokumentation vid journalföring i samband med begränsning av vårdinsats [5].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32"/>
      <w:bookmarkStart w:name="_Toc223420492" w:id="33"/>
      <w:bookmarkStart w:name="_Toc223420788" w:id="34"/>
      <w:r w:rsidRPr="000D04ED">
        <w:t>Källförteckning</w:t>
      </w:r>
      <w:bookmarkEnd w:id="32"/>
      <w:bookmarkEnd w:id="33"/>
      <w:bookmarkEnd w:id="34"/>
    </w:p>
    <w:p w:rsidRPr="007332A6" w:rsidR="007332A6" w:rsidP="007332A6" w:rsidRDefault="007332A6" w14:paraId="17CB0562" w14:textId="77777777">
      <w:pPr>
        <w:numPr>
          <w:ilvl w:val="0"/>
          <w:numId w:val="47"/>
        </w:numPr>
        <w:ind w:right="-143"/>
      </w:pPr>
      <w:r w:rsidRPr="007332A6">
        <w:t>Textjournal i Melior. Sjukhusövergripande riktlinje, SÄS. </w:t>
      </w:r>
      <w:r w:rsidRPr="007332A6">
        <w:br/>
      </w:r>
      <w:hyperlink w:tgtFrame="_blank" w:history="1" r:id="rId24">
        <w:r w:rsidRPr="007332A6">
          <w:rPr>
            <w:rStyle w:val="Hyperlnk"/>
          </w:rPr>
          <w:t>https://insidan.vgregion.se/forvaltningar/sodra-alvsborgs-sjukhus/styrdokument</w:t>
        </w:r>
      </w:hyperlink>
      <w:r w:rsidRPr="007332A6">
        <w:t> </w:t>
      </w:r>
    </w:p>
    <w:p w:rsidRPr="007332A6" w:rsidR="007332A6" w:rsidP="007332A6" w:rsidRDefault="007332A6" w14:paraId="629A4562" w14:textId="77777777">
      <w:pPr>
        <w:numPr>
          <w:ilvl w:val="0"/>
          <w:numId w:val="47"/>
        </w:numPr>
        <w:ind w:right="-143"/>
      </w:pPr>
      <w:r w:rsidRPr="007332A6">
        <w:t>Livsuppehållande behandling. Sjukhusövergripande riktlinje, SÄS </w:t>
      </w:r>
      <w:r w:rsidRPr="007332A6">
        <w:br/>
      </w:r>
      <w:hyperlink w:tgtFrame="_blank" w:history="1" r:id="rId25">
        <w:r w:rsidRPr="007332A6">
          <w:rPr>
            <w:rStyle w:val="Hyperlnk"/>
          </w:rPr>
          <w:t>https://insidan.vgregion.se/forvaltningar/sodra-alvsborgs-sjukhus/styrdokument</w:t>
        </w:r>
      </w:hyperlink>
      <w:r w:rsidRPr="007332A6">
        <w:t> </w:t>
      </w:r>
    </w:p>
    <w:p w:rsidRPr="007332A6" w:rsidR="007332A6" w:rsidP="007332A6" w:rsidRDefault="007332A6" w14:paraId="5364B710" w14:textId="77777777">
      <w:pPr>
        <w:numPr>
          <w:ilvl w:val="0"/>
          <w:numId w:val="47"/>
        </w:numPr>
        <w:ind w:right="-143"/>
      </w:pPr>
      <w:r w:rsidRPr="007332A6">
        <w:t>Läkemedelsdokumentation på SÄS. Sjukhusövergripande riktlinje, SÄS </w:t>
      </w:r>
      <w:r w:rsidRPr="007332A6">
        <w:br/>
      </w:r>
      <w:hyperlink w:tgtFrame="_blank" w:history="1" r:id="rId26">
        <w:r w:rsidRPr="007332A6">
          <w:rPr>
            <w:rStyle w:val="Hyperlnk"/>
          </w:rPr>
          <w:t>https://hittadokument.vgregion.se/sas</w:t>
        </w:r>
      </w:hyperlink>
      <w:r w:rsidRPr="007332A6">
        <w:t> </w:t>
      </w:r>
    </w:p>
    <w:p w:rsidRPr="007332A6" w:rsidR="007332A6" w:rsidP="007332A6" w:rsidRDefault="007332A6" w14:paraId="59CFC152" w14:textId="77777777">
      <w:pPr>
        <w:numPr>
          <w:ilvl w:val="0"/>
          <w:numId w:val="47"/>
        </w:numPr>
        <w:ind w:right="-143"/>
      </w:pPr>
      <w:r w:rsidRPr="007332A6">
        <w:t>Socialstyrelsens föreskrifter och allmänna råd om livsuppehållande behandling (SOSFS 2011:7). Socialstyrelsens författningssamling </w:t>
      </w:r>
      <w:r w:rsidRPr="007332A6">
        <w:br/>
      </w:r>
      <w:hyperlink w:tgtFrame="_blank" w:history="1" r:id="rId27">
        <w:r w:rsidRPr="007332A6">
          <w:rPr>
            <w:rStyle w:val="Hyperlnk"/>
          </w:rPr>
          <w:t>www.socialstyrelsen.se/kunskapsstod-och-regler/regler-och-</w:t>
        </w:r>
        <w:r w:rsidRPr="007332A6">
          <w:rPr>
            <w:rStyle w:val="Hyperlnk"/>
          </w:rPr>
          <w:t>riktlinjer/foreskrifter-och-allmanna-rad/konsoliderade-foreskrifter/20117-om-livsuppehallande-behandling</w:t>
        </w:r>
      </w:hyperlink>
      <w:r w:rsidRPr="007332A6">
        <w:t> </w:t>
      </w:r>
    </w:p>
    <w:p w:rsidRPr="007332A6" w:rsidR="007332A6" w:rsidP="007332A6" w:rsidRDefault="007332A6" w14:paraId="12383ED5" w14:textId="77777777">
      <w:pPr>
        <w:numPr>
          <w:ilvl w:val="0"/>
          <w:numId w:val="47"/>
        </w:numPr>
        <w:ind w:right="-143"/>
      </w:pPr>
      <w:r w:rsidRPr="007332A6">
        <w:t>Om att ge eller inte ge livsuppehållande behandling - Handbok för vårdgivare, verksamhetschefer och personal. Socialstyrelsen. </w:t>
      </w:r>
      <w:r w:rsidRPr="007332A6">
        <w:br/>
      </w:r>
      <w:hyperlink w:tgtFrame="_blank" w:history="1" r:id="rId28">
        <w:r w:rsidRPr="007332A6">
          <w:rPr>
            <w:rStyle w:val="Hyperlnk"/>
          </w:rPr>
          <w:t>www.socialstyrelsen.se/globalassets/sharepoint-dokument/artikelkatalog/handbocker/2011-6-39.pdf</w:t>
        </w:r>
      </w:hyperlink>
      <w:r w:rsidRPr="007332A6">
        <w:t> </w:t>
      </w:r>
    </w:p>
    <w:p w:rsidR="009C6C0C" w:rsidP="007332A6" w:rsidRDefault="009C6C0C" w14:paraId="40AA233F" w14:textId="4393CA77">
      <w:pPr>
        <w:ind w:right="-143"/>
      </w:pPr>
    </w:p>
    <w:sectPr w:rsidR="009C6C0C" w:rsidSect="00B96AFF"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B58FB" w:rsidRDefault="00AB58FB" w14:paraId="549EC138" w14:textId="77777777">
      <w:r>
        <w:separator/>
      </w:r>
    </w:p>
  </w:endnote>
  <w:endnote w:type="continuationSeparator" w:id="0">
    <w:p w:rsidR="00AB58FB" w:rsidRDefault="00AB58FB" w14:paraId="3DE562F4" w14:textId="77777777">
      <w:r>
        <w:continuationSeparator/>
      </w:r>
    </w:p>
  </w:endnote>
  <w:endnote w:type="continuationNotice" w:id="1">
    <w:p w:rsidR="00AB58FB" w:rsidRDefault="00AB58FB" w14:paraId="6071094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8401E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B58FB" w:rsidRDefault="00AB58FB" w14:paraId="573297EE" w14:textId="77777777"/>
  </w:footnote>
  <w:footnote w:type="continuationSeparator" w:id="0">
    <w:p w:rsidR="00AB58FB" w:rsidRDefault="00AB58FB" w14:paraId="280B2414" w14:textId="77777777">
      <w:r>
        <w:continuationSeparator/>
      </w:r>
    </w:p>
  </w:footnote>
  <w:footnote w:type="continuationNotice" w:id="1">
    <w:p w:rsidR="00AB58FB" w:rsidRDefault="00AB58FB" w14:paraId="4D7C179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F3239B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04207D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3C7A20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5C001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79B0599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097B5207"/>
    <w:multiLevelType w:val="multilevel"/>
    <w:tmpl w:val="2480A8E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0566DB4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8466F7B"/>
    <w:multiLevelType w:val="multilevel"/>
    <w:tmpl w:val="03B2F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19946C2D"/>
    <w:multiLevelType w:val="multilevel"/>
    <w:tmpl w:val="7F8A3C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C8A0F1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217D73A8"/>
    <w:multiLevelType w:val="multilevel"/>
    <w:tmpl w:val="79A4E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25321DD3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2C6F4D5A"/>
    <w:multiLevelType w:val="multilevel"/>
    <w:tmpl w:val="5FD03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31007A9D"/>
    <w:multiLevelType w:val="multilevel"/>
    <w:tmpl w:val="744AD3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184453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331D0FC8"/>
    <w:multiLevelType w:val="multilevel"/>
    <w:tmpl w:val="411654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ABE395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3B474E09"/>
    <w:multiLevelType w:val="hybridMultilevel"/>
    <w:tmpl w:val="D3724B9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52E6B280">
      <w:start w:val="1"/>
      <w:numFmt w:val="bullet"/>
      <w:lvlText w:val="-"/>
      <w:lvlJc w:val="left"/>
      <w:pPr>
        <w:ind w:left="1797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5" w15:restartNumberingAfterBreak="0">
    <w:nsid w:val="3C0126EB"/>
    <w:multiLevelType w:val="multilevel"/>
    <w:tmpl w:val="7F7E7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437323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469D4394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4DB00FB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2" w15:restartNumberingAfterBreak="0">
    <w:nsid w:val="51D1157F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4" w15:restartNumberingAfterBreak="0">
    <w:nsid w:val="557B136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6" w15:restartNumberingAfterBreak="0">
    <w:nsid w:val="57BB746F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630916E6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636E435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9" w15:restartNumberingAfterBreak="0">
    <w:nsid w:val="64171402"/>
    <w:multiLevelType w:val="multilevel"/>
    <w:tmpl w:val="AB0A09C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8EF5C31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6A4B1EE7"/>
    <w:multiLevelType w:val="hybridMultilevel"/>
    <w:tmpl w:val="917224E6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D812AFC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45"/>
  </w:num>
  <w:num w:numId="2" w16cid:durableId="1367871050">
    <w:abstractNumId w:val="35"/>
  </w:num>
  <w:num w:numId="3" w16cid:durableId="164058872">
    <w:abstractNumId w:val="0"/>
  </w:num>
  <w:num w:numId="4" w16cid:durableId="861477783">
    <w:abstractNumId w:val="14"/>
  </w:num>
  <w:num w:numId="5" w16cid:durableId="1280868239">
    <w:abstractNumId w:val="43"/>
  </w:num>
  <w:num w:numId="6" w16cid:durableId="444931515">
    <w:abstractNumId w:val="3"/>
  </w:num>
  <w:num w:numId="7" w16cid:durableId="739910959">
    <w:abstractNumId w:val="27"/>
  </w:num>
  <w:num w:numId="8" w16cid:durableId="391579451">
    <w:abstractNumId w:val="2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6"/>
  </w:num>
  <w:num w:numId="12" w16cid:durableId="830874331">
    <w:abstractNumId w:val="9"/>
  </w:num>
  <w:num w:numId="13" w16cid:durableId="57095060">
    <w:abstractNumId w:val="33"/>
  </w:num>
  <w:num w:numId="14" w16cid:durableId="36130748">
    <w:abstractNumId w:val="24"/>
  </w:num>
  <w:num w:numId="15" w16cid:durableId="560679449">
    <w:abstractNumId w:val="15"/>
  </w:num>
  <w:num w:numId="16" w16cid:durableId="1420566503">
    <w:abstractNumId w:val="31"/>
  </w:num>
  <w:num w:numId="17" w16cid:durableId="256527698">
    <w:abstractNumId w:val="10"/>
  </w:num>
  <w:num w:numId="18" w16cid:durableId="1090539201">
    <w:abstractNumId w:val="26"/>
  </w:num>
  <w:num w:numId="19" w16cid:durableId="1846439597">
    <w:abstractNumId w:val="44"/>
  </w:num>
  <w:num w:numId="20" w16cid:durableId="29302712">
    <w:abstractNumId w:val="11"/>
  </w:num>
  <w:num w:numId="21" w16cid:durableId="1696807067">
    <w:abstractNumId w:val="18"/>
  </w:num>
  <w:num w:numId="22" w16cid:durableId="770390756">
    <w:abstractNumId w:val="16"/>
  </w:num>
  <w:num w:numId="23" w16cid:durableId="958994242">
    <w:abstractNumId w:val="25"/>
  </w:num>
  <w:num w:numId="24" w16cid:durableId="300035816">
    <w:abstractNumId w:val="8"/>
  </w:num>
  <w:num w:numId="25" w16cid:durableId="24062765">
    <w:abstractNumId w:val="4"/>
  </w:num>
  <w:num w:numId="26" w16cid:durableId="513805718">
    <w:abstractNumId w:val="34"/>
  </w:num>
  <w:num w:numId="27" w16cid:durableId="1063260114">
    <w:abstractNumId w:val="42"/>
  </w:num>
  <w:num w:numId="28" w16cid:durableId="248122576">
    <w:abstractNumId w:val="40"/>
  </w:num>
  <w:num w:numId="29" w16cid:durableId="1065303917">
    <w:abstractNumId w:val="29"/>
  </w:num>
  <w:num w:numId="30" w16cid:durableId="1861699459">
    <w:abstractNumId w:val="32"/>
  </w:num>
  <w:num w:numId="31" w16cid:durableId="1752501853">
    <w:abstractNumId w:val="5"/>
  </w:num>
  <w:num w:numId="32" w16cid:durableId="1581867352">
    <w:abstractNumId w:val="20"/>
  </w:num>
  <w:num w:numId="33" w16cid:durableId="1743721212">
    <w:abstractNumId w:val="30"/>
  </w:num>
  <w:num w:numId="34" w16cid:durableId="1320228434">
    <w:abstractNumId w:val="13"/>
  </w:num>
  <w:num w:numId="35" w16cid:durableId="97456753">
    <w:abstractNumId w:val="36"/>
  </w:num>
  <w:num w:numId="36" w16cid:durableId="1920555916">
    <w:abstractNumId w:val="23"/>
  </w:num>
  <w:num w:numId="37" w16cid:durableId="615411107">
    <w:abstractNumId w:val="37"/>
  </w:num>
  <w:num w:numId="38" w16cid:durableId="144401085">
    <w:abstractNumId w:val="38"/>
  </w:num>
  <w:num w:numId="39" w16cid:durableId="1767772110">
    <w:abstractNumId w:val="17"/>
  </w:num>
  <w:num w:numId="40" w16cid:durableId="2126651427">
    <w:abstractNumId w:val="28"/>
  </w:num>
  <w:num w:numId="41" w16cid:durableId="1938295648">
    <w:abstractNumId w:val="2"/>
  </w:num>
  <w:num w:numId="42" w16cid:durableId="2012444634">
    <w:abstractNumId w:val="21"/>
  </w:num>
  <w:num w:numId="43" w16cid:durableId="759909846">
    <w:abstractNumId w:val="12"/>
  </w:num>
  <w:num w:numId="44" w16cid:durableId="148601629">
    <w:abstractNumId w:val="19"/>
  </w:num>
  <w:num w:numId="45" w16cid:durableId="1330449759">
    <w:abstractNumId w:val="39"/>
  </w:num>
  <w:num w:numId="46" w16cid:durableId="1736509578">
    <w:abstractNumId w:val="7"/>
  </w:num>
  <w:num w:numId="47" w16cid:durableId="433481363">
    <w:abstractNumId w:val="4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69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1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62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5A39"/>
    <w:rsid w:val="001860B9"/>
    <w:rsid w:val="00186F2B"/>
    <w:rsid w:val="001874D6"/>
    <w:rsid w:val="0019632A"/>
    <w:rsid w:val="001A4E7C"/>
    <w:rsid w:val="001B1347"/>
    <w:rsid w:val="001B762C"/>
    <w:rsid w:val="001C4D0A"/>
    <w:rsid w:val="001C5FEF"/>
    <w:rsid w:val="001E3789"/>
    <w:rsid w:val="00211487"/>
    <w:rsid w:val="00211D91"/>
    <w:rsid w:val="00217DEC"/>
    <w:rsid w:val="002268DC"/>
    <w:rsid w:val="002273C9"/>
    <w:rsid w:val="0022785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DE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5674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128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667"/>
    <w:rsid w:val="00646B2A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A7E8C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68EF"/>
    <w:rsid w:val="0072075B"/>
    <w:rsid w:val="007221C2"/>
    <w:rsid w:val="007268AB"/>
    <w:rsid w:val="00730955"/>
    <w:rsid w:val="007332A6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826"/>
    <w:rsid w:val="00774944"/>
    <w:rsid w:val="007759DD"/>
    <w:rsid w:val="007826AC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18DF"/>
    <w:rsid w:val="00843F48"/>
    <w:rsid w:val="00851423"/>
    <w:rsid w:val="008569C6"/>
    <w:rsid w:val="00857848"/>
    <w:rsid w:val="008654B6"/>
    <w:rsid w:val="0087139C"/>
    <w:rsid w:val="00873419"/>
    <w:rsid w:val="00880E83"/>
    <w:rsid w:val="00890A80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56E4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6616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8FB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38DE"/>
    <w:rsid w:val="00B65A9D"/>
    <w:rsid w:val="00B66D60"/>
    <w:rsid w:val="00B74EB8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3BE6"/>
    <w:rsid w:val="00C23B4A"/>
    <w:rsid w:val="00C4115D"/>
    <w:rsid w:val="00C43BDD"/>
    <w:rsid w:val="00C45DD7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028B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6149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78E0F7"/>
    <w:rsid w:val="1896D8E0"/>
    <w:rsid w:val="3C28A210"/>
    <w:rsid w:val="3FE42E8A"/>
    <w:rsid w:val="44BA4609"/>
    <w:rsid w:val="4B5B51F8"/>
    <w:rsid w:val="5EDBAC5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636FDC9-E251-40B8-A0AC-976CD31E3E2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2268DC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paragraph" w:customStyle="1">
    <w:name w:val="paragraph"/>
    <w:basedOn w:val="Normal"/>
    <w:rsid w:val="008418DF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Standardstycketeckensnitt"/>
    <w:rsid w:val="008418DF"/>
  </w:style>
  <w:style w:type="character" w:styleId="eop" w:customStyle="1">
    <w:name w:val="eop"/>
    <w:basedOn w:val="Standardstycketeckensnitt"/>
    <w:rsid w:val="008418DF"/>
  </w:style>
  <w:style w:type="character" w:styleId="tabchar" w:customStyle="1">
    <w:name w:val="tabchar"/>
    <w:basedOn w:val="Standardstycketeckensnitt"/>
    <w:rsid w:val="008418DF"/>
  </w:style>
  <w:style w:type="character" w:styleId="wacimagecontainer" w:customStyle="1">
    <w:name w:val="wacimagecontainer"/>
    <w:basedOn w:val="Standardstycketeckensnitt"/>
    <w:rsid w:val="007168EF"/>
  </w:style>
  <w:style w:type="paragraph" w:styleId="Innehllsfrteckningsrubrik">
    <w:name w:val="TOC Heading"/>
    <w:basedOn w:val="Rubrik1"/>
    <w:next w:val="Normal"/>
    <w:uiPriority w:val="39"/>
    <w:unhideWhenUsed/>
    <w:qFormat/>
    <w:rsid w:val="00C45DD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6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08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1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84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6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73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4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0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6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82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4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1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0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90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7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4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8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5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1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9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1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0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1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6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25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93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3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5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1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3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8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44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8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99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97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5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13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83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5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33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47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4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59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1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1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95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63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4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28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74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79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85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92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21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2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8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2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2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55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3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9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83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33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22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9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53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13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91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4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12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8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6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3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5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23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149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80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21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26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61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8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2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12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75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15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1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5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69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8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8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9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4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8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53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0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28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9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4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8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51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0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4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3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5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9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8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8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83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7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0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3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29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5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1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8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7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2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69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86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0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91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66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5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4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5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6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png" Id="rId13" /><Relationship Type="http://schemas.openxmlformats.org/officeDocument/2006/relationships/image" Target="media/image7.png" Id="rId18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6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21" /><Relationship Type="http://schemas.openxmlformats.org/officeDocument/2006/relationships/fontTable" Target="fontTable.xml" Id="rId34" /><Relationship Type="http://schemas.openxmlformats.org/officeDocument/2006/relationships/endnotes" Target="endnotes.xml" Id="rId7" /><Relationship Type="http://schemas.openxmlformats.org/officeDocument/2006/relationships/image" Target="media/image3.png" Id="rId12" /><Relationship Type="http://schemas.openxmlformats.org/officeDocument/2006/relationships/image" Target="media/image6.png" Id="rId17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25" /><Relationship Type="http://schemas.openxmlformats.org/officeDocument/2006/relationships/footer" Target="footer3.xml" Id="rId33" /><Relationship Type="http://schemas.openxmlformats.org/officeDocument/2006/relationships/numbering" Target="numbering.xml" Id="rId2" /><Relationship Type="http://schemas.openxmlformats.org/officeDocument/2006/relationships/image" Target="media/image5.png" Id="rId16" /><Relationship Type="http://schemas.openxmlformats.org/officeDocument/2006/relationships/hyperlink" Target="https://www.socialstyrelsen.se/globalassets/sharepoint-dokument/artikelkatalog/handbocker/2011-6-39.pdf" TargetMode="External" Id="rId20" /><Relationship Type="http://schemas.openxmlformats.org/officeDocument/2006/relationships/header" Target="header1.xml" Id="rId29" /><Relationship Type="http://schemas.openxmlformats.org/officeDocument/2006/relationships/footnotes" Target="footnotes.xml" Id="rId6" /><Relationship Type="http://schemas.openxmlformats.org/officeDocument/2006/relationships/image" Target="media/image2.png" Id="rId11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24" /><Relationship Type="http://schemas.openxmlformats.org/officeDocument/2006/relationships/header" Target="header2.xml" Id="rId32" /><Relationship Type="http://schemas.openxmlformats.org/officeDocument/2006/relationships/webSettings" Target="webSettings.xml" Id="rId5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5" /><Relationship Type="http://schemas.openxmlformats.org/officeDocument/2006/relationships/hyperlink" Target="https://www.socialstyrelsen.se/globalassets/sharepoint-dokument/artikelkatalog/handbocker--juridisk-handbok/2011-6-39.pdf" TargetMode="External" Id="rId23" /><Relationship Type="http://schemas.openxmlformats.org/officeDocument/2006/relationships/hyperlink" Target="http://www.socialstyrelsen.se/globalassets/sharepoint-dokument/artikelkatalog/handbocker/2011-6-39.pdf" TargetMode="External" Id="rId28" /><Relationship Type="http://schemas.openxmlformats.org/officeDocument/2006/relationships/image" Target="media/image1.png" Id="rId10" /><Relationship Type="http://schemas.openxmlformats.org/officeDocument/2006/relationships/hyperlink" Target="https://www.socialstyrelsen.se/kunskapsstod-och-regler/regler-och-riktlinjer/foreskrifter-och-allmanna-rad/konsoliderade-foreskrifter/20117-om-livsuppehallande-behandling/" TargetMode="External" Id="rId19" /><Relationship Type="http://schemas.openxmlformats.org/officeDocument/2006/relationships/footer" Target="footer2.xml" Id="rId31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9" /><Relationship Type="http://schemas.openxmlformats.org/officeDocument/2006/relationships/image" Target="media/image8.png" Id="rId22" /><Relationship Type="http://schemas.openxmlformats.org/officeDocument/2006/relationships/hyperlink" Target="http://www.socialstyrelsen.se/kunskapsstod-och-regler/regler-och-riktlinjer/foreskrifter-och-allmanna-rad/konsoliderade-foreskrifter/20117-om-livsuppehallande-behandling" TargetMode="External" Id="rId27" /><Relationship Type="http://schemas.openxmlformats.org/officeDocument/2006/relationships/footer" Target="footer1.xml" Id="rId30" /><Relationship Type="http://schemas.openxmlformats.org/officeDocument/2006/relationships/theme" Target="theme/theme1.xml" Id="rId35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8" /><Relationship Type="http://schemas.openxmlformats.org/officeDocument/2006/relationships/styles" Target="styles.xml" Id="rId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svg"/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Varningar och begränsning av vårdinsats i Melior</dc:title>
  <dc:subject/>
  <dc:creator/>
  <keywords/>
  <lastModifiedBy>Jonas Nemeth</lastModifiedBy>
  <revision>3</revision>
  <dcterms:created xsi:type="dcterms:W3CDTF">2026-03-05T13:12:00.0000000Z</dcterms:created>
  <dcterms:modified xsi:type="dcterms:W3CDTF">2026-05-05T11:48:10.0000000Z</dcterms:modified>
</coreProperties>
</file>