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14B50B" w14:textId="77777777" w:rsidR="00087A59" w:rsidRDefault="00087A59" w:rsidP="00F35B05">
      <w:pPr>
        <w:pStyle w:val="Rubrik2"/>
        <w:sectPr w:rsidR="00087A59" w:rsidSect="00087A5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8723BBE" w14:textId="77777777" w:rsidR="00087A59" w:rsidRPr="00087A59" w:rsidRDefault="00087A59" w:rsidP="001823E2">
      <w:pPr>
        <w:pStyle w:val="Rubrik1"/>
      </w:pPr>
      <w:bookmarkStart w:id="1" w:name="_Toc314218625"/>
      <w:r w:rsidRPr="00087A59">
        <w:t>Undernäring – riskbedömning, behandling och uppföljning hos barn och ungdomar inom slutenvården, SÄS</w:t>
      </w:r>
    </w:p>
    <w:p w14:paraId="716AAC35" w14:textId="77777777" w:rsidR="00087A59" w:rsidRPr="00087A59" w:rsidRDefault="00087A59" w:rsidP="001823E2">
      <w:pPr>
        <w:pStyle w:val="Rubrik2"/>
      </w:pPr>
      <w:bookmarkStart w:id="2" w:name="_Toc419893115"/>
      <w:bookmarkStart w:id="3" w:name="_Toc256000000"/>
      <w:bookmarkStart w:id="4" w:name="_Toc256000008"/>
      <w:bookmarkStart w:id="5" w:name="_Toc59181272"/>
      <w:bookmarkStart w:id="6" w:name="_Toc256000001"/>
      <w:bookmarkStart w:id="7" w:name="_Toc256000025"/>
      <w:bookmarkStart w:id="8" w:name="_Toc63760090"/>
      <w:bookmarkStart w:id="9" w:name="_Toc256000040"/>
      <w:bookmarkStart w:id="10" w:name="_Toc126330497"/>
      <w:r w:rsidRPr="00087A59">
        <w:t>Sammanfattning</w:t>
      </w:r>
      <w:bookmarkEnd w:id="1"/>
      <w:bookmarkEnd w:id="2"/>
      <w:bookmarkEnd w:id="3"/>
      <w:bookmarkEnd w:id="4"/>
      <w:bookmarkEnd w:id="5"/>
      <w:bookmarkEnd w:id="6"/>
      <w:bookmarkEnd w:id="7"/>
      <w:bookmarkEnd w:id="8"/>
      <w:bookmarkEnd w:id="9"/>
      <w:bookmarkEnd w:id="10"/>
    </w:p>
    <w:p w14:paraId="52DB1764" w14:textId="77777777" w:rsidR="001823E2" w:rsidRDefault="00087A59" w:rsidP="001823E2">
      <w:r w:rsidRPr="00087A59">
        <w:t>Rutinen ger instruktioner kring att riskbedöma, åtgärda samt följa upp undernäring hos barn och ungdomar från åldrarna 1 månad till 18 år som vårdas inom slutenvård på Södra Älvsborgs Sjukhus.</w:t>
      </w:r>
    </w:p>
    <w:p w14:paraId="245D5256" w14:textId="0296F363" w:rsidR="00087A59" w:rsidRDefault="001823E2" w:rsidP="001823E2">
      <w:pPr>
        <w:pStyle w:val="Rubrik2"/>
      </w:pPr>
      <w:bookmarkStart w:id="11" w:name="_Toc126330498"/>
      <w:r>
        <w:t>Förändringar sedan föregående version</w:t>
      </w:r>
      <w:bookmarkEnd w:id="11"/>
    </w:p>
    <w:p w14:paraId="668D34B3" w14:textId="36D01E49" w:rsidR="00D727B6" w:rsidRPr="00D727B6" w:rsidRDefault="00D727B6" w:rsidP="00D727B6">
      <w:r>
        <w:t>Redaktionella ändringar; förlängning av giltighetstid.</w:t>
      </w:r>
    </w:p>
    <w:p w14:paraId="2B2C6211" w14:textId="77777777" w:rsidR="00087A59" w:rsidRPr="001823E2" w:rsidRDefault="00087A59" w:rsidP="001823E2">
      <w:pPr>
        <w:spacing w:before="360" w:after="40"/>
        <w:rPr>
          <w:rFonts w:asciiTheme="majorHAnsi" w:hAnsiTheme="majorHAnsi" w:cstheme="majorHAnsi"/>
          <w:sz w:val="26"/>
        </w:rPr>
      </w:pPr>
      <w:r w:rsidRPr="001823E2">
        <w:rPr>
          <w:rFonts w:asciiTheme="majorHAnsi" w:hAnsiTheme="majorHAnsi" w:cstheme="majorHAnsi"/>
          <w:sz w:val="26"/>
        </w:rPr>
        <w:t>Innehållsförteckning</w:t>
      </w:r>
    </w:p>
    <w:p w14:paraId="22C84C47" w14:textId="0B614013" w:rsidR="00850CE9" w:rsidRDefault="00BD66FB">
      <w:pPr>
        <w:pStyle w:val="Innehll1"/>
        <w:rPr>
          <w:rFonts w:asciiTheme="minorHAnsi" w:eastAsiaTheme="minorEastAsia" w:hAnsiTheme="minorHAnsi" w:cstheme="minorBidi"/>
          <w:noProof/>
          <w:sz w:val="22"/>
          <w:szCs w:val="22"/>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Pr>
          <w:rFonts w:ascii="Arial" w:hAnsi="Arial"/>
          <w:noProof/>
          <w:color w:val="0000FF"/>
          <w:sz w:val="22"/>
          <w:szCs w:val="32"/>
          <w:u w:val="single"/>
        </w:rPr>
        <w:fldChar w:fldCharType="separate"/>
      </w:r>
      <w:hyperlink w:anchor="_Toc126330497" w:history="1">
        <w:r w:rsidR="00850CE9" w:rsidRPr="00016DCE">
          <w:rPr>
            <w:rStyle w:val="Hyperlnk"/>
            <w:rFonts w:eastAsia="MS Gothic"/>
            <w:noProof/>
          </w:rPr>
          <w:t>Sammanfattning</w:t>
        </w:r>
        <w:r w:rsidR="00850CE9">
          <w:rPr>
            <w:noProof/>
            <w:webHidden/>
          </w:rPr>
          <w:tab/>
        </w:r>
        <w:r w:rsidR="00850CE9">
          <w:rPr>
            <w:noProof/>
            <w:webHidden/>
          </w:rPr>
          <w:fldChar w:fldCharType="begin"/>
        </w:r>
        <w:r w:rsidR="00850CE9">
          <w:rPr>
            <w:noProof/>
            <w:webHidden/>
          </w:rPr>
          <w:instrText xml:space="preserve"> PAGEREF _Toc126330497 \h </w:instrText>
        </w:r>
        <w:r w:rsidR="00850CE9">
          <w:rPr>
            <w:noProof/>
            <w:webHidden/>
          </w:rPr>
        </w:r>
        <w:r w:rsidR="00850CE9">
          <w:rPr>
            <w:noProof/>
            <w:webHidden/>
          </w:rPr>
          <w:fldChar w:fldCharType="separate"/>
        </w:r>
        <w:r w:rsidR="00850CE9">
          <w:rPr>
            <w:noProof/>
            <w:webHidden/>
          </w:rPr>
          <w:t>1</w:t>
        </w:r>
        <w:r w:rsidR="00850CE9">
          <w:rPr>
            <w:noProof/>
            <w:webHidden/>
          </w:rPr>
          <w:fldChar w:fldCharType="end"/>
        </w:r>
      </w:hyperlink>
    </w:p>
    <w:p w14:paraId="7923071F" w14:textId="73CD85A5" w:rsidR="00850CE9" w:rsidRDefault="00850CE9">
      <w:pPr>
        <w:pStyle w:val="Innehll1"/>
        <w:rPr>
          <w:rFonts w:asciiTheme="minorHAnsi" w:eastAsiaTheme="minorEastAsia" w:hAnsiTheme="minorHAnsi" w:cstheme="minorBidi"/>
          <w:noProof/>
          <w:sz w:val="22"/>
          <w:szCs w:val="22"/>
        </w:rPr>
      </w:pPr>
      <w:hyperlink w:anchor="_Toc126330498" w:history="1">
        <w:r w:rsidRPr="00016DC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_Toc126330498 \h </w:instrText>
        </w:r>
        <w:r>
          <w:rPr>
            <w:noProof/>
            <w:webHidden/>
          </w:rPr>
        </w:r>
        <w:r>
          <w:rPr>
            <w:noProof/>
            <w:webHidden/>
          </w:rPr>
          <w:fldChar w:fldCharType="separate"/>
        </w:r>
        <w:r>
          <w:rPr>
            <w:noProof/>
            <w:webHidden/>
          </w:rPr>
          <w:t>1</w:t>
        </w:r>
        <w:r>
          <w:rPr>
            <w:noProof/>
            <w:webHidden/>
          </w:rPr>
          <w:fldChar w:fldCharType="end"/>
        </w:r>
      </w:hyperlink>
    </w:p>
    <w:p w14:paraId="4FD52D77" w14:textId="70B95E2C" w:rsidR="00850CE9" w:rsidRDefault="00850CE9">
      <w:pPr>
        <w:pStyle w:val="Innehll1"/>
        <w:rPr>
          <w:rFonts w:asciiTheme="minorHAnsi" w:eastAsiaTheme="minorEastAsia" w:hAnsiTheme="minorHAnsi" w:cstheme="minorBidi"/>
          <w:noProof/>
          <w:sz w:val="22"/>
          <w:szCs w:val="22"/>
        </w:rPr>
      </w:pPr>
      <w:hyperlink w:anchor="_Toc126330499" w:history="1">
        <w:r w:rsidRPr="00016DCE">
          <w:rPr>
            <w:rStyle w:val="Hyperlnk"/>
            <w:rFonts w:eastAsia="MS Gothic"/>
            <w:noProof/>
          </w:rPr>
          <w:t>Förutsättningar</w:t>
        </w:r>
        <w:r>
          <w:rPr>
            <w:noProof/>
            <w:webHidden/>
          </w:rPr>
          <w:tab/>
        </w:r>
        <w:r>
          <w:rPr>
            <w:noProof/>
            <w:webHidden/>
          </w:rPr>
          <w:fldChar w:fldCharType="begin"/>
        </w:r>
        <w:r>
          <w:rPr>
            <w:noProof/>
            <w:webHidden/>
          </w:rPr>
          <w:instrText xml:space="preserve"> PAGEREF _Toc126330499 \h </w:instrText>
        </w:r>
        <w:r>
          <w:rPr>
            <w:noProof/>
            <w:webHidden/>
          </w:rPr>
        </w:r>
        <w:r>
          <w:rPr>
            <w:noProof/>
            <w:webHidden/>
          </w:rPr>
          <w:fldChar w:fldCharType="separate"/>
        </w:r>
        <w:r>
          <w:rPr>
            <w:noProof/>
            <w:webHidden/>
          </w:rPr>
          <w:t>1</w:t>
        </w:r>
        <w:r>
          <w:rPr>
            <w:noProof/>
            <w:webHidden/>
          </w:rPr>
          <w:fldChar w:fldCharType="end"/>
        </w:r>
      </w:hyperlink>
    </w:p>
    <w:p w14:paraId="403E1C27" w14:textId="75E0E446" w:rsidR="00850CE9" w:rsidRDefault="00850CE9">
      <w:pPr>
        <w:pStyle w:val="Innehll1"/>
        <w:rPr>
          <w:rFonts w:asciiTheme="minorHAnsi" w:eastAsiaTheme="minorEastAsia" w:hAnsiTheme="minorHAnsi" w:cstheme="minorBidi"/>
          <w:noProof/>
          <w:sz w:val="22"/>
          <w:szCs w:val="22"/>
        </w:rPr>
      </w:pPr>
      <w:hyperlink w:anchor="_Toc126330500" w:history="1">
        <w:r w:rsidRPr="00016DCE">
          <w:rPr>
            <w:rStyle w:val="Hyperlnk"/>
            <w:rFonts w:eastAsia="MS Gothic"/>
            <w:noProof/>
          </w:rPr>
          <w:t>Genomförande</w:t>
        </w:r>
        <w:r>
          <w:rPr>
            <w:noProof/>
            <w:webHidden/>
          </w:rPr>
          <w:tab/>
        </w:r>
        <w:r>
          <w:rPr>
            <w:noProof/>
            <w:webHidden/>
          </w:rPr>
          <w:fldChar w:fldCharType="begin"/>
        </w:r>
        <w:r>
          <w:rPr>
            <w:noProof/>
            <w:webHidden/>
          </w:rPr>
          <w:instrText xml:space="preserve"> PAGEREF _Toc126330500 \h </w:instrText>
        </w:r>
        <w:r>
          <w:rPr>
            <w:noProof/>
            <w:webHidden/>
          </w:rPr>
        </w:r>
        <w:r>
          <w:rPr>
            <w:noProof/>
            <w:webHidden/>
          </w:rPr>
          <w:fldChar w:fldCharType="separate"/>
        </w:r>
        <w:r>
          <w:rPr>
            <w:noProof/>
            <w:webHidden/>
          </w:rPr>
          <w:t>2</w:t>
        </w:r>
        <w:r>
          <w:rPr>
            <w:noProof/>
            <w:webHidden/>
          </w:rPr>
          <w:fldChar w:fldCharType="end"/>
        </w:r>
      </w:hyperlink>
    </w:p>
    <w:p w14:paraId="29CAC98E" w14:textId="0EF6E714" w:rsidR="00850CE9" w:rsidRDefault="00850CE9">
      <w:pPr>
        <w:pStyle w:val="Innehll2"/>
        <w:rPr>
          <w:rFonts w:asciiTheme="minorHAnsi" w:eastAsiaTheme="minorEastAsia" w:hAnsiTheme="minorHAnsi" w:cstheme="minorBidi"/>
          <w:noProof/>
          <w:sz w:val="22"/>
          <w:szCs w:val="22"/>
        </w:rPr>
      </w:pPr>
      <w:hyperlink w:anchor="_Toc126330501" w:history="1">
        <w:r w:rsidRPr="00016DCE">
          <w:rPr>
            <w:rStyle w:val="Hyperlnk"/>
            <w:rFonts w:eastAsia="MS Gothic"/>
            <w:noProof/>
            <w:lang w:eastAsia="zh-CN"/>
          </w:rPr>
          <w:t>Riskbedömning undernäring</w:t>
        </w:r>
        <w:r>
          <w:rPr>
            <w:noProof/>
            <w:webHidden/>
          </w:rPr>
          <w:tab/>
        </w:r>
        <w:r>
          <w:rPr>
            <w:noProof/>
            <w:webHidden/>
          </w:rPr>
          <w:fldChar w:fldCharType="begin"/>
        </w:r>
        <w:r>
          <w:rPr>
            <w:noProof/>
            <w:webHidden/>
          </w:rPr>
          <w:instrText xml:space="preserve"> PAGEREF _Toc126330501 \h </w:instrText>
        </w:r>
        <w:r>
          <w:rPr>
            <w:noProof/>
            <w:webHidden/>
          </w:rPr>
        </w:r>
        <w:r>
          <w:rPr>
            <w:noProof/>
            <w:webHidden/>
          </w:rPr>
          <w:fldChar w:fldCharType="separate"/>
        </w:r>
        <w:r>
          <w:rPr>
            <w:noProof/>
            <w:webHidden/>
          </w:rPr>
          <w:t>2</w:t>
        </w:r>
        <w:r>
          <w:rPr>
            <w:noProof/>
            <w:webHidden/>
          </w:rPr>
          <w:fldChar w:fldCharType="end"/>
        </w:r>
      </w:hyperlink>
    </w:p>
    <w:p w14:paraId="63A307B4" w14:textId="480AC661" w:rsidR="00850CE9" w:rsidRDefault="00850CE9">
      <w:pPr>
        <w:pStyle w:val="Innehll2"/>
        <w:rPr>
          <w:rFonts w:asciiTheme="minorHAnsi" w:eastAsiaTheme="minorEastAsia" w:hAnsiTheme="minorHAnsi" w:cstheme="minorBidi"/>
          <w:noProof/>
          <w:sz w:val="22"/>
          <w:szCs w:val="22"/>
        </w:rPr>
      </w:pPr>
      <w:hyperlink w:anchor="_Toc126330502" w:history="1">
        <w:r w:rsidRPr="00016DCE">
          <w:rPr>
            <w:rStyle w:val="Hyperlnk"/>
            <w:rFonts w:eastAsia="MS Gothic"/>
            <w:noProof/>
            <w:lang w:eastAsia="zh-CN"/>
          </w:rPr>
          <w:t>Nutritionsåtgärder efter utförd riskbedömning</w:t>
        </w:r>
        <w:r>
          <w:rPr>
            <w:noProof/>
            <w:webHidden/>
          </w:rPr>
          <w:tab/>
        </w:r>
        <w:r>
          <w:rPr>
            <w:noProof/>
            <w:webHidden/>
          </w:rPr>
          <w:fldChar w:fldCharType="begin"/>
        </w:r>
        <w:r>
          <w:rPr>
            <w:noProof/>
            <w:webHidden/>
          </w:rPr>
          <w:instrText xml:space="preserve"> PAGEREF _Toc126330502 \h </w:instrText>
        </w:r>
        <w:r>
          <w:rPr>
            <w:noProof/>
            <w:webHidden/>
          </w:rPr>
        </w:r>
        <w:r>
          <w:rPr>
            <w:noProof/>
            <w:webHidden/>
          </w:rPr>
          <w:fldChar w:fldCharType="separate"/>
        </w:r>
        <w:r>
          <w:rPr>
            <w:noProof/>
            <w:webHidden/>
          </w:rPr>
          <w:t>3</w:t>
        </w:r>
        <w:r>
          <w:rPr>
            <w:noProof/>
            <w:webHidden/>
          </w:rPr>
          <w:fldChar w:fldCharType="end"/>
        </w:r>
      </w:hyperlink>
    </w:p>
    <w:p w14:paraId="006B6A4C" w14:textId="440DC49D" w:rsidR="00850CE9" w:rsidRDefault="00850CE9">
      <w:pPr>
        <w:pStyle w:val="Innehll2"/>
        <w:rPr>
          <w:rFonts w:asciiTheme="minorHAnsi" w:eastAsiaTheme="minorEastAsia" w:hAnsiTheme="minorHAnsi" w:cstheme="minorBidi"/>
          <w:noProof/>
          <w:sz w:val="22"/>
          <w:szCs w:val="22"/>
        </w:rPr>
      </w:pPr>
      <w:hyperlink w:anchor="_Toc126330503" w:history="1">
        <w:r w:rsidRPr="00016DCE">
          <w:rPr>
            <w:rStyle w:val="Hyperlnk"/>
            <w:rFonts w:eastAsia="MS Gothic"/>
            <w:noProof/>
          </w:rPr>
          <w:t>Uppföljning efter avslutad vårdtid</w:t>
        </w:r>
        <w:r>
          <w:rPr>
            <w:noProof/>
            <w:webHidden/>
          </w:rPr>
          <w:tab/>
        </w:r>
        <w:r>
          <w:rPr>
            <w:noProof/>
            <w:webHidden/>
          </w:rPr>
          <w:fldChar w:fldCharType="begin"/>
        </w:r>
        <w:r>
          <w:rPr>
            <w:noProof/>
            <w:webHidden/>
          </w:rPr>
          <w:instrText xml:space="preserve"> PAGEREF _Toc126330503 \h </w:instrText>
        </w:r>
        <w:r>
          <w:rPr>
            <w:noProof/>
            <w:webHidden/>
          </w:rPr>
        </w:r>
        <w:r>
          <w:rPr>
            <w:noProof/>
            <w:webHidden/>
          </w:rPr>
          <w:fldChar w:fldCharType="separate"/>
        </w:r>
        <w:r>
          <w:rPr>
            <w:noProof/>
            <w:webHidden/>
          </w:rPr>
          <w:t>4</w:t>
        </w:r>
        <w:r>
          <w:rPr>
            <w:noProof/>
            <w:webHidden/>
          </w:rPr>
          <w:fldChar w:fldCharType="end"/>
        </w:r>
      </w:hyperlink>
    </w:p>
    <w:p w14:paraId="33D99A49" w14:textId="380FD1AF" w:rsidR="00850CE9" w:rsidRDefault="00850CE9">
      <w:pPr>
        <w:pStyle w:val="Innehll2"/>
        <w:rPr>
          <w:rFonts w:asciiTheme="minorHAnsi" w:eastAsiaTheme="minorEastAsia" w:hAnsiTheme="minorHAnsi" w:cstheme="minorBidi"/>
          <w:noProof/>
          <w:sz w:val="22"/>
          <w:szCs w:val="22"/>
        </w:rPr>
      </w:pPr>
      <w:hyperlink w:anchor="_Toc126330504" w:history="1">
        <w:r w:rsidRPr="00016DCE">
          <w:rPr>
            <w:rStyle w:val="Hyperlnk"/>
            <w:rFonts w:eastAsia="MS Gothic"/>
            <w:noProof/>
          </w:rPr>
          <w:t>Kvalitetsindikatorer</w:t>
        </w:r>
        <w:r>
          <w:rPr>
            <w:noProof/>
            <w:webHidden/>
          </w:rPr>
          <w:tab/>
        </w:r>
        <w:r>
          <w:rPr>
            <w:noProof/>
            <w:webHidden/>
          </w:rPr>
          <w:fldChar w:fldCharType="begin"/>
        </w:r>
        <w:r>
          <w:rPr>
            <w:noProof/>
            <w:webHidden/>
          </w:rPr>
          <w:instrText xml:space="preserve"> PAGEREF _Toc126330504 \h </w:instrText>
        </w:r>
        <w:r>
          <w:rPr>
            <w:noProof/>
            <w:webHidden/>
          </w:rPr>
        </w:r>
        <w:r>
          <w:rPr>
            <w:noProof/>
            <w:webHidden/>
          </w:rPr>
          <w:fldChar w:fldCharType="separate"/>
        </w:r>
        <w:r>
          <w:rPr>
            <w:noProof/>
            <w:webHidden/>
          </w:rPr>
          <w:t>4</w:t>
        </w:r>
        <w:r>
          <w:rPr>
            <w:noProof/>
            <w:webHidden/>
          </w:rPr>
          <w:fldChar w:fldCharType="end"/>
        </w:r>
      </w:hyperlink>
    </w:p>
    <w:p w14:paraId="3E00B099" w14:textId="31D9C861" w:rsidR="00850CE9" w:rsidRDefault="00850CE9">
      <w:pPr>
        <w:pStyle w:val="Innehll1"/>
        <w:rPr>
          <w:rFonts w:asciiTheme="minorHAnsi" w:eastAsiaTheme="minorEastAsia" w:hAnsiTheme="minorHAnsi" w:cstheme="minorBidi"/>
          <w:noProof/>
          <w:sz w:val="22"/>
          <w:szCs w:val="22"/>
        </w:rPr>
      </w:pPr>
      <w:hyperlink w:anchor="_Toc126330505" w:history="1">
        <w:r w:rsidRPr="00016DCE">
          <w:rPr>
            <w:rStyle w:val="Hyperlnk"/>
            <w:rFonts w:eastAsia="MS Gothic"/>
            <w:noProof/>
          </w:rPr>
          <w:t>Dokumentinformation</w:t>
        </w:r>
        <w:r>
          <w:rPr>
            <w:noProof/>
            <w:webHidden/>
          </w:rPr>
          <w:tab/>
        </w:r>
        <w:r>
          <w:rPr>
            <w:noProof/>
            <w:webHidden/>
          </w:rPr>
          <w:fldChar w:fldCharType="begin"/>
        </w:r>
        <w:r>
          <w:rPr>
            <w:noProof/>
            <w:webHidden/>
          </w:rPr>
          <w:instrText xml:space="preserve"> PAGEREF _Toc126330505 \h </w:instrText>
        </w:r>
        <w:r>
          <w:rPr>
            <w:noProof/>
            <w:webHidden/>
          </w:rPr>
        </w:r>
        <w:r>
          <w:rPr>
            <w:noProof/>
            <w:webHidden/>
          </w:rPr>
          <w:fldChar w:fldCharType="separate"/>
        </w:r>
        <w:r>
          <w:rPr>
            <w:noProof/>
            <w:webHidden/>
          </w:rPr>
          <w:t>5</w:t>
        </w:r>
        <w:r>
          <w:rPr>
            <w:noProof/>
            <w:webHidden/>
          </w:rPr>
          <w:fldChar w:fldCharType="end"/>
        </w:r>
      </w:hyperlink>
    </w:p>
    <w:p w14:paraId="3B83A6E6" w14:textId="2E7DF020" w:rsidR="00850CE9" w:rsidRDefault="00850CE9">
      <w:pPr>
        <w:pStyle w:val="Innehll1"/>
        <w:rPr>
          <w:rFonts w:asciiTheme="minorHAnsi" w:eastAsiaTheme="minorEastAsia" w:hAnsiTheme="minorHAnsi" w:cstheme="minorBidi"/>
          <w:noProof/>
          <w:sz w:val="22"/>
          <w:szCs w:val="22"/>
        </w:rPr>
      </w:pPr>
      <w:hyperlink w:anchor="_Toc126330506" w:history="1">
        <w:r w:rsidRPr="00016DCE">
          <w:rPr>
            <w:rStyle w:val="Hyperlnk"/>
            <w:rFonts w:eastAsia="MS Gothic"/>
            <w:noProof/>
          </w:rPr>
          <w:t>Referensförteckning</w:t>
        </w:r>
        <w:r>
          <w:rPr>
            <w:noProof/>
            <w:webHidden/>
          </w:rPr>
          <w:tab/>
        </w:r>
        <w:r>
          <w:rPr>
            <w:noProof/>
            <w:webHidden/>
          </w:rPr>
          <w:fldChar w:fldCharType="begin"/>
        </w:r>
        <w:r>
          <w:rPr>
            <w:noProof/>
            <w:webHidden/>
          </w:rPr>
          <w:instrText xml:space="preserve"> PAGEREF _Toc126330506 \h </w:instrText>
        </w:r>
        <w:r>
          <w:rPr>
            <w:noProof/>
            <w:webHidden/>
          </w:rPr>
        </w:r>
        <w:r>
          <w:rPr>
            <w:noProof/>
            <w:webHidden/>
          </w:rPr>
          <w:fldChar w:fldCharType="separate"/>
        </w:r>
        <w:r>
          <w:rPr>
            <w:noProof/>
            <w:webHidden/>
          </w:rPr>
          <w:t>5</w:t>
        </w:r>
        <w:r>
          <w:rPr>
            <w:noProof/>
            <w:webHidden/>
          </w:rPr>
          <w:fldChar w:fldCharType="end"/>
        </w:r>
      </w:hyperlink>
    </w:p>
    <w:p w14:paraId="44A6A876" w14:textId="663CAD34" w:rsidR="00850CE9" w:rsidRDefault="00850CE9">
      <w:pPr>
        <w:pStyle w:val="Innehll1"/>
        <w:rPr>
          <w:rFonts w:asciiTheme="minorHAnsi" w:eastAsiaTheme="minorEastAsia" w:hAnsiTheme="minorHAnsi" w:cstheme="minorBidi"/>
          <w:noProof/>
          <w:sz w:val="22"/>
          <w:szCs w:val="22"/>
        </w:rPr>
      </w:pPr>
      <w:hyperlink w:anchor="_Toc126330507" w:history="1">
        <w:r w:rsidRPr="00016DCE">
          <w:rPr>
            <w:rStyle w:val="Hyperlnk"/>
            <w:rFonts w:eastAsia="MS Gothic"/>
            <w:noProof/>
          </w:rPr>
          <w:t>Bilaga, Instruktioner för mätning och vägning</w:t>
        </w:r>
        <w:r>
          <w:rPr>
            <w:noProof/>
            <w:webHidden/>
          </w:rPr>
          <w:tab/>
        </w:r>
        <w:r>
          <w:rPr>
            <w:noProof/>
            <w:webHidden/>
          </w:rPr>
          <w:fldChar w:fldCharType="begin"/>
        </w:r>
        <w:r>
          <w:rPr>
            <w:noProof/>
            <w:webHidden/>
          </w:rPr>
          <w:instrText xml:space="preserve"> PAGEREF _Toc126330507 \h </w:instrText>
        </w:r>
        <w:r>
          <w:rPr>
            <w:noProof/>
            <w:webHidden/>
          </w:rPr>
        </w:r>
        <w:r>
          <w:rPr>
            <w:noProof/>
            <w:webHidden/>
          </w:rPr>
          <w:fldChar w:fldCharType="separate"/>
        </w:r>
        <w:r>
          <w:rPr>
            <w:noProof/>
            <w:webHidden/>
          </w:rPr>
          <w:t>6</w:t>
        </w:r>
        <w:r>
          <w:rPr>
            <w:noProof/>
            <w:webHidden/>
          </w:rPr>
          <w:fldChar w:fldCharType="end"/>
        </w:r>
      </w:hyperlink>
    </w:p>
    <w:p w14:paraId="489987B7" w14:textId="483E1D6C" w:rsidR="00850CE9" w:rsidRDefault="00850CE9">
      <w:pPr>
        <w:pStyle w:val="Innehll2"/>
        <w:rPr>
          <w:rFonts w:asciiTheme="minorHAnsi" w:eastAsiaTheme="minorEastAsia" w:hAnsiTheme="minorHAnsi" w:cstheme="minorBidi"/>
          <w:noProof/>
          <w:sz w:val="22"/>
          <w:szCs w:val="22"/>
        </w:rPr>
      </w:pPr>
      <w:hyperlink w:anchor="_Toc126330508" w:history="1">
        <w:r w:rsidRPr="00016DCE">
          <w:rPr>
            <w:rStyle w:val="Hyperlnk"/>
            <w:rFonts w:eastAsia="MS Gothic"/>
            <w:noProof/>
          </w:rPr>
          <w:t>Vikt</w:t>
        </w:r>
        <w:r>
          <w:rPr>
            <w:noProof/>
            <w:webHidden/>
          </w:rPr>
          <w:tab/>
        </w:r>
        <w:r>
          <w:rPr>
            <w:noProof/>
            <w:webHidden/>
          </w:rPr>
          <w:fldChar w:fldCharType="begin"/>
        </w:r>
        <w:r>
          <w:rPr>
            <w:noProof/>
            <w:webHidden/>
          </w:rPr>
          <w:instrText xml:space="preserve"> PAGEREF _Toc126330508 \h </w:instrText>
        </w:r>
        <w:r>
          <w:rPr>
            <w:noProof/>
            <w:webHidden/>
          </w:rPr>
        </w:r>
        <w:r>
          <w:rPr>
            <w:noProof/>
            <w:webHidden/>
          </w:rPr>
          <w:fldChar w:fldCharType="separate"/>
        </w:r>
        <w:r>
          <w:rPr>
            <w:noProof/>
            <w:webHidden/>
          </w:rPr>
          <w:t>6</w:t>
        </w:r>
        <w:r>
          <w:rPr>
            <w:noProof/>
            <w:webHidden/>
          </w:rPr>
          <w:fldChar w:fldCharType="end"/>
        </w:r>
      </w:hyperlink>
    </w:p>
    <w:p w14:paraId="44F850F2" w14:textId="79F88204" w:rsidR="00850CE9" w:rsidRDefault="00850CE9">
      <w:pPr>
        <w:pStyle w:val="Innehll2"/>
        <w:rPr>
          <w:rFonts w:asciiTheme="minorHAnsi" w:eastAsiaTheme="minorEastAsia" w:hAnsiTheme="minorHAnsi" w:cstheme="minorBidi"/>
          <w:noProof/>
          <w:sz w:val="22"/>
          <w:szCs w:val="22"/>
        </w:rPr>
      </w:pPr>
      <w:hyperlink w:anchor="_Toc126330509" w:history="1">
        <w:r w:rsidRPr="00016DCE">
          <w:rPr>
            <w:rStyle w:val="Hyperlnk"/>
            <w:rFonts w:eastAsia="MS Gothic"/>
            <w:noProof/>
          </w:rPr>
          <w:t>Längd</w:t>
        </w:r>
        <w:r>
          <w:rPr>
            <w:noProof/>
            <w:webHidden/>
          </w:rPr>
          <w:tab/>
        </w:r>
        <w:r>
          <w:rPr>
            <w:noProof/>
            <w:webHidden/>
          </w:rPr>
          <w:fldChar w:fldCharType="begin"/>
        </w:r>
        <w:r>
          <w:rPr>
            <w:noProof/>
            <w:webHidden/>
          </w:rPr>
          <w:instrText xml:space="preserve"> PAGEREF _Toc126330509 \h </w:instrText>
        </w:r>
        <w:r>
          <w:rPr>
            <w:noProof/>
            <w:webHidden/>
          </w:rPr>
        </w:r>
        <w:r>
          <w:rPr>
            <w:noProof/>
            <w:webHidden/>
          </w:rPr>
          <w:fldChar w:fldCharType="separate"/>
        </w:r>
        <w:r>
          <w:rPr>
            <w:noProof/>
            <w:webHidden/>
          </w:rPr>
          <w:t>6</w:t>
        </w:r>
        <w:r>
          <w:rPr>
            <w:noProof/>
            <w:webHidden/>
          </w:rPr>
          <w:fldChar w:fldCharType="end"/>
        </w:r>
      </w:hyperlink>
    </w:p>
    <w:p w14:paraId="4618138E" w14:textId="0546291D" w:rsidR="00087A59" w:rsidRPr="00087A59" w:rsidRDefault="00BD66FB" w:rsidP="00ED4B59">
      <w:pPr>
        <w:pStyle w:val="Rubrik2"/>
      </w:pPr>
      <w:r>
        <w:rPr>
          <w:rFonts w:ascii="Arial" w:hAnsi="Arial"/>
          <w:noProof/>
          <w:color w:val="0000FF"/>
          <w:sz w:val="22"/>
          <w:szCs w:val="32"/>
          <w:u w:val="single"/>
        </w:rPr>
        <w:fldChar w:fldCharType="end"/>
      </w:r>
      <w:bookmarkStart w:id="12" w:name="_Toc419893117"/>
      <w:bookmarkStart w:id="13" w:name="_Toc256000002"/>
      <w:bookmarkStart w:id="14" w:name="_Toc256000010"/>
      <w:bookmarkStart w:id="15" w:name="_Toc59181273"/>
      <w:bookmarkStart w:id="16" w:name="_Toc256000004"/>
      <w:bookmarkStart w:id="17" w:name="_Toc256000026"/>
      <w:bookmarkStart w:id="18" w:name="_Toc63760091"/>
      <w:bookmarkStart w:id="19" w:name="_Toc256000041"/>
      <w:bookmarkStart w:id="20" w:name="_Toc126330499"/>
      <w:r w:rsidR="00087A59" w:rsidRPr="00087A59">
        <w:t>Förutsättningar</w:t>
      </w:r>
      <w:bookmarkEnd w:id="12"/>
      <w:bookmarkEnd w:id="13"/>
      <w:bookmarkEnd w:id="14"/>
      <w:bookmarkEnd w:id="15"/>
      <w:bookmarkEnd w:id="16"/>
      <w:bookmarkEnd w:id="17"/>
      <w:bookmarkEnd w:id="18"/>
      <w:bookmarkEnd w:id="19"/>
      <w:bookmarkEnd w:id="20"/>
    </w:p>
    <w:p w14:paraId="24B315FD" w14:textId="28448009" w:rsidR="00087A59" w:rsidRPr="00087A59" w:rsidRDefault="00087A59" w:rsidP="001823E2">
      <w:pPr>
        <w:rPr>
          <w:lang w:eastAsia="zh-CN"/>
        </w:rPr>
      </w:pPr>
      <w:r w:rsidRPr="00087A59">
        <w:rPr>
          <w:lang w:eastAsia="zh-CN"/>
        </w:rPr>
        <w:t xml:space="preserve">Med hjälp av rutinmässig riskbedömning kan undernäring tidigt upptäckas och åtgärder vidtas hos patienter som vårdas inom </w:t>
      </w:r>
      <w:r w:rsidRPr="00087A59">
        <w:rPr>
          <w:lang w:eastAsia="zh-CN"/>
        </w:rPr>
        <w:lastRenderedPageBreak/>
        <w:t>slutenvården [1]. Riskbedömning och insatta åtgärder i kombination med säkerställande av att nutrition och tillväxt följs upp efter utskrivning från avdelningen ökar förutsättningarna för att förebygga och behandla undernäring hos barn och ungdomar [2].</w:t>
      </w:r>
    </w:p>
    <w:p w14:paraId="055F57DE" w14:textId="77777777" w:rsidR="00087A59" w:rsidRPr="00087A59" w:rsidRDefault="00087A59" w:rsidP="001823E2">
      <w:pPr>
        <w:rPr>
          <w:lang w:eastAsia="zh-CN"/>
        </w:rPr>
      </w:pPr>
      <w:r w:rsidRPr="00087A59">
        <w:rPr>
          <w:lang w:eastAsia="zh-CN"/>
        </w:rPr>
        <w:t xml:space="preserve">I enlighet med Vårdhandbokens kapitel om nutrition bygger nutritionsomhändertagande på tvärprofessionell samverkan. För ansvarsfördelning, se </w:t>
      </w:r>
      <w:hyperlink r:id="rId17" w:history="1">
        <w:r w:rsidRPr="001823E2">
          <w:rPr>
            <w:rStyle w:val="Hyperlnk"/>
          </w:rPr>
          <w:t>Vårdhandboken</w:t>
        </w:r>
      </w:hyperlink>
      <w:r w:rsidRPr="00087A59">
        <w:rPr>
          <w:color w:val="0070C0"/>
          <w:lang w:eastAsia="zh-CN"/>
        </w:rPr>
        <w:t xml:space="preserve"> </w:t>
      </w:r>
      <w:r w:rsidRPr="00087A59">
        <w:rPr>
          <w:lang w:eastAsia="zh-CN"/>
        </w:rPr>
        <w:t>[3].</w:t>
      </w:r>
    </w:p>
    <w:p w14:paraId="35BA81AB" w14:textId="77777777" w:rsidR="00087A59" w:rsidRPr="00087A59" w:rsidRDefault="00087A59" w:rsidP="001823E2">
      <w:pPr>
        <w:pStyle w:val="Rubrik2"/>
      </w:pPr>
      <w:bookmarkStart w:id="21" w:name="_Toc419893118"/>
      <w:bookmarkStart w:id="22" w:name="_Toc256000003"/>
      <w:bookmarkStart w:id="23" w:name="_Toc256000011"/>
      <w:bookmarkStart w:id="24" w:name="_Toc59181274"/>
      <w:bookmarkStart w:id="25" w:name="_Toc256000007"/>
      <w:bookmarkStart w:id="26" w:name="_Toc256000027"/>
      <w:bookmarkStart w:id="27" w:name="_Toc63760092"/>
      <w:bookmarkStart w:id="28" w:name="_Toc256000042"/>
      <w:bookmarkStart w:id="29" w:name="_Toc126330500"/>
      <w:r w:rsidRPr="00087A59">
        <w:t>Genomförande</w:t>
      </w:r>
      <w:bookmarkEnd w:id="21"/>
      <w:bookmarkEnd w:id="22"/>
      <w:bookmarkEnd w:id="23"/>
      <w:bookmarkEnd w:id="24"/>
      <w:bookmarkEnd w:id="25"/>
      <w:bookmarkEnd w:id="26"/>
      <w:bookmarkEnd w:id="27"/>
      <w:bookmarkEnd w:id="28"/>
      <w:bookmarkEnd w:id="29"/>
    </w:p>
    <w:p w14:paraId="4F0D426E" w14:textId="77777777" w:rsidR="00087A59" w:rsidRPr="00087A59" w:rsidRDefault="00087A59" w:rsidP="00BD66FB">
      <w:pPr>
        <w:pStyle w:val="Rubrik3"/>
        <w:spacing w:before="120"/>
        <w:rPr>
          <w:lang w:eastAsia="zh-CN"/>
        </w:rPr>
      </w:pPr>
      <w:bookmarkStart w:id="30" w:name="_Toc57629321"/>
      <w:bookmarkStart w:id="31" w:name="_Toc59181275"/>
      <w:bookmarkStart w:id="32" w:name="_Toc256000009"/>
      <w:bookmarkStart w:id="33" w:name="_Toc256000028"/>
      <w:bookmarkStart w:id="34" w:name="_Toc63760093"/>
      <w:bookmarkStart w:id="35" w:name="_Toc256000043"/>
      <w:bookmarkStart w:id="36" w:name="_Toc126330501"/>
      <w:r w:rsidRPr="00087A59">
        <w:rPr>
          <w:lang w:eastAsia="zh-CN"/>
        </w:rPr>
        <w:t>Riskbedömning undernäring</w:t>
      </w:r>
      <w:bookmarkEnd w:id="30"/>
      <w:bookmarkEnd w:id="31"/>
      <w:bookmarkEnd w:id="32"/>
      <w:bookmarkEnd w:id="33"/>
      <w:bookmarkEnd w:id="34"/>
      <w:bookmarkEnd w:id="35"/>
      <w:bookmarkEnd w:id="36"/>
    </w:p>
    <w:p w14:paraId="4ABA5079" w14:textId="77777777" w:rsidR="00087A59" w:rsidRPr="00087A59" w:rsidRDefault="00087A59" w:rsidP="001823E2">
      <w:pPr>
        <w:rPr>
          <w:rFonts w:eastAsia="Calibri"/>
          <w:lang w:eastAsia="en-US"/>
        </w:rPr>
      </w:pPr>
      <w:r w:rsidRPr="00087A59">
        <w:rPr>
          <w:rFonts w:eastAsia="Calibri"/>
          <w:lang w:eastAsia="en-US"/>
        </w:rPr>
        <w:t>Vid Södra Älvsborgs Sjukhus har vi valt att använda den svenska översätt-ningen av verktyget STRONGkids (Screening Tool for Risk of Impaired Nutritional status and Growth) för att bedöma risken för undernäring hos inneliggande barn och ungdomar [3].</w:t>
      </w:r>
    </w:p>
    <w:p w14:paraId="68AE1BFA" w14:textId="6A1D9585" w:rsidR="00087A59" w:rsidRPr="00087A59" w:rsidRDefault="00087A59" w:rsidP="001823E2">
      <w:pPr>
        <w:rPr>
          <w:rFonts w:eastAsia="Calibri"/>
          <w:lang w:eastAsia="en-US"/>
        </w:rPr>
      </w:pPr>
      <w:r w:rsidRPr="00087A59">
        <w:rPr>
          <w:rFonts w:eastAsia="Calibri"/>
          <w:lang w:eastAsia="en-US"/>
        </w:rPr>
        <w:t>Alla barn i åldrarna 1 månad till 18 år ska inom 24 timmar efter ankomst riskbedömas för undernäring med STRONGkids. Undantag får göras för patienter med en förväntad vårdtid under 24 timmar eller med en diagnos och/eller allmäntillstånd som gör riskbedömningen irrelevant. Sjuksköterskan ansvarar både för att riskbedömningen genomförs, samt att vikt och längd mäts vid inskrivningen.</w:t>
      </w:r>
    </w:p>
    <w:p w14:paraId="7A7446D8" w14:textId="77777777" w:rsidR="00087A59" w:rsidRPr="00087A59" w:rsidRDefault="00087A59" w:rsidP="001823E2">
      <w:pPr>
        <w:rPr>
          <w:lang w:eastAsia="zh-CN"/>
        </w:rPr>
      </w:pPr>
      <w:r w:rsidRPr="00087A59">
        <w:rPr>
          <w:rFonts w:eastAsia="Calibri"/>
          <w:lang w:eastAsia="en-US"/>
        </w:rPr>
        <w:t>Riskbedömningsinstrumentet STRONGkids inkluderar fyra frågor som besvaras med ja och nej. Svaren poängsätts enligt nedan</w:t>
      </w:r>
      <w:r w:rsidRPr="00087A59">
        <w:rPr>
          <w:lang w:eastAsia="zh-CN"/>
        </w:rPr>
        <w:t>:</w:t>
      </w:r>
    </w:p>
    <w:tbl>
      <w:tblPr>
        <w:tblW w:w="8103"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Riskbedömning enligt StrongKids"/>
        <w:tblDescription w:val="Tabellen innehåller frågor där ja/nej-svar ska lämnas för ställningstagande till om risk för undernäring finns."/>
      </w:tblPr>
      <w:tblGrid>
        <w:gridCol w:w="6023"/>
        <w:gridCol w:w="1075"/>
        <w:gridCol w:w="1005"/>
      </w:tblGrid>
      <w:tr w:rsidR="00087A59" w:rsidRPr="00087A59" w14:paraId="34639BD2" w14:textId="77777777" w:rsidTr="001823E2">
        <w:tc>
          <w:tcPr>
            <w:tcW w:w="6023" w:type="dxa"/>
            <w:shd w:val="clear" w:color="auto" w:fill="E7E6E6"/>
            <w:vAlign w:val="center"/>
          </w:tcPr>
          <w:p w14:paraId="59CEC46D" w14:textId="77777777" w:rsidR="00087A59" w:rsidRPr="00087A59" w:rsidRDefault="00087A59" w:rsidP="00087A59">
            <w:pPr>
              <w:suppressAutoHyphens/>
              <w:spacing w:before="40" w:after="40" w:line="240" w:lineRule="auto"/>
              <w:ind w:left="0" w:right="0"/>
              <w:rPr>
                <w:rFonts w:ascii="Arial" w:hAnsi="Arial" w:cs="Arial"/>
                <w:bCs/>
                <w:sz w:val="22"/>
                <w:szCs w:val="20"/>
                <w:lang w:eastAsia="zh-CN"/>
              </w:rPr>
            </w:pPr>
            <w:r w:rsidRPr="00087A59">
              <w:rPr>
                <w:rFonts w:ascii="Arial" w:hAnsi="Arial" w:cs="Arial"/>
                <w:bCs/>
                <w:sz w:val="22"/>
                <w:szCs w:val="20"/>
                <w:lang w:eastAsia="zh-CN"/>
              </w:rPr>
              <w:t>Riskbedömning för undernäring enligt STRONGkids</w:t>
            </w:r>
          </w:p>
        </w:tc>
        <w:tc>
          <w:tcPr>
            <w:tcW w:w="2080" w:type="dxa"/>
            <w:gridSpan w:val="2"/>
            <w:shd w:val="clear" w:color="auto" w:fill="E7E6E6"/>
            <w:vAlign w:val="center"/>
          </w:tcPr>
          <w:p w14:paraId="6C528274" w14:textId="77777777" w:rsidR="00087A59" w:rsidRPr="00087A59" w:rsidRDefault="00087A59" w:rsidP="00087A59">
            <w:pPr>
              <w:suppressAutoHyphens/>
              <w:spacing w:before="40" w:after="40" w:line="240" w:lineRule="auto"/>
              <w:ind w:left="0" w:right="0"/>
              <w:rPr>
                <w:rFonts w:ascii="Arial" w:hAnsi="Arial" w:cs="Arial"/>
                <w:bCs/>
                <w:sz w:val="22"/>
                <w:szCs w:val="20"/>
                <w:lang w:eastAsia="zh-CN"/>
              </w:rPr>
            </w:pPr>
            <w:r w:rsidRPr="00087A59">
              <w:rPr>
                <w:rFonts w:ascii="Arial" w:hAnsi="Arial" w:cs="Arial"/>
                <w:bCs/>
                <w:sz w:val="22"/>
                <w:szCs w:val="20"/>
                <w:lang w:eastAsia="zh-CN"/>
              </w:rPr>
              <w:t>Bedömning och poäng</w:t>
            </w:r>
          </w:p>
        </w:tc>
      </w:tr>
      <w:tr w:rsidR="00087A59" w:rsidRPr="00087A59" w14:paraId="422E36B3" w14:textId="77777777" w:rsidTr="001823E2">
        <w:tc>
          <w:tcPr>
            <w:tcW w:w="6023" w:type="dxa"/>
            <w:shd w:val="clear" w:color="auto" w:fill="auto"/>
          </w:tcPr>
          <w:p w14:paraId="6C5D8E8B" w14:textId="77777777" w:rsidR="00087A59" w:rsidRPr="00087A59" w:rsidRDefault="00087A59" w:rsidP="00D43174">
            <w:pPr>
              <w:numPr>
                <w:ilvl w:val="0"/>
                <w:numId w:val="22"/>
              </w:numPr>
              <w:overflowPunct w:val="0"/>
              <w:autoSpaceDE w:val="0"/>
              <w:autoSpaceDN w:val="0"/>
              <w:adjustRightInd w:val="0"/>
              <w:spacing w:before="100" w:after="160"/>
              <w:ind w:left="477" w:right="0" w:hanging="425"/>
              <w:textAlignment w:val="baseline"/>
              <w:rPr>
                <w:sz w:val="22"/>
                <w:szCs w:val="22"/>
                <w:lang w:eastAsia="zh-CN"/>
              </w:rPr>
            </w:pPr>
            <w:r w:rsidRPr="00087A59">
              <w:rPr>
                <w:rFonts w:eastAsia="SimSun"/>
                <w:bCs/>
                <w:sz w:val="22"/>
                <w:szCs w:val="22"/>
                <w:lang w:eastAsia="ja-JP"/>
              </w:rPr>
              <w:t>Har patienten ett dåligt nutritionsstatus utifrån en subjektiv klinisk bedömning (minskat subkutant fett och/eller minskad muskelmassa och/eller hålögdhet)?</w:t>
            </w:r>
          </w:p>
        </w:tc>
        <w:tc>
          <w:tcPr>
            <w:tcW w:w="1075" w:type="dxa"/>
            <w:shd w:val="clear" w:color="auto" w:fill="auto"/>
          </w:tcPr>
          <w:p w14:paraId="5C3260BB" w14:textId="77777777" w:rsidR="00087A59" w:rsidRPr="00087A59" w:rsidRDefault="00087A59" w:rsidP="00D43174">
            <w:pPr>
              <w:overflowPunct w:val="0"/>
              <w:autoSpaceDE w:val="0"/>
              <w:spacing w:before="100"/>
              <w:ind w:left="0" w:right="0"/>
              <w:textAlignment w:val="baseline"/>
              <w:rPr>
                <w:sz w:val="22"/>
                <w:szCs w:val="22"/>
                <w:lang w:eastAsia="zh-CN"/>
              </w:rPr>
            </w:pPr>
            <w:r w:rsidRPr="00087A59">
              <w:rPr>
                <w:sz w:val="22"/>
                <w:szCs w:val="22"/>
                <w:lang w:eastAsia="zh-CN"/>
              </w:rPr>
              <w:t>Nej = 0 p</w:t>
            </w:r>
          </w:p>
        </w:tc>
        <w:tc>
          <w:tcPr>
            <w:tcW w:w="1005" w:type="dxa"/>
            <w:shd w:val="clear" w:color="auto" w:fill="auto"/>
          </w:tcPr>
          <w:p w14:paraId="13B5D80D" w14:textId="77777777" w:rsidR="00087A59" w:rsidRPr="00087A59" w:rsidRDefault="00087A59" w:rsidP="00D43174">
            <w:pPr>
              <w:overflowPunct w:val="0"/>
              <w:autoSpaceDE w:val="0"/>
              <w:spacing w:before="100"/>
              <w:ind w:left="0" w:right="0"/>
              <w:textAlignment w:val="baseline"/>
              <w:rPr>
                <w:sz w:val="22"/>
                <w:szCs w:val="22"/>
                <w:lang w:eastAsia="zh-CN"/>
              </w:rPr>
            </w:pPr>
            <w:r w:rsidRPr="00087A59">
              <w:rPr>
                <w:sz w:val="22"/>
                <w:szCs w:val="22"/>
                <w:lang w:eastAsia="zh-CN"/>
              </w:rPr>
              <w:t xml:space="preserve">Ja = 1 p </w:t>
            </w:r>
          </w:p>
        </w:tc>
      </w:tr>
      <w:tr w:rsidR="00087A59" w:rsidRPr="00087A59" w14:paraId="5574AC00" w14:textId="77777777" w:rsidTr="001823E2">
        <w:tc>
          <w:tcPr>
            <w:tcW w:w="6023" w:type="dxa"/>
            <w:shd w:val="clear" w:color="auto" w:fill="auto"/>
          </w:tcPr>
          <w:p w14:paraId="01F551EA" w14:textId="77777777" w:rsidR="00087A59" w:rsidRPr="00087A59" w:rsidRDefault="00087A59" w:rsidP="00D43174">
            <w:pPr>
              <w:numPr>
                <w:ilvl w:val="0"/>
                <w:numId w:val="22"/>
              </w:numPr>
              <w:overflowPunct w:val="0"/>
              <w:autoSpaceDE w:val="0"/>
              <w:autoSpaceDN w:val="0"/>
              <w:adjustRightInd w:val="0"/>
              <w:spacing w:before="100" w:after="160"/>
              <w:ind w:left="477" w:right="0" w:hanging="425"/>
              <w:textAlignment w:val="baseline"/>
              <w:rPr>
                <w:sz w:val="22"/>
                <w:szCs w:val="22"/>
                <w:lang w:eastAsia="zh-CN"/>
              </w:rPr>
            </w:pPr>
            <w:r w:rsidRPr="00087A59">
              <w:rPr>
                <w:rFonts w:eastAsia="SimSun"/>
                <w:bCs/>
                <w:sz w:val="22"/>
                <w:szCs w:val="22"/>
                <w:lang w:eastAsia="ja-JP"/>
              </w:rPr>
              <w:t>Har det skett en viktminskning eller ingen viktökning (spädbarn &lt;1 år) under de senaste veckorna/månaderna?</w:t>
            </w:r>
          </w:p>
        </w:tc>
        <w:tc>
          <w:tcPr>
            <w:tcW w:w="1075" w:type="dxa"/>
            <w:shd w:val="clear" w:color="auto" w:fill="auto"/>
          </w:tcPr>
          <w:p w14:paraId="3B542C2A" w14:textId="77777777" w:rsidR="00087A59" w:rsidRPr="00087A59" w:rsidRDefault="00087A59" w:rsidP="00D43174">
            <w:pPr>
              <w:overflowPunct w:val="0"/>
              <w:autoSpaceDE w:val="0"/>
              <w:spacing w:before="100"/>
              <w:ind w:left="0" w:right="0"/>
              <w:textAlignment w:val="baseline"/>
              <w:rPr>
                <w:sz w:val="22"/>
                <w:szCs w:val="22"/>
                <w:lang w:eastAsia="zh-CN"/>
              </w:rPr>
            </w:pPr>
            <w:r w:rsidRPr="00087A59">
              <w:rPr>
                <w:sz w:val="22"/>
                <w:szCs w:val="22"/>
                <w:lang w:eastAsia="zh-CN"/>
              </w:rPr>
              <w:t>Nej = 0 p</w:t>
            </w:r>
          </w:p>
        </w:tc>
        <w:tc>
          <w:tcPr>
            <w:tcW w:w="1005" w:type="dxa"/>
            <w:shd w:val="clear" w:color="auto" w:fill="auto"/>
          </w:tcPr>
          <w:p w14:paraId="272F1CE8" w14:textId="77777777" w:rsidR="00087A59" w:rsidRPr="00087A59" w:rsidRDefault="00087A59" w:rsidP="00D43174">
            <w:pPr>
              <w:overflowPunct w:val="0"/>
              <w:autoSpaceDE w:val="0"/>
              <w:spacing w:before="100"/>
              <w:ind w:left="0" w:right="0"/>
              <w:textAlignment w:val="baseline"/>
              <w:rPr>
                <w:sz w:val="22"/>
                <w:szCs w:val="22"/>
                <w:lang w:eastAsia="zh-CN"/>
              </w:rPr>
            </w:pPr>
            <w:r w:rsidRPr="00087A59">
              <w:rPr>
                <w:sz w:val="22"/>
                <w:szCs w:val="22"/>
                <w:lang w:eastAsia="zh-CN"/>
              </w:rPr>
              <w:t>Ja = 1 p</w:t>
            </w:r>
          </w:p>
        </w:tc>
      </w:tr>
      <w:tr w:rsidR="00087A59" w:rsidRPr="00087A59" w14:paraId="4354721A" w14:textId="77777777" w:rsidTr="001823E2">
        <w:tc>
          <w:tcPr>
            <w:tcW w:w="6023" w:type="dxa"/>
            <w:shd w:val="clear" w:color="auto" w:fill="auto"/>
          </w:tcPr>
          <w:p w14:paraId="77F74CEB" w14:textId="77777777" w:rsidR="00087A59" w:rsidRPr="00087A59" w:rsidRDefault="00087A59" w:rsidP="00D43174">
            <w:pPr>
              <w:numPr>
                <w:ilvl w:val="0"/>
                <w:numId w:val="22"/>
              </w:numPr>
              <w:overflowPunct w:val="0"/>
              <w:autoSpaceDE w:val="0"/>
              <w:autoSpaceDN w:val="0"/>
              <w:adjustRightInd w:val="0"/>
              <w:spacing w:before="100" w:after="0"/>
              <w:ind w:left="477" w:right="0" w:hanging="425"/>
              <w:contextualSpacing/>
              <w:textAlignment w:val="baseline"/>
              <w:rPr>
                <w:sz w:val="22"/>
                <w:szCs w:val="22"/>
                <w:lang w:eastAsia="zh-CN"/>
              </w:rPr>
            </w:pPr>
            <w:r w:rsidRPr="00087A59">
              <w:rPr>
                <w:rFonts w:eastAsia="SimSun"/>
                <w:bCs/>
                <w:sz w:val="22"/>
                <w:szCs w:val="22"/>
                <w:lang w:eastAsia="ja-JP"/>
              </w:rPr>
              <w:t>Föreligger något av följande symtom?</w:t>
            </w:r>
          </w:p>
          <w:p w14:paraId="654EDA2A" w14:textId="77777777" w:rsidR="00087A59" w:rsidRPr="00087A59" w:rsidRDefault="00087A59" w:rsidP="00D43174">
            <w:pPr>
              <w:numPr>
                <w:ilvl w:val="0"/>
                <w:numId w:val="25"/>
              </w:numPr>
              <w:overflowPunct w:val="0"/>
              <w:autoSpaceDE w:val="0"/>
              <w:autoSpaceDN w:val="0"/>
              <w:adjustRightInd w:val="0"/>
              <w:spacing w:before="100" w:after="0"/>
              <w:ind w:left="766" w:right="0" w:hanging="283"/>
              <w:contextualSpacing/>
              <w:textAlignment w:val="baseline"/>
              <w:rPr>
                <w:rFonts w:eastAsia="SimSun"/>
                <w:bCs/>
                <w:sz w:val="22"/>
                <w:szCs w:val="22"/>
                <w:lang w:eastAsia="ja-JP"/>
              </w:rPr>
            </w:pPr>
            <w:r w:rsidRPr="00087A59">
              <w:rPr>
                <w:rFonts w:eastAsia="SimSun"/>
                <w:bCs/>
                <w:sz w:val="22"/>
                <w:szCs w:val="22"/>
                <w:lang w:eastAsia="ja-JP"/>
              </w:rPr>
              <w:t>Omfattande diarré och/eller kräkningar</w:t>
            </w:r>
          </w:p>
          <w:p w14:paraId="1D1474C5" w14:textId="77777777" w:rsidR="00087A59" w:rsidRPr="00087A59" w:rsidRDefault="00087A59" w:rsidP="00D43174">
            <w:pPr>
              <w:numPr>
                <w:ilvl w:val="0"/>
                <w:numId w:val="25"/>
              </w:numPr>
              <w:overflowPunct w:val="0"/>
              <w:autoSpaceDE w:val="0"/>
              <w:autoSpaceDN w:val="0"/>
              <w:adjustRightInd w:val="0"/>
              <w:spacing w:before="100" w:after="0"/>
              <w:ind w:left="766" w:right="0" w:hanging="283"/>
              <w:contextualSpacing/>
              <w:textAlignment w:val="baseline"/>
              <w:rPr>
                <w:rFonts w:eastAsia="SimSun"/>
                <w:bCs/>
                <w:sz w:val="22"/>
                <w:szCs w:val="22"/>
                <w:lang w:eastAsia="ja-JP"/>
              </w:rPr>
            </w:pPr>
            <w:r w:rsidRPr="00087A59">
              <w:rPr>
                <w:rFonts w:eastAsia="SimSun"/>
                <w:bCs/>
                <w:sz w:val="22"/>
                <w:szCs w:val="22"/>
                <w:lang w:eastAsia="ja-JP"/>
              </w:rPr>
              <w:t>Minskat matintag under de senaste dagarna</w:t>
            </w:r>
          </w:p>
          <w:p w14:paraId="34D0788B" w14:textId="77777777" w:rsidR="00087A59" w:rsidRPr="00087A59" w:rsidRDefault="00087A59" w:rsidP="00D43174">
            <w:pPr>
              <w:numPr>
                <w:ilvl w:val="0"/>
                <w:numId w:val="25"/>
              </w:numPr>
              <w:overflowPunct w:val="0"/>
              <w:autoSpaceDE w:val="0"/>
              <w:autoSpaceDN w:val="0"/>
              <w:adjustRightInd w:val="0"/>
              <w:spacing w:before="100" w:after="0"/>
              <w:ind w:left="766" w:right="0" w:hanging="283"/>
              <w:contextualSpacing/>
              <w:textAlignment w:val="baseline"/>
              <w:rPr>
                <w:rFonts w:eastAsia="SimSun"/>
                <w:bCs/>
                <w:sz w:val="22"/>
                <w:szCs w:val="22"/>
                <w:lang w:eastAsia="ja-JP"/>
              </w:rPr>
            </w:pPr>
            <w:r w:rsidRPr="00087A59">
              <w:rPr>
                <w:rFonts w:eastAsia="SimSun"/>
                <w:bCs/>
                <w:sz w:val="22"/>
                <w:szCs w:val="22"/>
                <w:lang w:eastAsia="ja-JP"/>
              </w:rPr>
              <w:t>Pågående nutritionsåtgärd</w:t>
            </w:r>
          </w:p>
          <w:p w14:paraId="3CAD3135" w14:textId="77777777" w:rsidR="00087A59" w:rsidRPr="00087A59" w:rsidRDefault="00087A59" w:rsidP="00D43174">
            <w:pPr>
              <w:numPr>
                <w:ilvl w:val="0"/>
                <w:numId w:val="25"/>
              </w:numPr>
              <w:overflowPunct w:val="0"/>
              <w:autoSpaceDE w:val="0"/>
              <w:autoSpaceDN w:val="0"/>
              <w:adjustRightInd w:val="0"/>
              <w:spacing w:before="100" w:after="160"/>
              <w:ind w:left="766" w:right="0" w:hanging="283"/>
              <w:textAlignment w:val="baseline"/>
              <w:rPr>
                <w:sz w:val="22"/>
                <w:szCs w:val="22"/>
                <w:lang w:eastAsia="zh-CN"/>
              </w:rPr>
            </w:pPr>
            <w:r w:rsidRPr="00087A59">
              <w:rPr>
                <w:rFonts w:eastAsia="SimSun"/>
                <w:bCs/>
                <w:sz w:val="22"/>
                <w:szCs w:val="22"/>
                <w:lang w:eastAsia="ja-JP"/>
              </w:rPr>
              <w:t>Otillräckligt näringsintag p.g.a. smärta</w:t>
            </w:r>
          </w:p>
        </w:tc>
        <w:tc>
          <w:tcPr>
            <w:tcW w:w="1075" w:type="dxa"/>
            <w:shd w:val="clear" w:color="auto" w:fill="auto"/>
          </w:tcPr>
          <w:p w14:paraId="5B458762" w14:textId="77777777" w:rsidR="00087A59" w:rsidRPr="00087A59" w:rsidRDefault="00087A59" w:rsidP="00D43174">
            <w:pPr>
              <w:overflowPunct w:val="0"/>
              <w:autoSpaceDE w:val="0"/>
              <w:spacing w:before="100"/>
              <w:ind w:left="0" w:right="0"/>
              <w:textAlignment w:val="baseline"/>
              <w:rPr>
                <w:sz w:val="22"/>
                <w:szCs w:val="22"/>
                <w:lang w:eastAsia="zh-CN"/>
              </w:rPr>
            </w:pPr>
            <w:r w:rsidRPr="00087A59">
              <w:rPr>
                <w:sz w:val="22"/>
                <w:szCs w:val="22"/>
                <w:lang w:eastAsia="zh-CN"/>
              </w:rPr>
              <w:t>Nej = 0 p</w:t>
            </w:r>
          </w:p>
        </w:tc>
        <w:tc>
          <w:tcPr>
            <w:tcW w:w="1005" w:type="dxa"/>
            <w:shd w:val="clear" w:color="auto" w:fill="auto"/>
          </w:tcPr>
          <w:p w14:paraId="15679F3C" w14:textId="77777777" w:rsidR="00087A59" w:rsidRPr="00087A59" w:rsidRDefault="00087A59" w:rsidP="00D43174">
            <w:pPr>
              <w:overflowPunct w:val="0"/>
              <w:autoSpaceDE w:val="0"/>
              <w:spacing w:before="100"/>
              <w:ind w:left="0" w:right="0"/>
              <w:textAlignment w:val="baseline"/>
              <w:rPr>
                <w:sz w:val="22"/>
                <w:szCs w:val="22"/>
                <w:lang w:eastAsia="zh-CN"/>
              </w:rPr>
            </w:pPr>
            <w:r w:rsidRPr="00087A59">
              <w:rPr>
                <w:sz w:val="22"/>
                <w:szCs w:val="22"/>
                <w:lang w:eastAsia="zh-CN"/>
              </w:rPr>
              <w:t>Ja = 1 p</w:t>
            </w:r>
          </w:p>
        </w:tc>
      </w:tr>
      <w:tr w:rsidR="00087A59" w:rsidRPr="00087A59" w14:paraId="0E970026" w14:textId="77777777" w:rsidTr="001823E2">
        <w:tc>
          <w:tcPr>
            <w:tcW w:w="6023" w:type="dxa"/>
            <w:shd w:val="clear" w:color="auto" w:fill="auto"/>
          </w:tcPr>
          <w:p w14:paraId="19AA16DB" w14:textId="77777777" w:rsidR="00087A59" w:rsidRPr="00087A59" w:rsidRDefault="00087A59" w:rsidP="00D43174">
            <w:pPr>
              <w:numPr>
                <w:ilvl w:val="0"/>
                <w:numId w:val="22"/>
              </w:numPr>
              <w:overflowPunct w:val="0"/>
              <w:autoSpaceDE w:val="0"/>
              <w:autoSpaceDN w:val="0"/>
              <w:adjustRightInd w:val="0"/>
              <w:spacing w:before="100" w:after="160"/>
              <w:ind w:left="477" w:right="0" w:hanging="425"/>
              <w:textAlignment w:val="baseline"/>
              <w:rPr>
                <w:sz w:val="22"/>
                <w:szCs w:val="22"/>
                <w:lang w:eastAsia="zh-CN"/>
              </w:rPr>
            </w:pPr>
            <w:r w:rsidRPr="00087A59">
              <w:rPr>
                <w:rFonts w:eastAsia="SimSun"/>
                <w:bCs/>
                <w:sz w:val="22"/>
                <w:szCs w:val="22"/>
                <w:lang w:eastAsia="ja-JP"/>
              </w:rPr>
              <w:t>Finns det en underliggande sjukdom med risk för under-näring (se lista nedan*) eller en planerad större operation?</w:t>
            </w:r>
          </w:p>
        </w:tc>
        <w:tc>
          <w:tcPr>
            <w:tcW w:w="1075" w:type="dxa"/>
            <w:shd w:val="clear" w:color="auto" w:fill="auto"/>
          </w:tcPr>
          <w:p w14:paraId="2D3B8702" w14:textId="77777777" w:rsidR="00087A59" w:rsidRPr="00087A59" w:rsidRDefault="00087A59" w:rsidP="00D43174">
            <w:pPr>
              <w:overflowPunct w:val="0"/>
              <w:autoSpaceDE w:val="0"/>
              <w:spacing w:before="100"/>
              <w:ind w:left="0" w:right="0"/>
              <w:textAlignment w:val="baseline"/>
              <w:rPr>
                <w:sz w:val="22"/>
                <w:szCs w:val="22"/>
                <w:lang w:eastAsia="zh-CN"/>
              </w:rPr>
            </w:pPr>
            <w:r w:rsidRPr="00087A59">
              <w:rPr>
                <w:sz w:val="22"/>
                <w:szCs w:val="22"/>
                <w:lang w:eastAsia="zh-CN"/>
              </w:rPr>
              <w:t>Nej = 0 p</w:t>
            </w:r>
          </w:p>
        </w:tc>
        <w:tc>
          <w:tcPr>
            <w:tcW w:w="1005" w:type="dxa"/>
            <w:shd w:val="clear" w:color="auto" w:fill="auto"/>
          </w:tcPr>
          <w:p w14:paraId="5FB71B16" w14:textId="77777777" w:rsidR="00087A59" w:rsidRPr="00087A59" w:rsidRDefault="00087A59" w:rsidP="00D43174">
            <w:pPr>
              <w:overflowPunct w:val="0"/>
              <w:autoSpaceDE w:val="0"/>
              <w:spacing w:before="100"/>
              <w:ind w:left="0" w:right="0"/>
              <w:textAlignment w:val="baseline"/>
              <w:rPr>
                <w:sz w:val="22"/>
                <w:szCs w:val="22"/>
                <w:lang w:eastAsia="zh-CN"/>
              </w:rPr>
            </w:pPr>
            <w:r w:rsidRPr="00087A59">
              <w:rPr>
                <w:sz w:val="22"/>
                <w:szCs w:val="22"/>
                <w:lang w:eastAsia="zh-CN"/>
              </w:rPr>
              <w:t>Ja = 2 p</w:t>
            </w:r>
          </w:p>
        </w:tc>
      </w:tr>
    </w:tbl>
    <w:p w14:paraId="51ED6D86" w14:textId="77777777" w:rsidR="00087A59" w:rsidRPr="00087A59" w:rsidRDefault="00087A59" w:rsidP="00087A59">
      <w:pPr>
        <w:spacing w:after="160" w:line="240" w:lineRule="auto"/>
        <w:ind w:left="2676" w:right="0"/>
        <w:rPr>
          <w:szCs w:val="20"/>
        </w:rPr>
      </w:pPr>
    </w:p>
    <w:tbl>
      <w:tblPr>
        <w:tblW w:w="8222" w:type="dxa"/>
        <w:tblInd w:w="907" w:type="dxa"/>
        <w:tblLook w:val="04A0" w:firstRow="1" w:lastRow="0" w:firstColumn="1" w:lastColumn="0" w:noHBand="0" w:noVBand="1"/>
        <w:tblCaption w:val="Lista med underliggande sjukdomar med risk för undernäring"/>
        <w:tblDescription w:val="Tabellen listar ett antal vanliga diagnoser med förhöjd risk för undernäring."/>
      </w:tblPr>
      <w:tblGrid>
        <w:gridCol w:w="4263"/>
        <w:gridCol w:w="3959"/>
      </w:tblGrid>
      <w:tr w:rsidR="00087A59" w:rsidRPr="00087A59" w14:paraId="47F8BA61" w14:textId="77777777" w:rsidTr="001823E2">
        <w:tc>
          <w:tcPr>
            <w:tcW w:w="8222" w:type="dxa"/>
            <w:gridSpan w:val="2"/>
            <w:shd w:val="clear" w:color="auto" w:fill="E7E6E6"/>
          </w:tcPr>
          <w:p w14:paraId="1C8F7E9B" w14:textId="77777777" w:rsidR="00087A59" w:rsidRPr="00087A59" w:rsidRDefault="00087A59" w:rsidP="00087A59">
            <w:pPr>
              <w:keepNext/>
              <w:keepLines/>
              <w:suppressAutoHyphens/>
              <w:spacing w:before="40" w:after="40" w:line="240" w:lineRule="auto"/>
              <w:ind w:left="0" w:right="0"/>
              <w:rPr>
                <w:rFonts w:ascii="Arial" w:hAnsi="Arial" w:cs="Arial"/>
                <w:bCs/>
                <w:sz w:val="22"/>
                <w:szCs w:val="20"/>
                <w:lang w:eastAsia="zh-CN"/>
              </w:rPr>
            </w:pPr>
            <w:r w:rsidRPr="00087A59">
              <w:rPr>
                <w:rFonts w:ascii="Arial" w:hAnsi="Arial" w:cs="Arial"/>
                <w:bCs/>
                <w:sz w:val="22"/>
                <w:szCs w:val="20"/>
                <w:lang w:eastAsia="zh-CN"/>
              </w:rPr>
              <w:lastRenderedPageBreak/>
              <w:t>*Lista underliggande sjukdomar med risk för undernäring</w:t>
            </w:r>
          </w:p>
        </w:tc>
      </w:tr>
      <w:tr w:rsidR="00087A59" w:rsidRPr="00087A59" w14:paraId="4764585F" w14:textId="77777777" w:rsidTr="001823E2">
        <w:tc>
          <w:tcPr>
            <w:tcW w:w="4263" w:type="dxa"/>
            <w:shd w:val="clear" w:color="auto" w:fill="auto"/>
          </w:tcPr>
          <w:p w14:paraId="2C12EC50"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Anorex ia nervosa</w:t>
            </w:r>
          </w:p>
        </w:tc>
        <w:tc>
          <w:tcPr>
            <w:tcW w:w="3959" w:type="dxa"/>
            <w:shd w:val="clear" w:color="auto" w:fill="auto"/>
          </w:tcPr>
          <w:p w14:paraId="6D008111"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Infektionssjukdom</w:t>
            </w:r>
          </w:p>
        </w:tc>
      </w:tr>
      <w:tr w:rsidR="00087A59" w:rsidRPr="00087A59" w14:paraId="27BEF49E" w14:textId="77777777" w:rsidTr="001823E2">
        <w:tc>
          <w:tcPr>
            <w:tcW w:w="4263" w:type="dxa"/>
            <w:shd w:val="clear" w:color="auto" w:fill="auto"/>
          </w:tcPr>
          <w:p w14:paraId="6F9EFD44"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Bronkopulmonell dysplasi (max 2 års ålder)</w:t>
            </w:r>
          </w:p>
        </w:tc>
        <w:tc>
          <w:tcPr>
            <w:tcW w:w="3959" w:type="dxa"/>
            <w:shd w:val="clear" w:color="auto" w:fill="auto"/>
          </w:tcPr>
          <w:p w14:paraId="416701DB"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Inflammatorisk tarmsjukdom Korttarmsyndrom</w:t>
            </w:r>
          </w:p>
        </w:tc>
      </w:tr>
      <w:tr w:rsidR="00087A59" w:rsidRPr="00087A59" w14:paraId="28D76010" w14:textId="77777777" w:rsidTr="001823E2">
        <w:tc>
          <w:tcPr>
            <w:tcW w:w="4263" w:type="dxa"/>
            <w:shd w:val="clear" w:color="auto" w:fill="auto"/>
          </w:tcPr>
          <w:p w14:paraId="63BB24DE"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Brännskada</w:t>
            </w:r>
          </w:p>
        </w:tc>
        <w:tc>
          <w:tcPr>
            <w:tcW w:w="3959" w:type="dxa"/>
            <w:shd w:val="clear" w:color="auto" w:fill="auto"/>
          </w:tcPr>
          <w:p w14:paraId="1D823FD4"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Leversjukdom, kronisk</w:t>
            </w:r>
          </w:p>
        </w:tc>
      </w:tr>
      <w:tr w:rsidR="00087A59" w:rsidRPr="00087A59" w14:paraId="7BE5916D" w14:textId="77777777" w:rsidTr="001823E2">
        <w:tc>
          <w:tcPr>
            <w:tcW w:w="4263" w:type="dxa"/>
            <w:shd w:val="clear" w:color="auto" w:fill="auto"/>
          </w:tcPr>
          <w:p w14:paraId="698D1A8E"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Bukspottkörtelinflammation</w:t>
            </w:r>
          </w:p>
        </w:tc>
        <w:tc>
          <w:tcPr>
            <w:tcW w:w="3959" w:type="dxa"/>
            <w:shd w:val="clear" w:color="auto" w:fill="auto"/>
          </w:tcPr>
          <w:p w14:paraId="6540A422"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Muskelsjukdom</w:t>
            </w:r>
          </w:p>
        </w:tc>
      </w:tr>
      <w:tr w:rsidR="00087A59" w:rsidRPr="00087A59" w14:paraId="679920F8" w14:textId="77777777" w:rsidTr="001823E2">
        <w:tc>
          <w:tcPr>
            <w:tcW w:w="4263" w:type="dxa"/>
            <w:shd w:val="clear" w:color="auto" w:fill="auto"/>
          </w:tcPr>
          <w:p w14:paraId="31090413"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Cancer</w:t>
            </w:r>
          </w:p>
        </w:tc>
        <w:tc>
          <w:tcPr>
            <w:tcW w:w="3959" w:type="dxa"/>
            <w:shd w:val="clear" w:color="auto" w:fill="auto"/>
          </w:tcPr>
          <w:p w14:paraId="41EE21F2"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Njursjukdom, kronisk</w:t>
            </w:r>
          </w:p>
        </w:tc>
      </w:tr>
      <w:tr w:rsidR="00087A59" w:rsidRPr="00087A59" w14:paraId="23E28A34" w14:textId="77777777" w:rsidTr="001823E2">
        <w:trPr>
          <w:trHeight w:val="276"/>
        </w:trPr>
        <w:tc>
          <w:tcPr>
            <w:tcW w:w="4263" w:type="dxa"/>
            <w:shd w:val="clear" w:color="auto" w:fill="auto"/>
          </w:tcPr>
          <w:p w14:paraId="7892C50C"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 xml:space="preserve">Celiaki </w:t>
            </w:r>
          </w:p>
        </w:tc>
        <w:tc>
          <w:tcPr>
            <w:tcW w:w="3959" w:type="dxa"/>
            <w:vMerge w:val="restart"/>
            <w:shd w:val="clear" w:color="auto" w:fill="auto"/>
          </w:tcPr>
          <w:p w14:paraId="319E6056"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Prematuritet (gäller upp till 6 månader ålder, korrigerad)</w:t>
            </w:r>
          </w:p>
        </w:tc>
      </w:tr>
      <w:tr w:rsidR="00087A59" w:rsidRPr="00087A59" w14:paraId="4982C1EA" w14:textId="77777777" w:rsidTr="001823E2">
        <w:trPr>
          <w:trHeight w:val="275"/>
        </w:trPr>
        <w:tc>
          <w:tcPr>
            <w:tcW w:w="4263" w:type="dxa"/>
            <w:shd w:val="clear" w:color="auto" w:fill="auto"/>
          </w:tcPr>
          <w:p w14:paraId="44DCA0E4"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Cystisk fibros</w:t>
            </w:r>
          </w:p>
        </w:tc>
        <w:tc>
          <w:tcPr>
            <w:tcW w:w="3959" w:type="dxa"/>
            <w:vMerge/>
            <w:shd w:val="clear" w:color="auto" w:fill="auto"/>
          </w:tcPr>
          <w:p w14:paraId="5F1526EA" w14:textId="77777777" w:rsidR="00087A59" w:rsidRPr="00087A59" w:rsidRDefault="00087A59" w:rsidP="00D43174">
            <w:pPr>
              <w:keepNext/>
              <w:keepLines/>
              <w:suppressAutoHyphens/>
              <w:spacing w:before="40" w:after="40"/>
              <w:ind w:left="0" w:right="0"/>
              <w:rPr>
                <w:bCs/>
                <w:sz w:val="22"/>
                <w:szCs w:val="20"/>
                <w:lang w:eastAsia="zh-CN"/>
              </w:rPr>
            </w:pPr>
          </w:p>
        </w:tc>
      </w:tr>
      <w:tr w:rsidR="00087A59" w:rsidRPr="00087A59" w14:paraId="7C11485F" w14:textId="77777777" w:rsidTr="001823E2">
        <w:tc>
          <w:tcPr>
            <w:tcW w:w="4263" w:type="dxa"/>
            <w:shd w:val="clear" w:color="auto" w:fill="auto"/>
          </w:tcPr>
          <w:p w14:paraId="3855FEDB"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Dysmaturitet (SGA)</w:t>
            </w:r>
          </w:p>
        </w:tc>
        <w:tc>
          <w:tcPr>
            <w:tcW w:w="3959" w:type="dxa"/>
            <w:shd w:val="clear" w:color="auto" w:fill="auto"/>
          </w:tcPr>
          <w:p w14:paraId="561EF106"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Trauma</w:t>
            </w:r>
          </w:p>
        </w:tc>
      </w:tr>
      <w:tr w:rsidR="00087A59" w:rsidRPr="00087A59" w14:paraId="31533821" w14:textId="77777777" w:rsidTr="001823E2">
        <w:tc>
          <w:tcPr>
            <w:tcW w:w="4263" w:type="dxa"/>
            <w:shd w:val="clear" w:color="auto" w:fill="auto"/>
          </w:tcPr>
          <w:p w14:paraId="3E125282"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Funktionsnedsättning</w:t>
            </w:r>
          </w:p>
        </w:tc>
        <w:tc>
          <w:tcPr>
            <w:tcW w:w="3959" w:type="dxa"/>
            <w:shd w:val="clear" w:color="auto" w:fill="auto"/>
          </w:tcPr>
          <w:p w14:paraId="5FF41194"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Planerad större operation</w:t>
            </w:r>
          </w:p>
        </w:tc>
      </w:tr>
      <w:tr w:rsidR="00087A59" w:rsidRPr="00087A59" w14:paraId="08AA1429" w14:textId="77777777" w:rsidTr="001823E2">
        <w:tc>
          <w:tcPr>
            <w:tcW w:w="4263" w:type="dxa"/>
            <w:shd w:val="clear" w:color="auto" w:fill="auto"/>
          </w:tcPr>
          <w:p w14:paraId="609D09E7"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Hjärtsjukdom, kronisk</w:t>
            </w:r>
          </w:p>
        </w:tc>
        <w:tc>
          <w:tcPr>
            <w:tcW w:w="3959" w:type="dxa"/>
            <w:shd w:val="clear" w:color="auto" w:fill="auto"/>
          </w:tcPr>
          <w:p w14:paraId="0391BA70" w14:textId="77777777" w:rsidR="00087A59" w:rsidRPr="00087A59" w:rsidRDefault="00087A59" w:rsidP="00D43174">
            <w:pPr>
              <w:keepNext/>
              <w:keepLines/>
              <w:suppressAutoHyphens/>
              <w:spacing w:before="40" w:after="40"/>
              <w:ind w:left="0" w:right="0"/>
              <w:rPr>
                <w:bCs/>
                <w:sz w:val="22"/>
                <w:szCs w:val="20"/>
                <w:lang w:eastAsia="zh-CN"/>
              </w:rPr>
            </w:pPr>
            <w:r w:rsidRPr="00087A59">
              <w:rPr>
                <w:bCs/>
                <w:sz w:val="22"/>
                <w:szCs w:val="20"/>
                <w:lang w:eastAsia="zh-CN"/>
              </w:rPr>
              <w:t>Annan sjukdom (klassificerad av läkare)</w:t>
            </w:r>
          </w:p>
        </w:tc>
      </w:tr>
      <w:tr w:rsidR="00087A59" w:rsidRPr="00087A59" w14:paraId="090762B8" w14:textId="77777777" w:rsidTr="001823E2">
        <w:tc>
          <w:tcPr>
            <w:tcW w:w="4263" w:type="dxa"/>
            <w:shd w:val="clear" w:color="auto" w:fill="auto"/>
          </w:tcPr>
          <w:p w14:paraId="7FD42894" w14:textId="77777777" w:rsidR="00087A59" w:rsidRPr="00087A59" w:rsidRDefault="00087A59" w:rsidP="00D43174">
            <w:pPr>
              <w:keepNext/>
              <w:keepLines/>
              <w:suppressAutoHyphens/>
              <w:spacing w:before="40" w:after="40"/>
              <w:ind w:left="0" w:right="0"/>
              <w:rPr>
                <w:bCs/>
                <w:sz w:val="22"/>
                <w:szCs w:val="20"/>
                <w:lang w:eastAsia="zh-CN"/>
              </w:rPr>
            </w:pPr>
          </w:p>
        </w:tc>
        <w:tc>
          <w:tcPr>
            <w:tcW w:w="3959" w:type="dxa"/>
            <w:shd w:val="clear" w:color="auto" w:fill="auto"/>
          </w:tcPr>
          <w:p w14:paraId="0925C51B" w14:textId="77777777" w:rsidR="00087A59" w:rsidRPr="00087A59" w:rsidRDefault="00087A59" w:rsidP="00D43174">
            <w:pPr>
              <w:keepNext/>
              <w:keepLines/>
              <w:suppressAutoHyphens/>
              <w:spacing w:before="40" w:after="40"/>
              <w:ind w:left="0" w:right="0"/>
              <w:rPr>
                <w:bCs/>
                <w:sz w:val="22"/>
                <w:szCs w:val="20"/>
                <w:lang w:eastAsia="zh-CN"/>
              </w:rPr>
            </w:pPr>
            <w:r w:rsidRPr="00087A59">
              <w:rPr>
                <w:bCs/>
                <w:i/>
                <w:sz w:val="22"/>
                <w:szCs w:val="22"/>
                <w:lang w:eastAsia="zh-CN"/>
              </w:rPr>
              <w:t>STRONGkids, Hulst JM (2010) [4]</w:t>
            </w:r>
          </w:p>
        </w:tc>
      </w:tr>
    </w:tbl>
    <w:p w14:paraId="7B62F260" w14:textId="5EFBD797" w:rsidR="00087A59" w:rsidRPr="00087A59" w:rsidRDefault="00087A59" w:rsidP="00D43174">
      <w:pPr>
        <w:spacing w:before="200"/>
      </w:pPr>
      <w:r w:rsidRPr="00087A59">
        <w:t>Poängen från riskbedömningen summeras och patienten riskvärderas utifrån antalet poäng. Baserat på resultatet från riskbedömningen klassificeras patienter som låg, medel eller hög risk för undernäring. Beroende på vilken risk-grupp för undernäring patienten beräknas tillhöra, vidtas åtgärder enligt nedan.</w:t>
      </w:r>
    </w:p>
    <w:p w14:paraId="1DF93C4C" w14:textId="77777777" w:rsidR="00087A59" w:rsidRPr="00087A59" w:rsidRDefault="00087A59" w:rsidP="001823E2">
      <w:r w:rsidRPr="00087A59">
        <w:t xml:space="preserve">Resultatet av riskbedömningen dokumenteras i Melior under </w:t>
      </w:r>
      <w:r w:rsidRPr="00087A59">
        <w:rPr>
          <w:i/>
          <w:iCs/>
        </w:rPr>
        <w:t>Ny Aktivi-tet/Riskbedömningar</w:t>
      </w:r>
      <w:r w:rsidRPr="00087A59">
        <w:t>. Ny mall öppnas för varje tillfälle riskbedömningen upprepas.</w:t>
      </w:r>
    </w:p>
    <w:p w14:paraId="7D8AE6FA" w14:textId="77777777" w:rsidR="00087A59" w:rsidRPr="00087A59" w:rsidRDefault="00087A59" w:rsidP="001823E2">
      <w:pPr>
        <w:pStyle w:val="Rubrik3"/>
        <w:rPr>
          <w:lang w:eastAsia="zh-CN"/>
        </w:rPr>
      </w:pPr>
      <w:bookmarkStart w:id="37" w:name="_Toc57629322"/>
      <w:bookmarkStart w:id="38" w:name="_Toc59181276"/>
      <w:bookmarkStart w:id="39" w:name="_Toc256000012"/>
      <w:bookmarkStart w:id="40" w:name="_Toc256000029"/>
      <w:bookmarkStart w:id="41" w:name="_Toc63760094"/>
      <w:bookmarkStart w:id="42" w:name="_Toc256000044"/>
      <w:bookmarkStart w:id="43" w:name="_Toc126330502"/>
      <w:r w:rsidRPr="00087A59">
        <w:rPr>
          <w:lang w:eastAsia="zh-CN"/>
        </w:rPr>
        <w:t>Nutritionsåtgärder efter utförd riskbedömning</w:t>
      </w:r>
      <w:bookmarkEnd w:id="37"/>
      <w:bookmarkEnd w:id="38"/>
      <w:bookmarkEnd w:id="39"/>
      <w:bookmarkEnd w:id="40"/>
      <w:bookmarkEnd w:id="41"/>
      <w:bookmarkEnd w:id="42"/>
      <w:bookmarkEnd w:id="43"/>
    </w:p>
    <w:p w14:paraId="54CC0DF0" w14:textId="77777777" w:rsidR="00087A59" w:rsidRPr="00087A59" w:rsidRDefault="00087A59" w:rsidP="001823E2">
      <w:pPr>
        <w:rPr>
          <w:lang w:eastAsia="zh-CN"/>
        </w:rPr>
      </w:pPr>
      <w:r w:rsidRPr="00087A59">
        <w:rPr>
          <w:lang w:eastAsia="zh-CN"/>
        </w:rPr>
        <w:t xml:space="preserve">Vilka åtgärder som sätts in dokumenteras i PLANERING under sökordet </w:t>
      </w:r>
      <w:r w:rsidRPr="00087A59">
        <w:rPr>
          <w:i/>
          <w:iCs/>
          <w:lang w:eastAsia="zh-CN"/>
        </w:rPr>
        <w:t>Nutrition</w:t>
      </w:r>
      <w:r w:rsidRPr="00087A59">
        <w:rPr>
          <w:lang w:eastAsia="zh-CN"/>
        </w:rPr>
        <w:t xml:space="preserve">. </w:t>
      </w:r>
    </w:p>
    <w:p w14:paraId="333F999D" w14:textId="77777777" w:rsidR="00087A59" w:rsidRPr="00087A59" w:rsidRDefault="00087A59" w:rsidP="001823E2">
      <w:pPr>
        <w:pStyle w:val="MellanrubrikVGR"/>
        <w:rPr>
          <w:lang w:eastAsia="zh-CN"/>
        </w:rPr>
      </w:pPr>
      <w:bookmarkStart w:id="44" w:name="_Toc57629323"/>
      <w:bookmarkStart w:id="45" w:name="_Toc59181277"/>
      <w:bookmarkStart w:id="46" w:name="_Toc256000015"/>
      <w:bookmarkStart w:id="47" w:name="_Toc256000030"/>
      <w:bookmarkStart w:id="48" w:name="_Toc63760095"/>
      <w:bookmarkStart w:id="49" w:name="_Toc256000045"/>
      <w:r w:rsidRPr="00087A59">
        <w:rPr>
          <w:lang w:eastAsia="zh-CN"/>
        </w:rPr>
        <w:t>0 poäng - Låg risk för undernäring</w:t>
      </w:r>
      <w:bookmarkEnd w:id="44"/>
      <w:bookmarkEnd w:id="45"/>
      <w:bookmarkEnd w:id="46"/>
      <w:bookmarkEnd w:id="47"/>
      <w:bookmarkEnd w:id="48"/>
      <w:bookmarkEnd w:id="49"/>
    </w:p>
    <w:p w14:paraId="29F4E551" w14:textId="77777777" w:rsidR="00087A59" w:rsidRPr="00087A59" w:rsidRDefault="00087A59" w:rsidP="001823E2">
      <w:pPr>
        <w:pStyle w:val="Punktlista"/>
        <w:rPr>
          <w:lang w:eastAsia="zh-CN"/>
        </w:rPr>
      </w:pPr>
      <w:r w:rsidRPr="00087A59">
        <w:rPr>
          <w:rFonts w:eastAsia="Calibri"/>
          <w:lang w:eastAsia="en-US"/>
        </w:rPr>
        <w:t>Basala nutritionsrutiner.</w:t>
      </w:r>
    </w:p>
    <w:p w14:paraId="330E20A1" w14:textId="77777777" w:rsidR="00087A59" w:rsidRPr="00087A59" w:rsidRDefault="00087A59" w:rsidP="001823E2">
      <w:pPr>
        <w:pStyle w:val="Punktlista"/>
        <w:rPr>
          <w:lang w:eastAsia="zh-CN"/>
        </w:rPr>
      </w:pPr>
      <w:r w:rsidRPr="00087A59">
        <w:rPr>
          <w:rFonts w:eastAsia="Calibri"/>
          <w:lang w:eastAsia="en-US"/>
        </w:rPr>
        <w:t xml:space="preserve">Kontrollera vikten enligt rekommenderat individuellt intervall, minst en gång per vecka, </w:t>
      </w:r>
      <w:hyperlink w:anchor="Bilaga" w:history="1">
        <w:r w:rsidRPr="007B76EC">
          <w:rPr>
            <w:rStyle w:val="Hyperlnk"/>
            <w:rFonts w:eastAsia="Calibri"/>
          </w:rPr>
          <w:t>se bilaga</w:t>
        </w:r>
      </w:hyperlink>
      <w:r w:rsidRPr="00087A59">
        <w:rPr>
          <w:rFonts w:eastAsia="Calibri"/>
          <w:lang w:eastAsia="en-US"/>
        </w:rPr>
        <w:t>.</w:t>
      </w:r>
    </w:p>
    <w:p w14:paraId="40068FEA" w14:textId="77777777" w:rsidR="00087A59" w:rsidRPr="00087A59" w:rsidRDefault="00087A59" w:rsidP="001823E2">
      <w:pPr>
        <w:pStyle w:val="Punktlista"/>
        <w:rPr>
          <w:lang w:eastAsia="zh-CN"/>
        </w:rPr>
      </w:pPr>
      <w:r w:rsidRPr="00087A59">
        <w:rPr>
          <w:rFonts w:eastAsia="Calibri"/>
          <w:lang w:eastAsia="en-US"/>
        </w:rPr>
        <w:t>Upprepa riskbedömning för undernäring varje vecka.</w:t>
      </w:r>
    </w:p>
    <w:p w14:paraId="56CBCC2A" w14:textId="77777777" w:rsidR="00087A59" w:rsidRPr="00087A59" w:rsidRDefault="00087A59" w:rsidP="001823E2">
      <w:pPr>
        <w:pStyle w:val="MellanrubrikVGR"/>
        <w:rPr>
          <w:lang w:eastAsia="zh-CN"/>
        </w:rPr>
      </w:pPr>
      <w:bookmarkStart w:id="50" w:name="_Toc57629324"/>
      <w:bookmarkStart w:id="51" w:name="_Toc59181278"/>
      <w:bookmarkStart w:id="52" w:name="_Toc256000016"/>
      <w:bookmarkStart w:id="53" w:name="_Toc256000031"/>
      <w:bookmarkStart w:id="54" w:name="_Toc63760096"/>
      <w:bookmarkStart w:id="55" w:name="_Toc256000046"/>
      <w:r w:rsidRPr="00087A59">
        <w:rPr>
          <w:lang w:eastAsia="zh-CN"/>
        </w:rPr>
        <w:t>1-3 poäng – Medelrisk för undernäring</w:t>
      </w:r>
      <w:bookmarkEnd w:id="50"/>
      <w:bookmarkEnd w:id="51"/>
      <w:bookmarkEnd w:id="52"/>
      <w:bookmarkEnd w:id="53"/>
      <w:bookmarkEnd w:id="54"/>
      <w:bookmarkEnd w:id="55"/>
    </w:p>
    <w:p w14:paraId="63643E06" w14:textId="77777777" w:rsidR="00087A59" w:rsidRPr="00087A59" w:rsidRDefault="00087A59" w:rsidP="001823E2">
      <w:pPr>
        <w:pStyle w:val="Punktlista"/>
        <w:rPr>
          <w:lang w:eastAsia="zh-CN"/>
        </w:rPr>
      </w:pPr>
      <w:r w:rsidRPr="00087A59">
        <w:rPr>
          <w:rFonts w:eastAsia="Calibri"/>
          <w:lang w:eastAsia="en-US"/>
        </w:rPr>
        <w:t>Basala nutritionsrutiner.</w:t>
      </w:r>
    </w:p>
    <w:p w14:paraId="17AC530F" w14:textId="77777777" w:rsidR="00087A59" w:rsidRPr="00087A59" w:rsidRDefault="00087A59" w:rsidP="001823E2">
      <w:pPr>
        <w:pStyle w:val="Punktlista"/>
        <w:rPr>
          <w:lang w:eastAsia="zh-CN"/>
        </w:rPr>
      </w:pPr>
      <w:r w:rsidRPr="00087A59">
        <w:rPr>
          <w:rFonts w:eastAsia="Calibri"/>
          <w:lang w:eastAsia="en-US"/>
        </w:rPr>
        <w:t>Fyll i mat- och vätskeregistrering.</w:t>
      </w:r>
    </w:p>
    <w:p w14:paraId="48FB28FC" w14:textId="77777777" w:rsidR="00087A59" w:rsidRPr="00087A59" w:rsidRDefault="00087A59" w:rsidP="001823E2">
      <w:pPr>
        <w:pStyle w:val="Punktlista"/>
        <w:rPr>
          <w:lang w:eastAsia="zh-CN"/>
        </w:rPr>
      </w:pPr>
      <w:r w:rsidRPr="00087A59">
        <w:rPr>
          <w:rFonts w:eastAsia="Calibri"/>
          <w:lang w:eastAsia="en-US"/>
        </w:rPr>
        <w:t>Överväg individanpassade nutritionsåtgärder efter behov, exempelvis</w:t>
      </w:r>
    </w:p>
    <w:p w14:paraId="666030C6" w14:textId="77777777" w:rsidR="00087A59" w:rsidRPr="00087A59" w:rsidRDefault="00087A59" w:rsidP="005D165B">
      <w:pPr>
        <w:pStyle w:val="Punktlistaunderliggande"/>
      </w:pPr>
      <w:r w:rsidRPr="00087A59">
        <w:t>Extra mellanmål.</w:t>
      </w:r>
    </w:p>
    <w:p w14:paraId="133C04FB" w14:textId="77777777" w:rsidR="00087A59" w:rsidRPr="00087A59" w:rsidRDefault="00087A59" w:rsidP="005D165B">
      <w:pPr>
        <w:pStyle w:val="Punktlistaunderliggande"/>
      </w:pPr>
      <w:r w:rsidRPr="00087A59">
        <w:t>Energiinnehållande drycker, såsom juice, saft, mjölk.</w:t>
      </w:r>
    </w:p>
    <w:p w14:paraId="0097DDFD" w14:textId="77777777" w:rsidR="00087A59" w:rsidRPr="00087A59" w:rsidRDefault="00087A59" w:rsidP="005D165B">
      <w:pPr>
        <w:pStyle w:val="Punktlistaunderliggande"/>
      </w:pPr>
      <w:r w:rsidRPr="00087A59">
        <w:t>Önskekost.</w:t>
      </w:r>
    </w:p>
    <w:p w14:paraId="5D2BED5A" w14:textId="77777777" w:rsidR="00087A59" w:rsidRPr="00087A59" w:rsidRDefault="00087A59" w:rsidP="005D165B">
      <w:pPr>
        <w:pStyle w:val="Punktlistaunderliggande"/>
      </w:pPr>
      <w:r w:rsidRPr="00087A59">
        <w:rPr>
          <w:rFonts w:eastAsia="Calibri"/>
          <w:lang w:eastAsia="en-US"/>
        </w:rPr>
        <w:lastRenderedPageBreak/>
        <w:t>Kosttillägg (Näringsdrycker/Energimoduler)</w:t>
      </w:r>
    </w:p>
    <w:p w14:paraId="793D899B" w14:textId="77777777" w:rsidR="00087A59" w:rsidRPr="00087A59" w:rsidRDefault="00087A59" w:rsidP="0099355D">
      <w:pPr>
        <w:pStyle w:val="Punktlista"/>
      </w:pPr>
      <w:r w:rsidRPr="00087A59">
        <w:rPr>
          <w:rFonts w:eastAsia="Calibri"/>
          <w:lang w:eastAsia="en-US"/>
        </w:rPr>
        <w:t>Vid behov kontakta dietist för bedömning av energi- och näringsintag samt ordination och uppföljning av kvalificerad nutritionsbehandling.</w:t>
      </w:r>
    </w:p>
    <w:p w14:paraId="48D50AE6" w14:textId="77777777" w:rsidR="00087A59" w:rsidRPr="00087A59" w:rsidRDefault="00087A59" w:rsidP="0099355D">
      <w:pPr>
        <w:pStyle w:val="Punktlista"/>
      </w:pPr>
      <w:r w:rsidRPr="00087A59">
        <w:rPr>
          <w:rFonts w:eastAsia="Calibri"/>
          <w:lang w:eastAsia="en-US"/>
        </w:rPr>
        <w:t>Vid behov kontakta logoped för bedömning av ätförmåga.</w:t>
      </w:r>
    </w:p>
    <w:p w14:paraId="301002AE" w14:textId="3500DD78" w:rsidR="00087A59" w:rsidRPr="00087A59" w:rsidRDefault="00087A59" w:rsidP="0099355D">
      <w:pPr>
        <w:pStyle w:val="Punktlista"/>
        <w:rPr>
          <w:lang w:eastAsia="zh-CN"/>
        </w:rPr>
      </w:pPr>
      <w:r w:rsidRPr="00087A59">
        <w:rPr>
          <w:rFonts w:eastAsia="Calibri"/>
          <w:lang w:eastAsia="en-US"/>
        </w:rPr>
        <w:t xml:space="preserve">Kontrollera vikten enligt rekommenderat individuellt intervall, minst två gånger per vecka, </w:t>
      </w:r>
      <w:hyperlink w:anchor="Bilaga" w:history="1">
        <w:r w:rsidRPr="0099355D">
          <w:rPr>
            <w:rStyle w:val="Hyperlnk"/>
            <w:rFonts w:eastAsia="Calibri"/>
          </w:rPr>
          <w:t>se bilaga</w:t>
        </w:r>
      </w:hyperlink>
      <w:r w:rsidRPr="00087A59">
        <w:rPr>
          <w:rFonts w:eastAsia="Calibri"/>
          <w:lang w:eastAsia="en-US"/>
        </w:rPr>
        <w:t>.</w:t>
      </w:r>
    </w:p>
    <w:p w14:paraId="7143A0FA" w14:textId="77777777" w:rsidR="00087A59" w:rsidRPr="00087A59" w:rsidRDefault="00087A59" w:rsidP="0099355D">
      <w:pPr>
        <w:pStyle w:val="Punktlista"/>
        <w:rPr>
          <w:lang w:eastAsia="zh-CN"/>
        </w:rPr>
      </w:pPr>
      <w:r w:rsidRPr="00087A59">
        <w:rPr>
          <w:rFonts w:eastAsia="Calibri"/>
          <w:lang w:eastAsia="en-US"/>
        </w:rPr>
        <w:t>Upprepa riskbedömning för undernäring varje vecka.</w:t>
      </w:r>
    </w:p>
    <w:p w14:paraId="4A8399DF" w14:textId="77777777" w:rsidR="00087A59" w:rsidRPr="00087A59" w:rsidRDefault="00087A59" w:rsidP="0099355D">
      <w:pPr>
        <w:pStyle w:val="MellanrubrikVGR"/>
        <w:rPr>
          <w:lang w:eastAsia="zh-CN"/>
        </w:rPr>
      </w:pPr>
      <w:bookmarkStart w:id="56" w:name="_Toc57629325"/>
      <w:bookmarkStart w:id="57" w:name="_Toc59181279"/>
      <w:bookmarkStart w:id="58" w:name="_Toc256000017"/>
      <w:bookmarkStart w:id="59" w:name="_Toc256000032"/>
      <w:bookmarkStart w:id="60" w:name="_Toc63760097"/>
      <w:bookmarkStart w:id="61" w:name="_Toc256000047"/>
      <w:r w:rsidRPr="00087A59">
        <w:rPr>
          <w:lang w:eastAsia="zh-CN"/>
        </w:rPr>
        <w:t>4-5 poäng - Hög risk för undernäring</w:t>
      </w:r>
      <w:bookmarkEnd w:id="56"/>
      <w:bookmarkEnd w:id="57"/>
      <w:bookmarkEnd w:id="58"/>
      <w:bookmarkEnd w:id="59"/>
      <w:bookmarkEnd w:id="60"/>
      <w:bookmarkEnd w:id="61"/>
    </w:p>
    <w:p w14:paraId="35B2CE03" w14:textId="77777777" w:rsidR="00087A59" w:rsidRPr="00087A59" w:rsidRDefault="00087A59" w:rsidP="0099355D">
      <w:pPr>
        <w:pStyle w:val="Punktlista"/>
        <w:rPr>
          <w:lang w:eastAsia="zh-CN"/>
        </w:rPr>
      </w:pPr>
      <w:r w:rsidRPr="00087A59">
        <w:rPr>
          <w:rFonts w:eastAsia="Calibri"/>
          <w:lang w:eastAsia="en-US"/>
        </w:rPr>
        <w:t>Fyll i mat- och vätskeregistrering.</w:t>
      </w:r>
    </w:p>
    <w:p w14:paraId="2796264D" w14:textId="77777777" w:rsidR="00087A59" w:rsidRPr="00087A59" w:rsidRDefault="00087A59" w:rsidP="0099355D">
      <w:pPr>
        <w:pStyle w:val="Punktlista"/>
        <w:rPr>
          <w:lang w:eastAsia="zh-CN"/>
        </w:rPr>
      </w:pPr>
      <w:r w:rsidRPr="00087A59">
        <w:rPr>
          <w:rFonts w:eastAsia="Calibri"/>
          <w:lang w:eastAsia="en-US"/>
        </w:rPr>
        <w:t>Kontakta ansvarig läkare för ställningstagande till om den höga risken för undernäring orsakas av medicinska faktorer som behöver utredas eller kan motverkas genom specifik medicinsk behandling. Läkaren bär också det yttersta ansvaret för enteral och parenteral nutrition.</w:t>
      </w:r>
    </w:p>
    <w:p w14:paraId="46483050" w14:textId="36EC785B" w:rsidR="00087A59" w:rsidRPr="00087A59" w:rsidRDefault="00087A59" w:rsidP="0099355D">
      <w:pPr>
        <w:pStyle w:val="Punktlista"/>
        <w:rPr>
          <w:rFonts w:eastAsia="Calibri"/>
          <w:lang w:eastAsia="en-US"/>
        </w:rPr>
      </w:pPr>
      <w:r w:rsidRPr="00087A59">
        <w:rPr>
          <w:rFonts w:eastAsia="Calibri"/>
          <w:lang w:eastAsia="en-US"/>
        </w:rPr>
        <w:t>Kontakta dietist för bedömning av energi- och näringsintag samt ordination och uppföljning av kvalificerad nutritionsbehandling.</w:t>
      </w:r>
    </w:p>
    <w:p w14:paraId="5A724CD2" w14:textId="77777777" w:rsidR="00087A59" w:rsidRPr="00087A59" w:rsidRDefault="00087A59" w:rsidP="0099355D">
      <w:pPr>
        <w:pStyle w:val="Punktlista"/>
      </w:pPr>
      <w:r w:rsidRPr="00087A59">
        <w:rPr>
          <w:rFonts w:eastAsia="Calibri"/>
          <w:lang w:eastAsia="en-US"/>
        </w:rPr>
        <w:t>Vid behov kontakta logoped för bedömning av ätförmåga.</w:t>
      </w:r>
    </w:p>
    <w:p w14:paraId="6DF9F35F" w14:textId="77777777" w:rsidR="00087A59" w:rsidRPr="00087A59" w:rsidRDefault="00087A59" w:rsidP="0099355D">
      <w:pPr>
        <w:pStyle w:val="Punktlista"/>
        <w:rPr>
          <w:lang w:eastAsia="zh-CN"/>
        </w:rPr>
      </w:pPr>
      <w:r w:rsidRPr="00087A59">
        <w:rPr>
          <w:rFonts w:eastAsia="Calibri"/>
          <w:lang w:eastAsia="en-US"/>
        </w:rPr>
        <w:t xml:space="preserve">Kontrollera vikten enligt rekommenderat individuellt intervall, minst två gånger per vecka, </w:t>
      </w:r>
      <w:hyperlink w:anchor="Bilaga" w:history="1">
        <w:r w:rsidRPr="0099355D">
          <w:rPr>
            <w:rStyle w:val="Hyperlnk"/>
            <w:rFonts w:eastAsia="Calibri"/>
          </w:rPr>
          <w:t>se bilaga</w:t>
        </w:r>
      </w:hyperlink>
      <w:r w:rsidRPr="00087A59">
        <w:rPr>
          <w:rFonts w:eastAsia="Calibri"/>
          <w:lang w:eastAsia="en-US"/>
        </w:rPr>
        <w:t>.</w:t>
      </w:r>
    </w:p>
    <w:p w14:paraId="28FA709C" w14:textId="77777777" w:rsidR="00087A59" w:rsidRPr="00087A59" w:rsidRDefault="00087A59" w:rsidP="0099355D">
      <w:pPr>
        <w:pStyle w:val="Punktlista"/>
        <w:rPr>
          <w:lang w:eastAsia="zh-CN"/>
        </w:rPr>
      </w:pPr>
      <w:r w:rsidRPr="00087A59">
        <w:rPr>
          <w:rFonts w:eastAsia="Calibri"/>
          <w:lang w:eastAsia="en-US"/>
        </w:rPr>
        <w:t>Upprepa riskbedömning för undernäring varje vecka.</w:t>
      </w:r>
    </w:p>
    <w:p w14:paraId="2ABED622" w14:textId="77777777" w:rsidR="00087A59" w:rsidRPr="00087A59" w:rsidRDefault="00087A59" w:rsidP="0099355D">
      <w:pPr>
        <w:pStyle w:val="Rubrik3"/>
      </w:pPr>
      <w:bookmarkStart w:id="62" w:name="_Toc57629326"/>
      <w:bookmarkStart w:id="63" w:name="_Toc59181280"/>
      <w:bookmarkStart w:id="64" w:name="_Toc256000018"/>
      <w:bookmarkStart w:id="65" w:name="_Toc256000033"/>
      <w:bookmarkStart w:id="66" w:name="_Toc63760098"/>
      <w:bookmarkStart w:id="67" w:name="_Toc256000048"/>
      <w:bookmarkStart w:id="68" w:name="_Toc126330503"/>
      <w:r w:rsidRPr="00087A59">
        <w:t>Uppföljning efter avslutad vårdtid</w:t>
      </w:r>
      <w:bookmarkEnd w:id="62"/>
      <w:bookmarkEnd w:id="63"/>
      <w:bookmarkEnd w:id="64"/>
      <w:bookmarkEnd w:id="65"/>
      <w:bookmarkEnd w:id="66"/>
      <w:bookmarkEnd w:id="67"/>
      <w:bookmarkEnd w:id="68"/>
    </w:p>
    <w:p w14:paraId="7629986F" w14:textId="77777777" w:rsidR="00087A59" w:rsidRPr="00087A59" w:rsidRDefault="00087A59" w:rsidP="0099355D">
      <w:r w:rsidRPr="00087A59">
        <w:t>Efter avslutad vårdtid inom slutenvården på SÄS ska, vid behov, nutrition och tillväxt följas av annan vårdgivare. Utskrivande läkare bedömer och överremitterar vid behov patienten till läkare på lämplig vårdnivå.</w:t>
      </w:r>
    </w:p>
    <w:p w14:paraId="34C9E278" w14:textId="77777777" w:rsidR="00087A59" w:rsidRPr="00087A59" w:rsidRDefault="00087A59" w:rsidP="0099355D">
      <w:r w:rsidRPr="00087A59">
        <w:t>Vid utskrivning från slutenvården på SÄS överrapporteras resultat av risk-bedömningen samt eventuella vidtagna åtgärder till nästa vårdgivare.</w:t>
      </w:r>
    </w:p>
    <w:p w14:paraId="4001F115" w14:textId="77777777" w:rsidR="00087A59" w:rsidRPr="00087A59" w:rsidRDefault="00087A59" w:rsidP="0099355D">
      <w:r w:rsidRPr="00087A59">
        <w:t xml:space="preserve">I de fall dietist är inkopplad kontaktas vederbörande i god tid, gärna minst två till tre dagar, inför hemgång. Detta är viktigt till exempel på grund av att beställning av kosttillägg behöver göras några dagar före hemgång. Dietisten överrapporterar vid behov av uppföljning patientens nutritionsstatus samt insatta åtgärder till nästa vårdgivares dietist. </w:t>
      </w:r>
    </w:p>
    <w:p w14:paraId="258A8427" w14:textId="77777777" w:rsidR="00087A59" w:rsidRPr="00087A59" w:rsidRDefault="00087A59" w:rsidP="0099355D">
      <w:pPr>
        <w:pStyle w:val="Rubrik3"/>
      </w:pPr>
      <w:bookmarkStart w:id="69" w:name="_Toc57629327"/>
      <w:bookmarkStart w:id="70" w:name="_Toc59181281"/>
      <w:bookmarkStart w:id="71" w:name="_Toc256000019"/>
      <w:bookmarkStart w:id="72" w:name="_Toc256000034"/>
      <w:bookmarkStart w:id="73" w:name="_Toc63760099"/>
      <w:bookmarkStart w:id="74" w:name="_Toc256000049"/>
      <w:bookmarkStart w:id="75" w:name="_Toc126330504"/>
      <w:r w:rsidRPr="00087A59">
        <w:t>Kvalitetsindikatorer</w:t>
      </w:r>
      <w:bookmarkEnd w:id="69"/>
      <w:bookmarkEnd w:id="70"/>
      <w:bookmarkEnd w:id="71"/>
      <w:bookmarkEnd w:id="72"/>
      <w:bookmarkEnd w:id="73"/>
      <w:bookmarkEnd w:id="74"/>
      <w:bookmarkEnd w:id="75"/>
    </w:p>
    <w:p w14:paraId="4DFC979F" w14:textId="77777777" w:rsidR="00087A59" w:rsidRPr="00087A59" w:rsidRDefault="00087A59" w:rsidP="0099355D">
      <w:pPr>
        <w:rPr>
          <w:lang w:eastAsia="zh-CN"/>
        </w:rPr>
      </w:pPr>
      <w:r w:rsidRPr="00087A59">
        <w:rPr>
          <w:lang w:eastAsia="zh-CN"/>
        </w:rPr>
        <w:t>Följsamheten till denna rutin kommer att utvärderas genom att antalet dokumenterade resultat av riskbedömning för undernäring kommer att sammanställas.</w:t>
      </w:r>
    </w:p>
    <w:p w14:paraId="3037E2C9" w14:textId="77777777" w:rsidR="00087A59" w:rsidRPr="00087A59" w:rsidRDefault="00087A59" w:rsidP="0099355D">
      <w:pPr>
        <w:pStyle w:val="Rubrik2"/>
      </w:pPr>
      <w:bookmarkStart w:id="76" w:name="_Toc182366122"/>
      <w:bookmarkStart w:id="77" w:name="_Toc419893120"/>
      <w:bookmarkStart w:id="78" w:name="_Toc256000005"/>
      <w:bookmarkStart w:id="79" w:name="_Toc256000013"/>
      <w:bookmarkStart w:id="80" w:name="_Toc59181282"/>
      <w:bookmarkStart w:id="81" w:name="_Toc256000020"/>
      <w:bookmarkStart w:id="82" w:name="_Toc256000035"/>
      <w:bookmarkStart w:id="83" w:name="_Toc63760100"/>
      <w:bookmarkStart w:id="84" w:name="_Toc256000050"/>
      <w:bookmarkStart w:id="85" w:name="_Toc126330505"/>
      <w:r w:rsidRPr="00087A59">
        <w:lastRenderedPageBreak/>
        <w:t>Dokumentinformation</w:t>
      </w:r>
      <w:bookmarkEnd w:id="76"/>
      <w:bookmarkEnd w:id="77"/>
      <w:bookmarkEnd w:id="78"/>
      <w:bookmarkEnd w:id="79"/>
      <w:bookmarkEnd w:id="80"/>
      <w:bookmarkEnd w:id="81"/>
      <w:bookmarkEnd w:id="82"/>
      <w:bookmarkEnd w:id="83"/>
      <w:bookmarkEnd w:id="84"/>
      <w:bookmarkEnd w:id="85"/>
    </w:p>
    <w:p w14:paraId="6B03FD5A" w14:textId="77777777" w:rsidR="00087A59" w:rsidRPr="0099355D" w:rsidRDefault="00087A59" w:rsidP="0099355D">
      <w:pPr>
        <w:spacing w:after="0"/>
        <w:rPr>
          <w:b/>
          <w:bCs/>
        </w:rPr>
      </w:pPr>
      <w:r w:rsidRPr="0099355D">
        <w:rPr>
          <w:b/>
          <w:bCs/>
        </w:rPr>
        <w:t>För innehållet svarar</w:t>
      </w:r>
    </w:p>
    <w:p w14:paraId="131B58B7" w14:textId="77777777" w:rsidR="00087A59" w:rsidRPr="00087A59" w:rsidRDefault="00087A59" w:rsidP="0099355D">
      <w:pPr>
        <w:rPr>
          <w:szCs w:val="20"/>
        </w:rPr>
      </w:pPr>
      <w:bookmarkStart w:id="86" w:name="_Toc149035757"/>
      <w:bookmarkStart w:id="87" w:name="_Toc149978547"/>
      <w:r w:rsidRPr="00087A59">
        <w:rPr>
          <w:szCs w:val="20"/>
        </w:rPr>
        <w:t>Camilla Cameron, leg dietist, dietistenheten, SÄS</w:t>
      </w:r>
    </w:p>
    <w:p w14:paraId="1B271111" w14:textId="77777777" w:rsidR="00087A59" w:rsidRPr="0099355D" w:rsidRDefault="00087A59" w:rsidP="0099355D">
      <w:pPr>
        <w:spacing w:after="0"/>
        <w:rPr>
          <w:b/>
          <w:bCs/>
        </w:rPr>
      </w:pPr>
      <w:r w:rsidRPr="0099355D">
        <w:rPr>
          <w:b/>
          <w:bCs/>
        </w:rPr>
        <w:t>Remissinstanser</w:t>
      </w:r>
      <w:bookmarkEnd w:id="86"/>
      <w:bookmarkEnd w:id="87"/>
      <w:r w:rsidRPr="0099355D">
        <w:rPr>
          <w:b/>
          <w:bCs/>
        </w:rPr>
        <w:t xml:space="preserve"> (utgåva 1)</w:t>
      </w:r>
    </w:p>
    <w:p w14:paraId="44C66F93" w14:textId="77777777" w:rsidR="00087A59" w:rsidRPr="00087A59" w:rsidRDefault="00087A59" w:rsidP="0099355D">
      <w:pPr>
        <w:rPr>
          <w:szCs w:val="20"/>
        </w:rPr>
      </w:pPr>
      <w:r w:rsidRPr="00087A59">
        <w:rPr>
          <w:szCs w:val="20"/>
        </w:rPr>
        <w:t>Verksamhetschefer, SÄS</w:t>
      </w:r>
    </w:p>
    <w:p w14:paraId="0BB32F4D" w14:textId="77777777" w:rsidR="00087A59" w:rsidRPr="0099355D" w:rsidRDefault="00087A59" w:rsidP="0099355D">
      <w:pPr>
        <w:spacing w:after="0"/>
        <w:rPr>
          <w:b/>
          <w:bCs/>
        </w:rPr>
      </w:pPr>
      <w:r w:rsidRPr="0099355D">
        <w:rPr>
          <w:b/>
          <w:bCs/>
        </w:rPr>
        <w:t>Fastställt av</w:t>
      </w:r>
    </w:p>
    <w:p w14:paraId="742A48BA" w14:textId="7B0166D2" w:rsidR="00087A59" w:rsidRPr="00087A59" w:rsidRDefault="00850CE9" w:rsidP="0099355D">
      <w:pPr>
        <w:rPr>
          <w:szCs w:val="20"/>
        </w:rPr>
      </w:pPr>
      <w:r>
        <w:rPr>
          <w:szCs w:val="20"/>
        </w:rPr>
        <w:t>Jerker Nilson</w:t>
      </w:r>
      <w:r w:rsidR="00087A59" w:rsidRPr="00087A59">
        <w:rPr>
          <w:szCs w:val="20"/>
        </w:rPr>
        <w:t xml:space="preserve">, </w:t>
      </w:r>
      <w:r w:rsidR="0099355D">
        <w:rPr>
          <w:szCs w:val="20"/>
        </w:rPr>
        <w:t>c</w:t>
      </w:r>
      <w:r w:rsidR="00087A59" w:rsidRPr="00087A59">
        <w:rPr>
          <w:szCs w:val="20"/>
        </w:rPr>
        <w:t>hefläkare, SÄS</w:t>
      </w:r>
    </w:p>
    <w:p w14:paraId="15350AC6" w14:textId="77777777" w:rsidR="00087A59" w:rsidRPr="0099355D" w:rsidRDefault="00087A59" w:rsidP="0099355D">
      <w:pPr>
        <w:spacing w:after="0"/>
        <w:rPr>
          <w:b/>
          <w:bCs/>
        </w:rPr>
      </w:pPr>
      <w:r w:rsidRPr="0099355D">
        <w:rPr>
          <w:b/>
          <w:bCs/>
        </w:rPr>
        <w:t>Nyckelord</w:t>
      </w:r>
    </w:p>
    <w:p w14:paraId="2EEB0381" w14:textId="77777777" w:rsidR="00087A59" w:rsidRPr="00087A59" w:rsidRDefault="00087A59" w:rsidP="0099355D">
      <w:pPr>
        <w:rPr>
          <w:szCs w:val="20"/>
        </w:rPr>
      </w:pPr>
      <w:r w:rsidRPr="00087A59">
        <w:rPr>
          <w:szCs w:val="20"/>
        </w:rPr>
        <w:t>Undernäring, riskbedömning, barn, ungdomar, slutenvård, inneliggande, nutrition.</w:t>
      </w:r>
    </w:p>
    <w:p w14:paraId="50AE0478" w14:textId="77777777" w:rsidR="00087A59" w:rsidRPr="00087A59" w:rsidRDefault="00087A59" w:rsidP="0099355D">
      <w:pPr>
        <w:pStyle w:val="Rubrik2"/>
      </w:pPr>
      <w:bookmarkStart w:id="88" w:name="_Toc419893121"/>
      <w:bookmarkStart w:id="89" w:name="_Toc256000006"/>
      <w:bookmarkStart w:id="90" w:name="_Toc256000014"/>
      <w:bookmarkStart w:id="91" w:name="_Toc59181283"/>
      <w:bookmarkStart w:id="92" w:name="_Toc256000021"/>
      <w:bookmarkStart w:id="93" w:name="_Toc256000036"/>
      <w:bookmarkStart w:id="94" w:name="_Toc63760101"/>
      <w:bookmarkStart w:id="95" w:name="_Toc256000051"/>
      <w:bookmarkStart w:id="96" w:name="_Toc169686209"/>
      <w:bookmarkStart w:id="97" w:name="_Toc169686713"/>
      <w:bookmarkStart w:id="98" w:name="_Toc182366123"/>
      <w:bookmarkStart w:id="99" w:name="_Toc126330506"/>
      <w:r w:rsidRPr="00087A59">
        <w:t>Referensförteckning</w:t>
      </w:r>
      <w:bookmarkEnd w:id="88"/>
      <w:bookmarkEnd w:id="89"/>
      <w:bookmarkEnd w:id="90"/>
      <w:bookmarkEnd w:id="91"/>
      <w:bookmarkEnd w:id="92"/>
      <w:bookmarkEnd w:id="93"/>
      <w:bookmarkEnd w:id="94"/>
      <w:bookmarkEnd w:id="95"/>
      <w:bookmarkEnd w:id="99"/>
    </w:p>
    <w:p w14:paraId="3EEE484F" w14:textId="77777777" w:rsidR="00087A59" w:rsidRPr="00087A59" w:rsidRDefault="00087A59" w:rsidP="0099355D">
      <w:pPr>
        <w:pStyle w:val="Punktlistanumrerad"/>
      </w:pPr>
      <w:r w:rsidRPr="00087A59">
        <w:t>Taixeria AF, Viana KD. Nutritional screening in hospitalized pediatric patients: A systematic review. J Pediatr(Rio J). 2016;92(4):343-352</w:t>
      </w:r>
    </w:p>
    <w:p w14:paraId="5658DAEF" w14:textId="77777777" w:rsidR="00087A59" w:rsidRPr="00087A59" w:rsidRDefault="00087A59" w:rsidP="0099355D">
      <w:pPr>
        <w:pStyle w:val="Punktlistanumrerad"/>
      </w:pPr>
      <w:r w:rsidRPr="00087A59">
        <w:t>Joosten KF, Hulst JM. Nutritional screening tools for hospitalized children: Methodological considerations. Clin Nutr. 2014;33(1):1-5</w:t>
      </w:r>
    </w:p>
    <w:p w14:paraId="29D3F3AB" w14:textId="6D3F171F" w:rsidR="00087A59" w:rsidRPr="00087A59" w:rsidRDefault="00087A59" w:rsidP="0099355D">
      <w:pPr>
        <w:pStyle w:val="Punktlistanumrerad"/>
      </w:pPr>
      <w:r w:rsidRPr="00087A59">
        <w:t xml:space="preserve">Vårdhandboken, avsnitt Nutrition. </w:t>
      </w:r>
      <w:r w:rsidRPr="00087A59">
        <w:br/>
      </w:r>
      <w:hyperlink r:id="rId18" w:history="1">
        <w:r w:rsidR="00850CE9" w:rsidRPr="000843A5">
          <w:rPr>
            <w:rStyle w:val="Hyperlnk"/>
          </w:rPr>
          <w:t>www.vardhandboken.se/vard-och-behandling/nutrition/nutrition/ansvarsfordelning</w:t>
        </w:r>
      </w:hyperlink>
    </w:p>
    <w:p w14:paraId="4337AFBA" w14:textId="77777777" w:rsidR="00087A59" w:rsidRPr="007B76EC" w:rsidRDefault="00087A59" w:rsidP="0099355D">
      <w:pPr>
        <w:pStyle w:val="Punktlistanumrerad"/>
      </w:pPr>
      <w:r w:rsidRPr="00087A59">
        <w:t xml:space="preserve">Hulst JM, Zwart H, Hop WC, Joosten, KF. Dutch survey to test the STRONG(kids) nutritional risk screening tool in hospitalized </w:t>
      </w:r>
      <w:r w:rsidRPr="007B76EC">
        <w:t>children. Clin Nutr 2010; 29:106-11</w:t>
      </w:r>
    </w:p>
    <w:p w14:paraId="513621C5" w14:textId="1BE12B3F" w:rsidR="00087A59" w:rsidRPr="007B76EC" w:rsidRDefault="00087A59" w:rsidP="0099355D">
      <w:pPr>
        <w:pStyle w:val="Punktlistanumrerad"/>
        <w:rPr>
          <w:u w:val="single"/>
        </w:rPr>
      </w:pPr>
      <w:r w:rsidRPr="007B76EC">
        <w:t xml:space="preserve">Rikshandboken Barnhälsovård. Instruktioner för mätning och vägning på BVC. (senast reviderad 2019-05-07) </w:t>
      </w:r>
      <w:r w:rsidRPr="007B76EC">
        <w:br/>
      </w:r>
      <w:hyperlink r:id="rId19" w:history="1">
        <w:r w:rsidR="00850CE9" w:rsidRPr="000843A5">
          <w:rPr>
            <w:rStyle w:val="Hyperlnk"/>
          </w:rPr>
          <w:t>www.rikshandboken-bhv.se/halsa-och-utveckling/tillvaxt/instruktioner-for-matning-och-vagning-pa-bvc/</w:t>
        </w:r>
      </w:hyperlink>
    </w:p>
    <w:p w14:paraId="38C8B913" w14:textId="77777777" w:rsidR="0099355D" w:rsidRDefault="0099355D">
      <w:pPr>
        <w:spacing w:after="0" w:line="240" w:lineRule="auto"/>
        <w:ind w:left="0" w:right="0"/>
        <w:rPr>
          <w:rFonts w:asciiTheme="majorHAnsi" w:eastAsiaTheme="majorEastAsia" w:hAnsiTheme="majorHAnsi" w:cstheme="majorBidi"/>
          <w:bCs/>
          <w:color w:val="000000" w:themeColor="text1"/>
          <w:sz w:val="40"/>
          <w:szCs w:val="26"/>
        </w:rPr>
      </w:pPr>
      <w:bookmarkStart w:id="100" w:name="Bilaga"/>
      <w:bookmarkStart w:id="101" w:name="_Toc57629330"/>
      <w:bookmarkStart w:id="102" w:name="_Toc59181284"/>
      <w:bookmarkStart w:id="103" w:name="_Toc256000022"/>
      <w:bookmarkStart w:id="104" w:name="_Toc256000037"/>
      <w:bookmarkStart w:id="105" w:name="_Toc63760102"/>
      <w:bookmarkStart w:id="106" w:name="_Toc256000052"/>
      <w:bookmarkEnd w:id="96"/>
      <w:bookmarkEnd w:id="97"/>
      <w:bookmarkEnd w:id="98"/>
      <w:bookmarkEnd w:id="100"/>
      <w:r>
        <w:br w:type="page"/>
      </w:r>
    </w:p>
    <w:p w14:paraId="24BA52D1" w14:textId="6405422E" w:rsidR="00087A59" w:rsidRPr="00087A59" w:rsidRDefault="00087A59" w:rsidP="0099355D">
      <w:pPr>
        <w:pStyle w:val="Rubrik2"/>
      </w:pPr>
      <w:bookmarkStart w:id="107" w:name="_Toc126330507"/>
      <w:r w:rsidRPr="00087A59">
        <w:lastRenderedPageBreak/>
        <w:t>Bilaga, Instruktioner för mätning och vägning</w:t>
      </w:r>
      <w:bookmarkEnd w:id="101"/>
      <w:bookmarkEnd w:id="102"/>
      <w:bookmarkEnd w:id="103"/>
      <w:bookmarkEnd w:id="104"/>
      <w:bookmarkEnd w:id="105"/>
      <w:bookmarkEnd w:id="106"/>
      <w:bookmarkEnd w:id="107"/>
    </w:p>
    <w:p w14:paraId="1B07E402" w14:textId="77777777" w:rsidR="00087A59" w:rsidRPr="00087A59" w:rsidRDefault="00087A59" w:rsidP="0099355D">
      <w:r w:rsidRPr="00087A59">
        <w:t xml:space="preserve">Stor noggrannhet vid vägning mätning är viktig. Alla som mäter barn ska använda samma teknik. </w:t>
      </w:r>
    </w:p>
    <w:p w14:paraId="18C2F087" w14:textId="77777777" w:rsidR="00087A59" w:rsidRPr="00087A59" w:rsidRDefault="00087A59" w:rsidP="008D09AA">
      <w:pPr>
        <w:pStyle w:val="Rubrik3"/>
      </w:pPr>
      <w:bookmarkStart w:id="108" w:name="_Toc57629331"/>
      <w:bookmarkStart w:id="109" w:name="_Toc59181285"/>
      <w:bookmarkStart w:id="110" w:name="_Toc256000023"/>
      <w:bookmarkStart w:id="111" w:name="_Toc256000038"/>
      <w:bookmarkStart w:id="112" w:name="_Toc63760103"/>
      <w:bookmarkStart w:id="113" w:name="_Toc256000053"/>
      <w:bookmarkStart w:id="114" w:name="_Toc126330508"/>
      <w:r w:rsidRPr="00087A59">
        <w:t>Vikt</w:t>
      </w:r>
      <w:bookmarkEnd w:id="108"/>
      <w:bookmarkEnd w:id="109"/>
      <w:bookmarkEnd w:id="110"/>
      <w:bookmarkEnd w:id="111"/>
      <w:bookmarkEnd w:id="112"/>
      <w:bookmarkEnd w:id="113"/>
      <w:bookmarkEnd w:id="114"/>
    </w:p>
    <w:p w14:paraId="09922FAE" w14:textId="77777777" w:rsidR="00087A59" w:rsidRPr="00087A59" w:rsidRDefault="00087A59" w:rsidP="008D09AA">
      <w:r w:rsidRPr="00087A59">
        <w:t>Spädbarnsvåg används upp till 2 års ålder, sedan vägs barnet stående. Vikten mäts utan kläder och blöja. Trosa/kalsong accepteras vid vägning av de lite äldre barnen. Vikten anges i gram upp till 9999 gram (eller i kilogram med tre decimaler), därefter i kilogram med en decimal (eller i gram).</w:t>
      </w:r>
    </w:p>
    <w:p w14:paraId="483BE85F" w14:textId="77777777" w:rsidR="00087A59" w:rsidRPr="00087A59" w:rsidRDefault="00087A59" w:rsidP="008D09AA">
      <w:pPr>
        <w:pStyle w:val="Rubrik3"/>
      </w:pPr>
      <w:bookmarkStart w:id="115" w:name="_Toc57629332"/>
      <w:bookmarkStart w:id="116" w:name="_Toc59181286"/>
      <w:bookmarkStart w:id="117" w:name="_Toc256000024"/>
      <w:bookmarkStart w:id="118" w:name="_Toc256000039"/>
      <w:bookmarkStart w:id="119" w:name="_Toc63760104"/>
      <w:bookmarkStart w:id="120" w:name="_Toc256000054"/>
      <w:bookmarkStart w:id="121" w:name="_Toc126330509"/>
      <w:r w:rsidRPr="00087A59">
        <w:t>Längd</w:t>
      </w:r>
      <w:bookmarkEnd w:id="115"/>
      <w:bookmarkEnd w:id="116"/>
      <w:bookmarkEnd w:id="117"/>
      <w:bookmarkEnd w:id="118"/>
      <w:bookmarkEnd w:id="119"/>
      <w:bookmarkEnd w:id="120"/>
      <w:bookmarkEnd w:id="121"/>
    </w:p>
    <w:p w14:paraId="3D4E6D43" w14:textId="77777777" w:rsidR="00087A59" w:rsidRPr="00087A59" w:rsidRDefault="00087A59" w:rsidP="008D09AA">
      <w:r w:rsidRPr="00087A59">
        <w:t>Före 2 års ålder mäts längden med barnet liggande, därefter stående.</w:t>
      </w:r>
    </w:p>
    <w:p w14:paraId="04C27AA3" w14:textId="77777777" w:rsidR="00087A59" w:rsidRPr="00087A59" w:rsidRDefault="00087A59" w:rsidP="008D09AA">
      <w:r w:rsidRPr="00087A59">
        <w:t>Vid liggande mätning håller en person, lämpligen föräldern, barnets huvud mot huvudplattan. Barnet ska titta rakt upp. Ytterligare en person sträcker barnets ben genom att försiktigt trycka ned båda knäna mot underlaget och ser till att båda fötternas fotsulor ligger an mot fotplattan med tårna rakt upp. Läs av längden först då barnets position är acceptabel. Vid mätning på skötbord med fotplatta där längden kan avläsas från båda sidor av fotplattan, ska samma värde avläsas från båda sidorna.</w:t>
      </w:r>
    </w:p>
    <w:p w14:paraId="33E763C8" w14:textId="7CA6C0F4" w:rsidR="00087A59" w:rsidRPr="00087A59" w:rsidRDefault="00087A59" w:rsidP="008D09AA">
      <w:r w:rsidRPr="00087A59">
        <w:t>Vid stående mätning ska barnets fötter hållas ihop med hälarna mot väggen. Kontrollera att barnet sträcker upp sig utan att hälarna lyfter från golvet. Axlarna ska inte vara upplyfta. Barnet ska titta rakt fram. Se till att mätstickan ligger an mot huvudet med ett lätt tryck.</w:t>
      </w:r>
    </w:p>
    <w:p w14:paraId="76B9F95B" w14:textId="318962B3" w:rsidR="00536A5A" w:rsidRPr="00536A5A" w:rsidRDefault="00087A59" w:rsidP="008D09AA">
      <w:r w:rsidRPr="00087A59">
        <w:t>[5].</w:t>
      </w:r>
      <w:bookmarkEnd w:id="0"/>
    </w:p>
    <w:sectPr w:rsidR="00536A5A" w:rsidRPr="00536A5A" w:rsidSect="00087A5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ourier">
    <w:altName w:val="Courier New"/>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C1427362"/>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00000003"/>
    <w:multiLevelType w:val="singleLevel"/>
    <w:tmpl w:val="8048CB28"/>
    <w:lvl w:ilvl="0">
      <w:start w:val="1"/>
      <w:numFmt w:val="decimal"/>
      <w:pStyle w:val="Punktlistanumrerad"/>
      <w:lvlText w:val="%1."/>
      <w:lvlJc w:val="left"/>
      <w:pPr>
        <w:ind w:left="1352" w:hanging="360"/>
      </w:pPr>
      <w:rPr>
        <w:rFonts w:hint="default"/>
      </w:rPr>
    </w:lvl>
  </w:abstractNum>
  <w:abstractNum w:abstractNumId="5" w15:restartNumberingAfterBreak="0">
    <w:nsid w:val="0000000F"/>
    <w:multiLevelType w:val="singleLevel"/>
    <w:tmpl w:val="0000000F"/>
    <w:name w:val="WW8Num15"/>
    <w:lvl w:ilvl="0">
      <w:start w:val="1"/>
      <w:numFmt w:val="decimal"/>
      <w:lvlText w:val="%1."/>
      <w:lvlJc w:val="left"/>
      <w:pPr>
        <w:tabs>
          <w:tab w:val="num" w:pos="0"/>
        </w:tabs>
        <w:ind w:left="720" w:hanging="360"/>
      </w:pPr>
      <w:rPr>
        <w:rFonts w:eastAsia="SimSun" w:hint="default"/>
        <w:sz w:val="22"/>
      </w:rPr>
    </w:lvl>
  </w:abstractNum>
  <w:abstractNum w:abstractNumId="6"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01B32AB"/>
    <w:multiLevelType w:val="hybridMultilevel"/>
    <w:tmpl w:val="752471E8"/>
    <w:lvl w:ilvl="0" w:tplc="6F80E930">
      <w:start w:val="1"/>
      <w:numFmt w:val="upperLetter"/>
      <w:pStyle w:val="Punktlistaunderliggande"/>
      <w:lvlText w:val="%1."/>
      <w:lvlJc w:val="left"/>
      <w:pPr>
        <w:ind w:left="1086"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BE147E3"/>
    <w:multiLevelType w:val="hybridMultilevel"/>
    <w:tmpl w:val="48AA2A84"/>
    <w:lvl w:ilvl="0" w:tplc="FFFFFFFF">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34371478">
    <w:abstractNumId w:val="23"/>
  </w:num>
  <w:num w:numId="2" w16cid:durableId="857624452">
    <w:abstractNumId w:val="20"/>
  </w:num>
  <w:num w:numId="3" w16cid:durableId="1574582879">
    <w:abstractNumId w:val="0"/>
  </w:num>
  <w:num w:numId="4" w16cid:durableId="163594460">
    <w:abstractNumId w:val="10"/>
  </w:num>
  <w:num w:numId="5" w16cid:durableId="286160046">
    <w:abstractNumId w:val="21"/>
  </w:num>
  <w:num w:numId="6" w16cid:durableId="1629772615">
    <w:abstractNumId w:val="6"/>
  </w:num>
  <w:num w:numId="7" w16cid:durableId="818839175">
    <w:abstractNumId w:val="16"/>
  </w:num>
  <w:num w:numId="8" w16cid:durableId="1119683630">
    <w:abstractNumId w:val="13"/>
  </w:num>
  <w:num w:numId="9" w16cid:durableId="1062824649">
    <w:abstractNumId w:val="2"/>
  </w:num>
  <w:num w:numId="10" w16cid:durableId="3022399">
    <w:abstractNumId w:val="2"/>
  </w:num>
  <w:num w:numId="11" w16cid:durableId="421996591">
    <w:abstractNumId w:val="7"/>
  </w:num>
  <w:num w:numId="12" w16cid:durableId="1455948139">
    <w:abstractNumId w:val="8"/>
  </w:num>
  <w:num w:numId="13" w16cid:durableId="811409167">
    <w:abstractNumId w:val="19"/>
  </w:num>
  <w:num w:numId="14" w16cid:durableId="1004361666">
    <w:abstractNumId w:val="14"/>
  </w:num>
  <w:num w:numId="15" w16cid:durableId="578910596">
    <w:abstractNumId w:val="11"/>
  </w:num>
  <w:num w:numId="16" w16cid:durableId="122045167">
    <w:abstractNumId w:val="18"/>
  </w:num>
  <w:num w:numId="17" w16cid:durableId="370231104">
    <w:abstractNumId w:val="9"/>
  </w:num>
  <w:num w:numId="18" w16cid:durableId="1192649774">
    <w:abstractNumId w:val="15"/>
  </w:num>
  <w:num w:numId="19" w16cid:durableId="1342972503">
    <w:abstractNumId w:val="22"/>
  </w:num>
  <w:num w:numId="20" w16cid:durableId="138614718">
    <w:abstractNumId w:val="1"/>
  </w:num>
  <w:num w:numId="21" w16cid:durableId="1985546027">
    <w:abstractNumId w:val="12"/>
  </w:num>
  <w:num w:numId="22" w16cid:durableId="1748990749">
    <w:abstractNumId w:val="5"/>
  </w:num>
  <w:num w:numId="23" w16cid:durableId="1441492832">
    <w:abstractNumId w:val="3"/>
  </w:num>
  <w:num w:numId="24" w16cid:durableId="540364749">
    <w:abstractNumId w:val="4"/>
  </w:num>
  <w:num w:numId="25" w16cid:durableId="3096787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7A59"/>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23E2"/>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165B"/>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76EC"/>
    <w:rsid w:val="007D4241"/>
    <w:rsid w:val="007D4317"/>
    <w:rsid w:val="007D4EA3"/>
    <w:rsid w:val="007F1CFF"/>
    <w:rsid w:val="007F5DD5"/>
    <w:rsid w:val="00821A1B"/>
    <w:rsid w:val="008262E9"/>
    <w:rsid w:val="00827E69"/>
    <w:rsid w:val="00835C4D"/>
    <w:rsid w:val="00843F48"/>
    <w:rsid w:val="00850CE9"/>
    <w:rsid w:val="00851423"/>
    <w:rsid w:val="00857848"/>
    <w:rsid w:val="008654B6"/>
    <w:rsid w:val="0087139C"/>
    <w:rsid w:val="00880E83"/>
    <w:rsid w:val="00892F28"/>
    <w:rsid w:val="008A0C5F"/>
    <w:rsid w:val="008A3DEA"/>
    <w:rsid w:val="008A4EB9"/>
    <w:rsid w:val="008A74C0"/>
    <w:rsid w:val="008B1694"/>
    <w:rsid w:val="008C4B27"/>
    <w:rsid w:val="008C7F2A"/>
    <w:rsid w:val="008D09A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355D"/>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66FB"/>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3174"/>
    <w:rsid w:val="00D47AD7"/>
    <w:rsid w:val="00D51529"/>
    <w:rsid w:val="00D727B6"/>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4B59"/>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D727B6"/>
    <w:pPr>
      <w:keepNext/>
      <w:spacing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087A59"/>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087A59"/>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087A5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727B6"/>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D66FB"/>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D4B59"/>
    <w:pPr>
      <w:tabs>
        <w:tab w:val="right" w:leader="dot" w:pos="8777"/>
        <w:tab w:val="right" w:leader="dot" w:pos="8919"/>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823E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823E2"/>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087A59"/>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087A59"/>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087A59"/>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087A59"/>
    <w:pPr>
      <w:numPr>
        <w:numId w:val="20"/>
      </w:numPr>
      <w:contextualSpacing/>
    </w:pPr>
  </w:style>
  <w:style w:type="paragraph" w:customStyle="1" w:styleId="Punktlistaunderliggande">
    <w:name w:val="Punktlista underliggande"/>
    <w:qFormat/>
    <w:rsid w:val="0099355D"/>
    <w:pPr>
      <w:numPr>
        <w:numId w:val="21"/>
      </w:numPr>
      <w:tabs>
        <w:tab w:val="left" w:pos="1707"/>
      </w:tabs>
      <w:overflowPunct w:val="0"/>
      <w:autoSpaceDE w:val="0"/>
      <w:autoSpaceDN w:val="0"/>
      <w:adjustRightInd w:val="0"/>
      <w:spacing w:after="120" w:line="288" w:lineRule="auto"/>
      <w:ind w:left="1706" w:right="868" w:hanging="357"/>
      <w:contextualSpacing/>
      <w:textAlignment w:val="baseline"/>
    </w:pPr>
    <w:rPr>
      <w:sz w:val="24"/>
      <w:lang w:eastAsia="zh-CN"/>
    </w:rPr>
  </w:style>
  <w:style w:type="character" w:styleId="AnvndHyperlnk">
    <w:name w:val="FollowedHyperlink"/>
    <w:basedOn w:val="Standardstycketeckensnitt"/>
    <w:uiPriority w:val="99"/>
    <w:semiHidden/>
    <w:unhideWhenUsed/>
    <w:rsid w:val="0099355D"/>
    <w:rPr>
      <w:color w:val="9EA2A2" w:themeColor="followedHyperlink"/>
      <w:u w:val="single"/>
    </w:rPr>
  </w:style>
  <w:style w:type="paragraph" w:customStyle="1" w:styleId="Punktlistanumrerad">
    <w:name w:val="Punktlista numrerad"/>
    <w:qFormat/>
    <w:rsid w:val="0099355D"/>
    <w:pPr>
      <w:numPr>
        <w:numId w:val="24"/>
      </w:numPr>
      <w:tabs>
        <w:tab w:val="left" w:pos="1349"/>
      </w:tabs>
      <w:suppressAutoHyphens/>
      <w:overflowPunct w:val="0"/>
      <w:autoSpaceDE w:val="0"/>
      <w:autoSpaceDN w:val="0"/>
      <w:adjustRightInd w:val="0"/>
      <w:spacing w:after="120" w:line="288" w:lineRule="auto"/>
      <w:ind w:right="868"/>
      <w:contextualSpacing/>
      <w:textAlignment w:val="baseline"/>
    </w:pPr>
    <w:rPr>
      <w:sz w:val="24"/>
      <w:lang w:eastAsia="zh-CN"/>
    </w:rPr>
  </w:style>
  <w:style w:type="character" w:styleId="Olstomnmnande">
    <w:name w:val="Unresolved Mention"/>
    <w:basedOn w:val="Standardstycketeckensnitt"/>
    <w:uiPriority w:val="99"/>
    <w:semiHidden/>
    <w:unhideWhenUsed/>
    <w:rsid w:val="00850C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vardhandboken.se/vard-och-behandling/nutrition/nutrition/ansvarsfordelning"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ardhandboken.se/vard-och-behandling/nutrition/nutrition/ansvarsfordelning/"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www.rikshandboken-bhv.se/halsa-och-utveckling/tillvaxt/instruktioner-for-matning-och-vagning-pa-bvc/"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6</Pages>
  <Words>1158</Words>
  <Characters>8886</Characters>
  <Application>Microsoft Office Word</Application>
  <DocSecurity>0</DocSecurity>
  <Lines>74</Lines>
  <Paragraphs>20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10024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Undernäring – riskbedömning, behandling och uppföljning hos barn och ungdomar inom slutenvården, SÄS</dc:title>
  <dc:subject/>
  <dc:creator>patrik.jens.johansson@vgregion.se</dc:creator>
  <keywords/>
  <lastModifiedBy>Karin Åhlin</lastModifiedBy>
  <revision>12</revision>
  <lastPrinted>2016-03-31T10:56:00.0000000Z</lastPrinted>
  <dcterms:created xsi:type="dcterms:W3CDTF">2022-03-28T05:48:00.0000000Z</dcterms:created>
  <dcterms:modified xsi:type="dcterms:W3CDTF">2023-02-03T14:28:00.0000000Z</dcterms:modified>
</coreProperties>
</file>