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BF3FA9" w:rsidR="00BF3FA9" w:rsidP="00961645" w:rsidRDefault="00BF3FA9" w14:paraId="354B1A2C" w14:textId="77777777">
      <w:pPr>
        <w:pStyle w:val="Heading1"/>
      </w:pPr>
      <w:bookmarkStart w:name="_Toc314219769" w:id="0"/>
      <w:bookmarkStart w:name="_Toc321146591" w:id="1"/>
      <w:r w:rsidRPr="00BF3FA9">
        <w:t>Undernäring – förebygga och behandla hos vuxna i slutenvården, SÄS</w:t>
      </w:r>
    </w:p>
    <w:p w:rsidRPr="00BF3FA9" w:rsidR="00BF3FA9" w:rsidP="00192F7A" w:rsidRDefault="00BF3FA9" w14:paraId="1D37CDF2" w14:textId="77777777">
      <w:pPr>
        <w:pStyle w:val="Heading2"/>
        <w:spacing w:before="40"/>
      </w:pPr>
      <w:bookmarkStart w:name="_Toc29471538" w:id="2"/>
      <w:bookmarkStart w:name="_Toc29471557" w:id="3"/>
      <w:bookmarkStart w:name="_Toc45013026" w:id="4"/>
      <w:bookmarkStart w:name="_Toc45015304" w:id="5"/>
      <w:bookmarkStart w:name="_Toc45024904" w:id="6"/>
      <w:bookmarkStart w:name="_Toc256000000" w:id="7"/>
      <w:bookmarkStart w:name="_Toc119336130" w:id="8"/>
      <w:bookmarkEnd w:id="0"/>
      <w:r w:rsidRPr="00BF3FA9">
        <w:t>Sammanfattning</w:t>
      </w:r>
      <w:bookmarkEnd w:id="2"/>
      <w:bookmarkEnd w:id="3"/>
      <w:bookmarkEnd w:id="4"/>
      <w:bookmarkEnd w:id="5"/>
      <w:bookmarkEnd w:id="6"/>
      <w:bookmarkEnd w:id="7"/>
      <w:bookmarkEnd w:id="8"/>
    </w:p>
    <w:p w:rsidRPr="00BF3FA9" w:rsidR="00BF3FA9" w:rsidP="002D052A" w:rsidRDefault="00BF3FA9" w14:paraId="00E48D17" w14:textId="77777777">
      <w:r>
        <w:t>Rutinen ger instruktioner kring att förebygga och behandla undernäring hos vuxna. Rutinen är baserad på Socialstyrelsens kunskapsstöd Att förebygga och behandla undernäring [1]. Hänvisning görs till avsnitt i Vårdhandboken där informationen överensstämmer med lokala rutiner [2].</w:t>
      </w:r>
    </w:p>
    <w:p w:rsidRPr="00C70585" w:rsidR="17CF7992" w:rsidP="002D052A" w:rsidRDefault="3E904B38" w14:paraId="57E037B5" w14:textId="5D10D7F4">
      <w:pPr>
        <w:pStyle w:val="Heading2"/>
      </w:pPr>
      <w:bookmarkStart w:name="_Toc119336131" w:id="9"/>
      <w:r w:rsidRPr="00C70585">
        <w:t>Förändringar sedan föregående version</w:t>
      </w:r>
      <w:bookmarkEnd w:id="9"/>
    </w:p>
    <w:p w:rsidR="002D052A" w:rsidP="002D052A" w:rsidRDefault="7AFEB7F3" w14:paraId="3C9156C2" w14:textId="4F265848">
      <w:r w:rsidR="11320D86">
        <w:rPr/>
        <w:t xml:space="preserve">Förlängning året ut. En förnyad översyn planeras när kunskap om nytt arbetssätt och journalsystem </w:t>
      </w:r>
      <w:r w:rsidR="0202AE32">
        <w:rPr/>
        <w:t>finns.</w:t>
      </w:r>
    </w:p>
    <w:p w:rsidRPr="00C70585" w:rsidR="00BF3FA9" w:rsidP="00192F7A" w:rsidRDefault="00BF3FA9" w14:paraId="5B056C78" w14:textId="77777777">
      <w:pPr>
        <w:spacing w:before="360" w:after="20"/>
        <w:rPr>
          <w:rFonts w:asciiTheme="majorHAnsi" w:hAnsiTheme="majorHAnsi" w:cstheme="majorHAnsi"/>
          <w:sz w:val="28"/>
          <w:szCs w:val="28"/>
        </w:rPr>
      </w:pPr>
      <w:r w:rsidRPr="00C70585">
        <w:rPr>
          <w:rFonts w:asciiTheme="majorHAnsi" w:hAnsiTheme="majorHAnsi" w:cstheme="majorHAnsi"/>
          <w:sz w:val="28"/>
          <w:szCs w:val="28"/>
        </w:rPr>
        <w:t>Innehållsförteckning</w:t>
      </w:r>
    </w:p>
    <w:p w:rsidR="00105143" w:rsidRDefault="00B70A78" w14:paraId="1F0C1D62" w14:textId="33FF3B3D">
      <w:pPr>
        <w:pStyle w:val="TOC1"/>
        <w:rPr>
          <w:rFonts w:asciiTheme="minorHAnsi" w:hAnsiTheme="minorHAnsi" w:eastAsiaTheme="minorEastAsia" w:cstheme="minorBidi"/>
          <w:noProof/>
          <w:sz w:val="22"/>
          <w:szCs w:val="22"/>
        </w:rPr>
      </w:pPr>
      <w:r>
        <w:rPr>
          <w:rFonts w:ascii="Arial" w:hAnsi="Arial"/>
          <w:noProof/>
          <w:sz w:val="22"/>
          <w:szCs w:val="32"/>
        </w:rPr>
        <w:fldChar w:fldCharType="begin"/>
      </w:r>
      <w:r>
        <w:rPr>
          <w:rFonts w:ascii="Arial" w:hAnsi="Arial"/>
          <w:noProof/>
          <w:sz w:val="22"/>
          <w:szCs w:val="32"/>
        </w:rPr>
        <w:instrText xml:space="preserve"> TOC \h \z \t "Rubrik 2;1;Rubrik 3;2" </w:instrText>
      </w:r>
      <w:r>
        <w:rPr>
          <w:rFonts w:ascii="Arial" w:hAnsi="Arial"/>
          <w:noProof/>
          <w:sz w:val="22"/>
          <w:szCs w:val="32"/>
        </w:rPr>
        <w:fldChar w:fldCharType="separate"/>
      </w:r>
      <w:hyperlink w:history="1" w:anchor="_Toc119336130">
        <w:r w:rsidRPr="00EC2ECA" w:rsidR="00105143">
          <w:rPr>
            <w:rStyle w:val="Hyperlink"/>
            <w:rFonts w:eastAsia="MS Gothic"/>
            <w:noProof/>
          </w:rPr>
          <w:t>Sammanfattning</w:t>
        </w:r>
        <w:r w:rsidR="00105143">
          <w:rPr>
            <w:noProof/>
            <w:webHidden/>
          </w:rPr>
          <w:tab/>
        </w:r>
        <w:r w:rsidR="00105143">
          <w:rPr>
            <w:noProof/>
            <w:webHidden/>
          </w:rPr>
          <w:fldChar w:fldCharType="begin"/>
        </w:r>
        <w:r w:rsidR="00105143">
          <w:rPr>
            <w:noProof/>
            <w:webHidden/>
          </w:rPr>
          <w:instrText xml:space="preserve"> PAGEREF _Toc119336130 \h </w:instrText>
        </w:r>
        <w:r w:rsidR="00105143">
          <w:rPr>
            <w:noProof/>
            <w:webHidden/>
          </w:rPr>
        </w:r>
        <w:r w:rsidR="00105143">
          <w:rPr>
            <w:noProof/>
            <w:webHidden/>
          </w:rPr>
          <w:fldChar w:fldCharType="separate"/>
        </w:r>
        <w:r w:rsidR="00105143">
          <w:rPr>
            <w:noProof/>
            <w:webHidden/>
          </w:rPr>
          <w:t>1</w:t>
        </w:r>
        <w:r w:rsidR="00105143">
          <w:rPr>
            <w:noProof/>
            <w:webHidden/>
          </w:rPr>
          <w:fldChar w:fldCharType="end"/>
        </w:r>
      </w:hyperlink>
    </w:p>
    <w:p w:rsidR="00105143" w:rsidRDefault="00105143" w14:paraId="2ED00D46" w14:textId="4E853C18">
      <w:pPr>
        <w:pStyle w:val="TOC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19336131">
        <w:r w:rsidRPr="00EC2ECA">
          <w:rPr>
            <w:rStyle w:val="Hyperli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_Toc119336131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105143" w:rsidRDefault="00105143" w14:paraId="7E99F3A5" w14:textId="45C48082">
      <w:pPr>
        <w:pStyle w:val="TOC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19336132">
        <w:r w:rsidRPr="00EC2ECA">
          <w:rPr>
            <w:rStyle w:val="Hyperli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_Toc119336132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105143" w:rsidRDefault="00105143" w14:paraId="7324EA23" w14:textId="6A7C79CB">
      <w:pPr>
        <w:pStyle w:val="TOC2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19336133">
        <w:r w:rsidRPr="00EC2ECA">
          <w:rPr>
            <w:rStyle w:val="Hyperlink"/>
            <w:rFonts w:eastAsia="MS Gothic"/>
            <w:noProof/>
          </w:rPr>
          <w:t>Avgränsningar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_Toc119336133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105143" w:rsidRDefault="00105143" w14:paraId="6A3741D0" w14:textId="130528E6">
      <w:pPr>
        <w:pStyle w:val="TOC2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19336134">
        <w:r w:rsidRPr="00EC2ECA">
          <w:rPr>
            <w:rStyle w:val="Hyperlink"/>
            <w:rFonts w:eastAsia="MS Gothic"/>
            <w:noProof/>
          </w:rPr>
          <w:t>Ansvarsfördelning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_Toc119336134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105143" w:rsidRDefault="00105143" w14:paraId="64E4C790" w14:textId="20D00DB5">
      <w:pPr>
        <w:pStyle w:val="TOC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19336135">
        <w:r w:rsidRPr="00EC2ECA">
          <w:rPr>
            <w:rStyle w:val="Hyperli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_Toc119336135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105143" w:rsidRDefault="00105143" w14:paraId="37C8DAF2" w14:textId="5E8FB17B">
      <w:pPr>
        <w:pStyle w:val="TOC2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19336136">
        <w:r w:rsidRPr="00EC2ECA">
          <w:rPr>
            <w:rStyle w:val="Hyperlink"/>
            <w:rFonts w:eastAsia="MS Gothic"/>
            <w:noProof/>
          </w:rPr>
          <w:t>Riskbedömning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_Toc119336136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105143" w:rsidRDefault="00105143" w14:paraId="2F844484" w14:textId="0AF267D2">
      <w:pPr>
        <w:pStyle w:val="TOC2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19336137">
        <w:r w:rsidRPr="00EC2ECA">
          <w:rPr>
            <w:rStyle w:val="Hyperlink"/>
            <w:rFonts w:eastAsia="MS Gothic"/>
            <w:noProof/>
          </w:rPr>
          <w:t>Utredning av riskpatienter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_Toc119336137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105143" w:rsidRDefault="00105143" w14:paraId="00454430" w14:textId="0CA113E1">
      <w:pPr>
        <w:pStyle w:val="TOC2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19336138">
        <w:r w:rsidRPr="00EC2ECA">
          <w:rPr>
            <w:rStyle w:val="Hyperlink"/>
            <w:rFonts w:eastAsia="MS Gothic"/>
            <w:noProof/>
          </w:rPr>
          <w:t>Åtgärder och utvärdering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_Toc119336138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105143" w:rsidRDefault="00105143" w14:paraId="7C559CCE" w14:textId="4008A3C8">
      <w:pPr>
        <w:pStyle w:val="TOC2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19336139">
        <w:r w:rsidRPr="00EC2ECA">
          <w:rPr>
            <w:rStyle w:val="Hyperlink"/>
            <w:rFonts w:eastAsia="MS Gothic"/>
            <w:noProof/>
          </w:rPr>
          <w:t>Diagnoskodning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_Toc119336139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105143" w:rsidRDefault="00105143" w14:paraId="7B6D93F4" w14:textId="730BDA1E">
      <w:pPr>
        <w:pStyle w:val="TOC2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19336140">
        <w:r w:rsidRPr="00EC2ECA">
          <w:rPr>
            <w:rStyle w:val="Hyperlink"/>
            <w:rFonts w:eastAsia="MS Gothic"/>
            <w:noProof/>
          </w:rPr>
          <w:t>Gröna korset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_Toc119336140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105143" w:rsidRDefault="00105143" w14:paraId="35D1EF4D" w14:textId="319382BE">
      <w:pPr>
        <w:pStyle w:val="TOC2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19336141">
        <w:r w:rsidRPr="00EC2ECA">
          <w:rPr>
            <w:rStyle w:val="Hyperlink"/>
            <w:rFonts w:eastAsia="MS Gothic"/>
            <w:noProof/>
          </w:rPr>
          <w:t>Utskrivning och överrapportering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_Toc119336141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105143" w:rsidRDefault="00105143" w14:paraId="51D639F5" w14:textId="4F4BBAE4">
      <w:pPr>
        <w:pStyle w:val="TOC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19336142">
        <w:r w:rsidRPr="00EC2ECA">
          <w:rPr>
            <w:rStyle w:val="Hyperli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_Toc119336142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105143" w:rsidRDefault="00105143" w14:paraId="227A55CE" w14:textId="5C150DD7">
      <w:pPr>
        <w:pStyle w:val="TOC1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19336143">
        <w:r w:rsidRPr="00EC2ECA">
          <w:rPr>
            <w:rStyle w:val="Hyperlink"/>
            <w:rFonts w:eastAsia="MS Gothic"/>
            <w:noProof/>
          </w:rPr>
          <w:t>Referens- och 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_Toc119336143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Pr="00BF3FA9" w:rsidR="00BF3FA9" w:rsidP="00BF3FA9" w:rsidRDefault="00B70A78" w14:paraId="6A02E9BB" w14:textId="4A3A8598">
      <w:pPr>
        <w:spacing w:after="160" w:line="240" w:lineRule="auto"/>
        <w:ind w:left="2676" w:right="0"/>
        <w:rPr>
          <w:szCs w:val="20"/>
        </w:rPr>
      </w:pPr>
      <w:r>
        <w:rPr>
          <w:rFonts w:ascii="Arial" w:hAnsi="Arial"/>
          <w:noProof/>
          <w:sz w:val="22"/>
          <w:szCs w:val="32"/>
        </w:rPr>
        <w:fldChar w:fldCharType="end"/>
      </w:r>
    </w:p>
    <w:p w:rsidRPr="00BF3FA9" w:rsidR="00BF3FA9" w:rsidP="00CF4238" w:rsidRDefault="00BF3FA9" w14:paraId="0CCDAC6A" w14:textId="77777777">
      <w:pPr>
        <w:keepNext/>
        <w:keepLines/>
        <w:spacing w:before="240" w:after="40"/>
      </w:pPr>
      <w:bookmarkStart w:name="_Toc29471539" w:id="10"/>
      <w:bookmarkStart w:name="_Toc29471558" w:id="11"/>
      <w:r w:rsidRPr="00BF3FA9">
        <w:t>Bilagor</w:t>
      </w:r>
    </w:p>
    <w:bookmarkStart w:name="_Hlk45011013" w:id="12"/>
    <w:p w:rsidRPr="00CF4238" w:rsidR="00CF4238" w:rsidP="00CF4238" w:rsidRDefault="00BF3FA9" w14:paraId="166A9DA1" w14:textId="77777777">
      <w:pPr>
        <w:pStyle w:val="ListBullet"/>
        <w:keepNext/>
        <w:keepLines/>
        <w:rPr>
          <w:rStyle w:val="Hyperlink"/>
        </w:rPr>
      </w:pPr>
      <w:r w:rsidRPr="00CF4238">
        <w:rPr>
          <w:rStyle w:val="Hyperlink"/>
        </w:rPr>
        <w:fldChar w:fldCharType="begin"/>
      </w:r>
      <w:r w:rsidRPr="00CF4238" w:rsidR="00162BA4">
        <w:rPr>
          <w:rStyle w:val="Hyperlink"/>
        </w:rPr>
        <w:instrText>HYPERLINK "https://mellanarkiv-offentlig.vgregion.se/alfresco/s/archive/stream/public/v1/source/available/SOFIA/SAS9642-738863596-433/SURROGATE/Nutrition%20-%20Startschema%20f%c3%b6r%20sondmatning%20n%c3%a4r%20patienten%20har%20gott%20nutritionsstatus.pdf"</w:instrText>
      </w:r>
      <w:r w:rsidRPr="00CF4238">
        <w:rPr>
          <w:rStyle w:val="Hyperlink"/>
        </w:rPr>
        <w:fldChar w:fldCharType="separate"/>
      </w:r>
      <w:r w:rsidRPr="00CF4238">
        <w:rPr>
          <w:rStyle w:val="Hyperlink"/>
        </w:rPr>
        <w:t>Nutrition - Startschema för sondmatning när patienten har gott nutritionsstatus</w:t>
      </w:r>
      <w:r w:rsidRPr="00CF4238">
        <w:rPr>
          <w:rStyle w:val="Hyperlink"/>
        </w:rPr>
        <w:fldChar w:fldCharType="end"/>
      </w:r>
    </w:p>
    <w:p w:rsidRPr="00CF4238" w:rsidR="00BF3FA9" w:rsidP="00CF4238" w:rsidRDefault="004546F3" w14:paraId="495C2431" w14:textId="132DEBF4">
      <w:pPr>
        <w:pStyle w:val="ListBullet"/>
        <w:keepNext/>
        <w:keepLines/>
        <w:rPr>
          <w:rStyle w:val="Hyperlink"/>
        </w:rPr>
      </w:pPr>
      <w:hyperlink w:history="1" r:id="rId12">
        <w:r w:rsidRPr="00CF4238" w:rsidR="00BF3FA9">
          <w:rPr>
            <w:rStyle w:val="Hyperlink"/>
          </w:rPr>
          <w:t>Nutrition - Startschema för sondmatning, långsam</w:t>
        </w:r>
      </w:hyperlink>
    </w:p>
    <w:p w:rsidRPr="00BF3FA9" w:rsidR="00BF3FA9" w:rsidP="00CF4238" w:rsidRDefault="00BF3FA9" w14:paraId="6C403B29" w14:textId="77777777">
      <w:pPr>
        <w:pStyle w:val="Heading2"/>
      </w:pPr>
      <w:bookmarkStart w:name="_Toc45013027" w:id="13"/>
      <w:bookmarkStart w:name="_Toc45015305" w:id="14"/>
      <w:bookmarkStart w:name="_Toc45024905" w:id="15"/>
      <w:bookmarkStart w:name="_Toc256000002" w:id="16"/>
      <w:bookmarkStart w:name="_Toc119336132" w:id="17"/>
      <w:bookmarkEnd w:id="12"/>
      <w:r w:rsidRPr="00BF3FA9">
        <w:t>Förutsättningar</w:t>
      </w:r>
      <w:bookmarkEnd w:id="10"/>
      <w:bookmarkEnd w:id="11"/>
      <w:bookmarkEnd w:id="13"/>
      <w:bookmarkEnd w:id="14"/>
      <w:bookmarkEnd w:id="15"/>
      <w:bookmarkEnd w:id="16"/>
      <w:bookmarkEnd w:id="17"/>
    </w:p>
    <w:p w:rsidR="05243F60" w:rsidRDefault="05243F60" w14:paraId="1C1C415C" w14:textId="7E5E2D69">
      <w:r w:rsidRPr="00C70585">
        <w:t xml:space="preserve">Enligt Socialstyrelsens föreskrift och allmänna råd </w:t>
      </w:r>
      <w:r w:rsidRPr="00C70585" w:rsidR="6BBFB04D">
        <w:t>HSLF-FS 2022:49</w:t>
      </w:r>
      <w:r w:rsidRPr="00C70585">
        <w:t xml:space="preserve"> ska vårdgivare fastställa rutiner för </w:t>
      </w:r>
      <w:r w:rsidRPr="00C70585" w:rsidR="1D3F3D3C">
        <w:t xml:space="preserve">hur undernäring ska förebyggas och när och hur bedömning av risken för undernäring ska göras. </w:t>
      </w:r>
      <w:r w:rsidRPr="00C70585">
        <w:t xml:space="preserve">Vårdgivaren ska också fastställa rutiner för </w:t>
      </w:r>
      <w:r w:rsidRPr="00C70585" w:rsidR="60E6E460">
        <w:t xml:space="preserve">när och hur undernäring ska utredas och hur undernäring ska behandlas </w:t>
      </w:r>
      <w:r w:rsidRPr="00C70585">
        <w:t>[3]. Undernäring som hade kunnat undvikas om adekvata åtgärder hade vidtagits vid patientens kontakt med hälso- och sjukvården, klassas enligt Patientsäkerhetslag 2010:659 som en vårdskada [4].</w:t>
      </w:r>
    </w:p>
    <w:p w:rsidRPr="00BF3FA9" w:rsidR="00BF3FA9" w:rsidP="00CF4238" w:rsidRDefault="00BF3FA9" w14:paraId="37E7D02D" w14:textId="77777777">
      <w:pPr>
        <w:pStyle w:val="Heading3"/>
      </w:pPr>
      <w:bookmarkStart w:name="_Toc29471540" w:id="18"/>
      <w:bookmarkStart w:name="_Toc29471559" w:id="19"/>
      <w:bookmarkStart w:name="_Toc45013028" w:id="20"/>
      <w:bookmarkStart w:name="_Toc45015306" w:id="21"/>
      <w:bookmarkStart w:name="_Toc45024906" w:id="22"/>
      <w:bookmarkStart w:name="_Toc256000003" w:id="23"/>
      <w:bookmarkStart w:name="_Toc119336133" w:id="24"/>
      <w:r w:rsidRPr="00BF3FA9">
        <w:t>Avgränsningar</w:t>
      </w:r>
      <w:bookmarkEnd w:id="18"/>
      <w:bookmarkEnd w:id="19"/>
      <w:bookmarkEnd w:id="20"/>
      <w:bookmarkEnd w:id="21"/>
      <w:bookmarkEnd w:id="22"/>
      <w:bookmarkEnd w:id="23"/>
      <w:bookmarkEnd w:id="24"/>
    </w:p>
    <w:p w:rsidRPr="00BF3FA9" w:rsidR="00BF3FA9" w:rsidP="254F6733" w:rsidRDefault="05243F60" w14:paraId="532A0D83" w14:textId="598CFD1E">
      <w:pPr>
        <w:rPr>
          <w:strike/>
        </w:rPr>
      </w:pPr>
      <w:r w:rsidRPr="00BF3FA9">
        <w:t>Rutinen gäller för vuxna från 18 år som vårdas inom slutenvård på Södra Älvsborgs Sjukhus. Undantag är intensivvård där särskilda riktlinjer finns</w:t>
      </w:r>
      <w:r w:rsidR="002757B3">
        <w:t>.</w:t>
      </w:r>
    </w:p>
    <w:p w:rsidRPr="00BF3FA9" w:rsidR="00BF3FA9" w:rsidP="00CF4238" w:rsidRDefault="00BF3FA9" w14:paraId="0F553927" w14:textId="10D75AFE">
      <w:r w:rsidRPr="00BF3FA9">
        <w:t>Patienter i livets slutskede ska inte riskbedömas och utredas för undernäring.</w:t>
      </w:r>
    </w:p>
    <w:p w:rsidRPr="00BF3FA9" w:rsidR="00BF3FA9" w:rsidP="00EC49EC" w:rsidRDefault="00BF3FA9" w14:paraId="537E497C" w14:textId="77777777">
      <w:pPr>
        <w:pStyle w:val="Heading3"/>
      </w:pPr>
      <w:bookmarkStart w:name="_Toc45013029" w:id="25"/>
      <w:bookmarkStart w:name="_Toc45015307" w:id="26"/>
      <w:bookmarkStart w:name="_Toc45024907" w:id="27"/>
      <w:bookmarkStart w:name="_Toc256000004" w:id="28"/>
      <w:bookmarkStart w:name="_Toc119336134" w:id="29"/>
      <w:r w:rsidRPr="00BF3FA9">
        <w:t>Ansvarsfördelning</w:t>
      </w:r>
      <w:bookmarkEnd w:id="25"/>
      <w:bookmarkEnd w:id="26"/>
      <w:bookmarkEnd w:id="27"/>
      <w:bookmarkEnd w:id="28"/>
      <w:bookmarkEnd w:id="29"/>
    </w:p>
    <w:p w:rsidRPr="00BF3FA9" w:rsidR="00BF3FA9" w:rsidP="00EC49EC" w:rsidRDefault="00BF3FA9" w14:paraId="2ED5FC5B" w14:textId="064C4A26">
      <w:r w:rsidRPr="00BF3FA9">
        <w:t xml:space="preserve">Alla som arbetar i patientnära vård ska arbeta enligt denna rutin. Respektive enhetschef ansvarar för att rutinen är känd och följs. För ansvarsfördelning mellan olika professioner, se </w:t>
      </w:r>
      <w:hyperlink w:history="1" r:id="rId13">
        <w:r w:rsidR="00B26B61">
          <w:rPr>
            <w:rStyle w:val="Hyperlink"/>
          </w:rPr>
          <w:t xml:space="preserve">Vårdhandboken, avsnitt Nutrition under rubrik </w:t>
        </w:r>
        <w:r w:rsidRPr="00B26B61" w:rsidR="00B26B61">
          <w:rPr>
            <w:rStyle w:val="Hyperlink"/>
            <w:i/>
            <w:iCs/>
          </w:rPr>
          <w:t>Ansvarsfördelning</w:t>
        </w:r>
      </w:hyperlink>
      <w:r w:rsidRPr="00BF3FA9">
        <w:t xml:space="preserve"> [2].</w:t>
      </w:r>
    </w:p>
    <w:p w:rsidRPr="00BF3FA9" w:rsidR="00BF3FA9" w:rsidP="00EC49EC" w:rsidRDefault="00BF3FA9" w14:paraId="23515EC0" w14:textId="77777777">
      <w:pPr>
        <w:pStyle w:val="Heading2"/>
      </w:pPr>
      <w:bookmarkStart w:name="_Toc29471541" w:id="30"/>
      <w:bookmarkStart w:name="_Toc29471560" w:id="31"/>
      <w:bookmarkStart w:name="_Toc45013030" w:id="32"/>
      <w:bookmarkStart w:name="_Toc45015308" w:id="33"/>
      <w:bookmarkStart w:name="_Toc45024908" w:id="34"/>
      <w:bookmarkStart w:name="_Toc256000005" w:id="35"/>
      <w:bookmarkStart w:name="_Toc119336135" w:id="36"/>
      <w:r w:rsidRPr="00BF3FA9">
        <w:t>Genomförande</w:t>
      </w:r>
      <w:bookmarkEnd w:id="30"/>
      <w:bookmarkEnd w:id="31"/>
      <w:bookmarkEnd w:id="32"/>
      <w:bookmarkEnd w:id="33"/>
      <w:bookmarkEnd w:id="34"/>
      <w:bookmarkEnd w:id="35"/>
      <w:bookmarkEnd w:id="36"/>
    </w:p>
    <w:p w:rsidRPr="00BF3FA9" w:rsidR="00BF3FA9" w:rsidP="00EC49EC" w:rsidRDefault="00BF3FA9" w14:paraId="03ACBDF3" w14:textId="77777777">
      <w:pPr>
        <w:rPr>
          <w:iCs/>
        </w:rPr>
      </w:pPr>
      <w:bookmarkStart w:name="_Toc29471542" w:id="37"/>
      <w:bookmarkStart w:name="_Toc29471561" w:id="38"/>
      <w:r w:rsidRPr="00BF3FA9">
        <w:t xml:space="preserve">För att förebygga och åtgärda undernäring krävs en individanpassad vård och ett personcentrerat förhållningssätt som ger patienten möjligheter att vara delaktig. </w:t>
      </w:r>
      <w:r w:rsidRPr="00BF3FA9">
        <w:rPr>
          <w:iCs/>
        </w:rPr>
        <w:t>Nutritionsomhändertagandet är en del av den medicinska behandlingen i alla verksamheter som bedriver hälso- och sjukvård.</w:t>
      </w:r>
      <w:bookmarkEnd w:id="37"/>
      <w:bookmarkEnd w:id="38"/>
    </w:p>
    <w:p w:rsidRPr="00BF3FA9" w:rsidR="00BF3FA9" w:rsidP="00BF3FA9" w:rsidRDefault="00BF3FA9" w14:paraId="14FFD0B9" w14:textId="10ED1290">
      <w:pPr>
        <w:spacing w:before="40" w:after="40" w:line="240" w:lineRule="auto"/>
        <w:ind w:left="0" w:right="0"/>
        <w:jc w:val="center"/>
        <w:rPr>
          <w:bCs/>
          <w:sz w:val="22"/>
          <w:szCs w:val="20"/>
        </w:rPr>
      </w:pPr>
      <w:r w:rsidRPr="00BF3FA9">
        <w:rPr>
          <w:bCs/>
          <w:noProof/>
          <w:sz w:val="22"/>
          <w:szCs w:val="20"/>
        </w:rPr>
        <w:drawing>
          <wp:inline distT="0" distB="0" distL="0" distR="0" wp14:anchorId="44CC98C0" wp14:editId="71EDDFA6">
            <wp:extent cx="5669915" cy="3200400"/>
            <wp:effectExtent l="0" t="0" r="6985" b="0"/>
            <wp:docPr id="2" name="Picture 2" descr="Illustration som visar flödesschema över nutritionsomhändertagandet. Källa: Att förebygga och behandla undernäring. Kunskapsstöd i hälso- och sjukvård. Socialstyrelsen 2019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Illustration som visar flödesschema över nutritionsomhändertagandet. Källa: Att förebygga och behandla undernäring. Kunskapsstöd i hälso- och sjukvård. Socialstyrelsen 2019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320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BF3FA9" w:rsidR="00BF3FA9" w:rsidP="00EC49EC" w:rsidRDefault="00BF3FA9" w14:paraId="34F6FA96" w14:textId="19A6E7C5">
      <w:pPr>
        <w:pStyle w:val="Caption"/>
      </w:pPr>
      <w:bookmarkStart w:name="_Toc29471543" w:id="39"/>
      <w:bookmarkStart w:name="_Toc29471562" w:id="40"/>
      <w:r w:rsidRPr="00BF3FA9">
        <w:t>Figur1. Flödesschema över nutritionsomhändertagandet. Källa: Att förebygga och behandla undernäring. Kunskapsstöd i hälso- och sjukvård. Socialstyrelsen 20</w:t>
      </w:r>
      <w:r w:rsidR="00C14212">
        <w:t>20</w:t>
      </w:r>
      <w:r w:rsidRPr="00BF3FA9">
        <w:t>.</w:t>
      </w:r>
      <w:bookmarkEnd w:id="39"/>
      <w:bookmarkEnd w:id="40"/>
    </w:p>
    <w:p w:rsidRPr="00BF3FA9" w:rsidR="00BF3FA9" w:rsidP="00EC49EC" w:rsidRDefault="00BF3FA9" w14:paraId="01F81ADF" w14:textId="77777777">
      <w:pPr>
        <w:pStyle w:val="Heading3"/>
      </w:pPr>
      <w:bookmarkStart w:name="_Toc29471544" w:id="41"/>
      <w:bookmarkStart w:name="_Toc29471563" w:id="42"/>
      <w:bookmarkStart w:name="_Toc45013031" w:id="43"/>
      <w:bookmarkStart w:name="_Toc45015309" w:id="44"/>
      <w:bookmarkStart w:name="_Toc45024909" w:id="45"/>
      <w:bookmarkStart w:name="_Toc256000006" w:id="46"/>
      <w:bookmarkStart w:name="_Toc119336136" w:id="47"/>
      <w:r w:rsidRPr="00BF3FA9">
        <w:t>Riskbedömning</w:t>
      </w:r>
      <w:bookmarkEnd w:id="41"/>
      <w:bookmarkEnd w:id="42"/>
      <w:bookmarkEnd w:id="43"/>
      <w:bookmarkEnd w:id="44"/>
      <w:bookmarkEnd w:id="45"/>
      <w:bookmarkEnd w:id="46"/>
      <w:bookmarkEnd w:id="47"/>
    </w:p>
    <w:p w:rsidRPr="00BF3FA9" w:rsidR="00BF3FA9" w:rsidP="00EC49EC" w:rsidRDefault="00BF3FA9" w14:paraId="262B9057" w14:textId="77777777">
      <w:r w:rsidRPr="00BF3FA9">
        <w:t xml:space="preserve">Alla patienter som skrivs in på en vårdavdelning på SÄS ska riskbedömas inom 24 timmar. Undantag är patienter i livets slutskede. Undernäring kan maskeras av övervikt, förändringar i vätskebalans liksom vid ödem. Ofrivillig viktförlust behöver därför beaktas hos alla patienter oavsett aktuell vikt. </w:t>
      </w:r>
    </w:p>
    <w:p w:rsidRPr="00CD15DA" w:rsidR="00BF3FA9" w:rsidP="00EC49EC" w:rsidRDefault="00BF3FA9" w14:paraId="704D1D57" w14:textId="6938D7EE">
      <w:r w:rsidRPr="00BF3FA9">
        <w:t>Sveriges kommuner och regioners (SKR) tre frågor för riskbedömning används [</w:t>
      </w:r>
      <w:r w:rsidR="00560020">
        <w:t>5</w:t>
      </w:r>
      <w:r w:rsidRPr="00BF3FA9">
        <w:t xml:space="preserve">], se </w:t>
      </w:r>
      <w:hyperlink w:history="1" r:id="rId15">
        <w:r w:rsidRPr="00DB43F0" w:rsidR="00DB43F0">
          <w:rPr>
            <w:rStyle w:val="Hyperlink"/>
          </w:rPr>
          <w:t xml:space="preserve">Vårdhandboken, avsnitt Nutrition under rubrik </w:t>
        </w:r>
        <w:r w:rsidRPr="00BB304E" w:rsidR="00DB43F0">
          <w:rPr>
            <w:rStyle w:val="Hyperlink"/>
            <w:i/>
            <w:iCs/>
          </w:rPr>
          <w:t>Riskidentifiering och riskbedömning</w:t>
        </w:r>
      </w:hyperlink>
      <w:r w:rsidRPr="00BB304E" w:rsidR="00BB304E">
        <w:t xml:space="preserve"> </w:t>
      </w:r>
      <w:r w:rsidRPr="00BB304E" w:rsidR="00CD15DA">
        <w:rPr>
          <w:rStyle w:val="Hyperlink"/>
          <w:color w:val="auto"/>
          <w:u w:val="none"/>
        </w:rPr>
        <w:t>[</w:t>
      </w:r>
      <w:r w:rsidRPr="00CD15DA" w:rsidR="00CD15DA">
        <w:rPr>
          <w:rStyle w:val="Hyperlink"/>
          <w:color w:val="auto"/>
          <w:u w:val="none"/>
        </w:rPr>
        <w:t>2]</w:t>
      </w:r>
      <w:r w:rsidRPr="00CD15DA">
        <w:t>.</w:t>
      </w:r>
    </w:p>
    <w:p w:rsidRPr="00BF3FA9" w:rsidR="00BF3FA9" w:rsidP="00EC49EC" w:rsidRDefault="00BF3FA9" w14:paraId="596B8B3D" w14:textId="77777777">
      <w:r w:rsidRPr="00BF3FA9">
        <w:t>Fråga patienten, dennes närstående eller tidigare vårdenhet:</w:t>
      </w:r>
    </w:p>
    <w:p w:rsidRPr="00CF11F4" w:rsidR="00BF3FA9" w:rsidP="00F83BAB" w:rsidRDefault="00BF3FA9" w14:paraId="0DC98E16" w14:textId="77777777">
      <w:pPr>
        <w:pStyle w:val="Punktlistanumrerad"/>
      </w:pPr>
      <w:r w:rsidRPr="00BF3FA9">
        <w:t xml:space="preserve">Har du gått ner i vikt? - Ofrivillig viktförlust oavsett tidsförlopp och </w:t>
      </w:r>
      <w:r w:rsidRPr="00CF11F4">
        <w:t>omfattning.</w:t>
      </w:r>
    </w:p>
    <w:p w:rsidRPr="00BF3FA9" w:rsidR="00BF3FA9" w:rsidP="00F83BAB" w:rsidRDefault="509EC9EC" w14:paraId="085C9D30" w14:textId="2514FFDC">
      <w:pPr>
        <w:pStyle w:val="Punktlistanumrerad"/>
      </w:pPr>
      <w:r w:rsidRPr="00CF11F4">
        <w:t>Har du svårt att äta?</w:t>
      </w:r>
      <w:r w:rsidRPr="00CF11F4" w:rsidR="05243F60">
        <w:t xml:space="preserve"> Ätsvårigheter, t.ex. aptitlöshet, tugg- och</w:t>
      </w:r>
      <w:r w:rsidR="05243F60">
        <w:t xml:space="preserve"> sväljningsproblem och motoriska funktionsnedsättningar?</w:t>
      </w:r>
    </w:p>
    <w:p w:rsidRPr="00BF3FA9" w:rsidR="00BF3FA9" w:rsidP="00F83BAB" w:rsidRDefault="05243F60" w14:paraId="640700F1" w14:textId="77777777">
      <w:pPr>
        <w:pStyle w:val="Punktlistanumrerad"/>
      </w:pPr>
      <w:r>
        <w:t>Mät längd och vikt och räkna ut Body Mass Index, BMI</w:t>
      </w:r>
      <w:r w:rsidRPr="254F6733">
        <w:rPr>
          <w:b/>
          <w:bCs/>
        </w:rPr>
        <w:t xml:space="preserve"> </w:t>
      </w:r>
      <w:r>
        <w:t>(BMI=vikt i kg/längd x längd i m). Personer under 70 år är underviktiga om BMI är mindre än 20. Personer över 70 år är underviktiga om BMI är mindre än 22.</w:t>
      </w:r>
    </w:p>
    <w:p w:rsidRPr="00BF3FA9" w:rsidR="00BF3FA9" w:rsidP="00F83BAB" w:rsidRDefault="00BF3FA9" w14:paraId="7BBC1AD4" w14:textId="77777777">
      <w:r w:rsidRPr="00BF3FA9">
        <w:t>Risk för undernäring föreligger om personen har en eller flera av ovanstående riskfaktorer.</w:t>
      </w:r>
    </w:p>
    <w:p w:rsidRPr="00BF3FA9" w:rsidR="00BF3FA9" w:rsidP="00F83BAB" w:rsidRDefault="00BF3FA9" w14:paraId="7A5E2BD3" w14:textId="73BE88C7">
      <w:r w:rsidRPr="00BF3FA9">
        <w:t xml:space="preserve">Resultatet av riskbedömningen dokumenteras i Melior i aktiviteten </w:t>
      </w:r>
      <w:r w:rsidRPr="00BF3FA9">
        <w:rPr>
          <w:i/>
        </w:rPr>
        <w:t>Riskbedömning undernäring SKR</w:t>
      </w:r>
      <w:r w:rsidRPr="00BF3FA9">
        <w:t>.</w:t>
      </w:r>
    </w:p>
    <w:p w:rsidRPr="00BF3FA9" w:rsidR="00BF3FA9" w:rsidP="00F83BAB" w:rsidRDefault="00BF3FA9" w14:paraId="09C444C0" w14:textId="77777777">
      <w:r w:rsidRPr="00BF3FA9">
        <w:t>Under vårdtiden ska nya riskbedömningar göras med regelbundna intervall, exempelvis en gång per vecka.</w:t>
      </w:r>
    </w:p>
    <w:p w:rsidRPr="00BF3FA9" w:rsidR="00BF3FA9" w:rsidP="00F83BAB" w:rsidRDefault="00BF3FA9" w14:paraId="498E4068" w14:textId="77777777">
      <w:pPr>
        <w:pStyle w:val="Heading3"/>
      </w:pPr>
      <w:bookmarkStart w:name="_Toc29471545" w:id="48"/>
      <w:bookmarkStart w:name="_Toc29471564" w:id="49"/>
      <w:bookmarkStart w:name="_Toc45013032" w:id="50"/>
      <w:bookmarkStart w:name="_Toc45015310" w:id="51"/>
      <w:bookmarkStart w:name="_Toc45024910" w:id="52"/>
      <w:bookmarkStart w:name="_Toc256000007" w:id="53"/>
      <w:bookmarkStart w:name="_Toc119336137" w:id="54"/>
      <w:r w:rsidRPr="00BF3FA9">
        <w:t>Utredning av riskpatienter</w:t>
      </w:r>
      <w:bookmarkEnd w:id="48"/>
      <w:bookmarkEnd w:id="49"/>
      <w:bookmarkEnd w:id="50"/>
      <w:bookmarkEnd w:id="51"/>
      <w:bookmarkEnd w:id="52"/>
      <w:bookmarkEnd w:id="53"/>
      <w:bookmarkEnd w:id="54"/>
    </w:p>
    <w:p w:rsidRPr="00BF3FA9" w:rsidR="00BF3FA9" w:rsidP="00F83BAB" w:rsidRDefault="00BF3FA9" w14:paraId="7149BAA2" w14:textId="77777777">
      <w:pPr>
        <w:pStyle w:val="Punktlistanumrerad"/>
        <w:numPr>
          <w:ilvl w:val="0"/>
          <w:numId w:val="22"/>
        </w:numPr>
        <w:ind w:left="1349" w:hanging="357"/>
      </w:pPr>
      <w:r w:rsidRPr="00BF3FA9">
        <w:t>Starta en mat- och vätskeregistrering om patienten är i risk för eller är undernärd.</w:t>
      </w:r>
    </w:p>
    <w:p w:rsidRPr="00BF3FA9" w:rsidR="00BF3FA9" w:rsidP="00F83BAB" w:rsidRDefault="00BF3FA9" w14:paraId="3489C56C" w14:textId="77777777">
      <w:pPr>
        <w:pStyle w:val="Punktlistanumrerad"/>
        <w:numPr>
          <w:ilvl w:val="0"/>
          <w:numId w:val="22"/>
        </w:numPr>
        <w:ind w:left="1349" w:hanging="357"/>
      </w:pPr>
      <w:r w:rsidRPr="00BF3FA9">
        <w:t xml:space="preserve">Uppskatta patientens energibehov enligt följande: Sängliggande, 25 kcal/kg kroppsvikt per dygn. Inte sängliggande, 30 kcal/kg kroppsvikt per dygn, se </w:t>
      </w:r>
      <w:hyperlink w:history="1" r:id="rId16">
        <w:r w:rsidRPr="00F83BAB">
          <w:rPr>
            <w:rStyle w:val="Hyperlink"/>
          </w:rPr>
          <w:t>Vårdhandboken avsnitt Nutrition</w:t>
        </w:r>
      </w:hyperlink>
      <w:r w:rsidRPr="00BF3FA9">
        <w:t>.</w:t>
      </w:r>
    </w:p>
    <w:p w:rsidRPr="00BF3FA9" w:rsidR="00BF3FA9" w:rsidP="00F83BAB" w:rsidRDefault="00BF3FA9" w14:paraId="2467A1B8" w14:textId="77777777">
      <w:pPr>
        <w:pStyle w:val="Punktlistanumrerad"/>
        <w:numPr>
          <w:ilvl w:val="0"/>
          <w:numId w:val="22"/>
        </w:numPr>
        <w:ind w:left="1349" w:hanging="357"/>
      </w:pPr>
      <w:r w:rsidRPr="00BF3FA9">
        <w:t>Observera mun- och tandstatus samt förmåga att tugga och svälja.</w:t>
      </w:r>
    </w:p>
    <w:p w:rsidRPr="00BF3FA9" w:rsidR="00BF3FA9" w:rsidP="00F83BAB" w:rsidRDefault="05243F60" w14:paraId="36B3CF62" w14:textId="0FEBE679">
      <w:pPr>
        <w:pStyle w:val="Punktlistanumrerad"/>
        <w:numPr>
          <w:ilvl w:val="0"/>
          <w:numId w:val="22"/>
        </w:numPr>
        <w:ind w:left="1349" w:hanging="357"/>
      </w:pPr>
      <w:r>
        <w:t xml:space="preserve">Observera patienten vid en måltid för att bedöma behov av ätstödjande åtgärder, se </w:t>
      </w:r>
      <w:hyperlink r:id="rId17">
        <w:r w:rsidRPr="254F6733">
          <w:rPr>
            <w:rStyle w:val="Hyperlink"/>
          </w:rPr>
          <w:t>Vårdhandboken, avsnitt Nutrition</w:t>
        </w:r>
        <w:r w:rsidR="00B24195">
          <w:rPr>
            <w:rStyle w:val="Hyperlink"/>
          </w:rPr>
          <w:t xml:space="preserve">, under rubrik </w:t>
        </w:r>
        <w:r w:rsidRPr="000B15E3" w:rsidR="00B24195">
          <w:rPr>
            <w:rStyle w:val="Hyperlink"/>
            <w:i/>
            <w:iCs/>
          </w:rPr>
          <w:t>Att underlätta ätandet</w:t>
        </w:r>
        <w:r w:rsidRPr="0036613C">
          <w:rPr>
            <w:rStyle w:val="Hyperlink"/>
            <w:u w:val="none"/>
          </w:rPr>
          <w:t>.</w:t>
        </w:r>
      </w:hyperlink>
    </w:p>
    <w:p w:rsidRPr="00BF3FA9" w:rsidR="00BF3FA9" w:rsidP="00F83BAB" w:rsidRDefault="00BF3FA9" w14:paraId="2B27BDA4" w14:textId="77777777">
      <w:pPr>
        <w:pStyle w:val="Punktlistanumrerad"/>
        <w:numPr>
          <w:ilvl w:val="0"/>
          <w:numId w:val="22"/>
        </w:numPr>
        <w:ind w:left="1349" w:hanging="357"/>
      </w:pPr>
      <w:r w:rsidRPr="00BF3FA9">
        <w:t xml:space="preserve">Dokumentera resultat av utredningen i Melior i aktiviteten </w:t>
      </w:r>
      <w:r w:rsidRPr="00F83BAB">
        <w:rPr>
          <w:i/>
        </w:rPr>
        <w:t>Planering</w:t>
      </w:r>
      <w:r w:rsidRPr="00BF3FA9">
        <w:t xml:space="preserve"> under sökordet </w:t>
      </w:r>
      <w:r w:rsidRPr="00F83BAB">
        <w:rPr>
          <w:i/>
        </w:rPr>
        <w:t>Nutrition.</w:t>
      </w:r>
    </w:p>
    <w:p w:rsidRPr="00BF3FA9" w:rsidR="00BF3FA9" w:rsidP="00F83BAB" w:rsidRDefault="00BF3FA9" w14:paraId="2EA30AA8" w14:textId="77777777">
      <w:pPr>
        <w:pStyle w:val="Heading3"/>
      </w:pPr>
      <w:bookmarkStart w:name="_Toc29471546" w:id="55"/>
      <w:bookmarkStart w:name="_Toc29471565" w:id="56"/>
      <w:bookmarkStart w:name="_Toc45013033" w:id="57"/>
      <w:bookmarkStart w:name="_Toc45015311" w:id="58"/>
      <w:bookmarkStart w:name="_Toc45024911" w:id="59"/>
      <w:bookmarkStart w:name="_Toc256000008" w:id="60"/>
      <w:bookmarkStart w:name="_Toc119336138" w:id="61"/>
      <w:r w:rsidRPr="00BF3FA9">
        <w:t>Åtgärder och utvärdering</w:t>
      </w:r>
      <w:bookmarkEnd w:id="55"/>
      <w:bookmarkEnd w:id="56"/>
      <w:bookmarkEnd w:id="57"/>
      <w:bookmarkEnd w:id="58"/>
      <w:bookmarkEnd w:id="59"/>
      <w:bookmarkEnd w:id="60"/>
      <w:bookmarkEnd w:id="61"/>
    </w:p>
    <w:p w:rsidRPr="00BF3FA9" w:rsidR="00BF3FA9" w:rsidP="00F83BAB" w:rsidRDefault="00BF3FA9" w14:paraId="3FDC8CD9" w14:textId="77777777">
      <w:r w:rsidRPr="00BF3FA9">
        <w:t>Grunden för all nutritionsbehandling är goda individanpassade måltider. Vid risk för undernäring eller vid undernäring behöver måltiderna i första hand kompletteras och anpassas med basala nutritionsåtgärder.</w:t>
      </w:r>
    </w:p>
    <w:p w:rsidRPr="00BF3FA9" w:rsidR="00BF3FA9" w:rsidP="00F83BAB" w:rsidRDefault="00BF3FA9" w14:paraId="0B14350E" w14:textId="7DD00A12">
      <w:r w:rsidRPr="00BF3FA9">
        <w:rPr>
          <w:noProof/>
        </w:rPr>
        <w:drawing>
          <wp:inline distT="0" distB="0" distL="0" distR="0" wp14:anchorId="780CD916" wp14:editId="56C4DF6E">
            <wp:extent cx="5143500" cy="1285875"/>
            <wp:effectExtent l="0" t="0" r="0" b="9525"/>
            <wp:docPr id="1" name="Picture 1" descr="Illustrationen som visar basala nutritionsåtgärder som återfinns i de fyra första delarna i pyramiden. Toppen på pyramiden beskriver kvalificerade nutritionsåtgärder. Källa: Livsmedelsverket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llustrationen som visar basala nutritionsåtgärder som återfinns i de fyra första delarna i pyramiden. Toppen på pyramiden beskriver kvalificerade nutritionsåtgärder. Källa: Livsmedelsverket. 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128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314FC0" w:rsidR="00BF3FA9" w:rsidP="00070BFD" w:rsidRDefault="00BF3FA9" w14:paraId="214413DC" w14:textId="666C4AAB">
      <w:pPr>
        <w:pStyle w:val="Caption"/>
        <w:rPr>
          <w:color w:val="auto"/>
        </w:rPr>
      </w:pPr>
      <w:r w:rsidRPr="00314FC0">
        <w:rPr>
          <w:color w:val="auto"/>
        </w:rPr>
        <w:t xml:space="preserve">Figur </w:t>
      </w:r>
      <w:r w:rsidRPr="00314FC0" w:rsidR="002006F7">
        <w:rPr>
          <w:color w:val="auto"/>
        </w:rPr>
        <w:t>2</w:t>
      </w:r>
      <w:r w:rsidRPr="00314FC0">
        <w:rPr>
          <w:color w:val="auto"/>
        </w:rPr>
        <w:t xml:space="preserve">. Basala nutritionsåtgärder återfinns i de fyra första delarna i pyramiden. Toppen på pyramiden beskriver kvalificerade nutritionsåtgärder. Källa: Livsmedelsverket. </w:t>
      </w:r>
    </w:p>
    <w:p w:rsidRPr="00AD7211" w:rsidR="00BF3FA9" w:rsidP="254F6733" w:rsidRDefault="05243F60" w14:paraId="4BBA941F" w14:textId="1DBF4241">
      <w:pPr>
        <w:pStyle w:val="Punktlistanumrerad"/>
        <w:numPr>
          <w:ilvl w:val="0"/>
          <w:numId w:val="23"/>
        </w:numPr>
        <w:ind w:left="1349" w:hanging="357"/>
      </w:pPr>
      <w:r w:rsidRPr="00314FC0">
        <w:t xml:space="preserve">Säkerställ att de serverade måltidernas energiinnehåll motsvarar patientens beräknade energibehov genom att välja portionsstorlek som motsvarar </w:t>
      </w:r>
      <w:r>
        <w:t xml:space="preserve">patientens behov och komplettera huvudmåltiderna med mellanmål. Se </w:t>
      </w:r>
      <w:hyperlink w:history="1" r:id="rId19">
        <w:r w:rsidRPr="00DA367D">
          <w:rPr>
            <w:rStyle w:val="Hyperlink"/>
          </w:rPr>
          <w:t>Kostpärm för vårdpersonal</w:t>
        </w:r>
        <w:r w:rsidRPr="00DA367D" w:rsidR="732A38B5">
          <w:rPr>
            <w:rStyle w:val="Hyperlink"/>
          </w:rPr>
          <w:t xml:space="preserve"> (Regionservice)</w:t>
        </w:r>
      </w:hyperlink>
      <w:r>
        <w:t xml:space="preserve"> [</w:t>
      </w:r>
      <w:r w:rsidR="0003532D">
        <w:t>6</w:t>
      </w:r>
      <w:r>
        <w:t xml:space="preserve">] och </w:t>
      </w:r>
      <w:hyperlink r:id="rId20">
        <w:r w:rsidRPr="254F6733">
          <w:rPr>
            <w:rStyle w:val="Hyperlink"/>
          </w:rPr>
          <w:t>Vårdhandboken, avsnitt Nutrition</w:t>
        </w:r>
        <w:r w:rsidR="00AD7211">
          <w:rPr>
            <w:rStyle w:val="Hyperlink"/>
          </w:rPr>
          <w:t xml:space="preserve"> under rubrik </w:t>
        </w:r>
        <w:r w:rsidRPr="00AD7211" w:rsidR="00AD7211">
          <w:rPr>
            <w:rStyle w:val="Hyperlink"/>
            <w:i/>
            <w:iCs/>
          </w:rPr>
          <w:t>Kost</w:t>
        </w:r>
      </w:hyperlink>
      <w:r w:rsidR="0003532D">
        <w:rPr>
          <w:color w:val="0000FF"/>
        </w:rPr>
        <w:t xml:space="preserve"> </w:t>
      </w:r>
      <w:r w:rsidRPr="0003532D" w:rsidR="0003532D">
        <w:t>[2].</w:t>
      </w:r>
    </w:p>
    <w:p w:rsidRPr="002006F7" w:rsidR="00BF3FA9" w:rsidP="002006F7" w:rsidRDefault="00BF3FA9" w14:paraId="4FD141C0" w14:textId="77777777">
      <w:pPr>
        <w:pStyle w:val="Punktlistanumrerad"/>
        <w:numPr>
          <w:ilvl w:val="0"/>
          <w:numId w:val="23"/>
        </w:numPr>
        <w:ind w:left="1349" w:hanging="357"/>
      </w:pPr>
      <w:r w:rsidRPr="002006F7">
        <w:t>Sätt in basala nutritionsåtgärder efter patientens behov, exempelvis energi- och proteinberikad kost (E-kost), extra mellanmål och/eller kosttillägg. Vid tugg och sväljsvårigheter ska logoped konsulteras för bedömning av konsistensanpassning.</w:t>
      </w:r>
    </w:p>
    <w:p w:rsidRPr="002006F7" w:rsidR="00BF3FA9" w:rsidP="002006F7" w:rsidRDefault="05243F60" w14:paraId="29D45072" w14:textId="7F25FEEA">
      <w:pPr>
        <w:pStyle w:val="Punktlistanumrerad"/>
        <w:numPr>
          <w:ilvl w:val="0"/>
          <w:numId w:val="23"/>
        </w:numPr>
        <w:ind w:left="1349" w:hanging="357"/>
      </w:pPr>
      <w:r>
        <w:t xml:space="preserve">Sätt in ätstödjande åtgärder efter patientens behov, exempelvis hjälp att dela maten, anpassade äthjälpmedel, anpassad sittställning, optimal måltidsmiljö, stöttning vid måltid eller matning, se </w:t>
      </w:r>
      <w:hyperlink r:id="rId21">
        <w:r w:rsidR="00E51BDC">
          <w:rPr>
            <w:rStyle w:val="Hyperlink"/>
          </w:rPr>
          <w:t xml:space="preserve">Vårdhandboken, avsnitt Nutrition under rubrik </w:t>
        </w:r>
        <w:r w:rsidRPr="00E51BDC" w:rsidR="00E51BDC">
          <w:rPr>
            <w:rStyle w:val="Hyperlink"/>
            <w:i/>
            <w:iCs/>
          </w:rPr>
          <w:t>Att underlätta ätandet</w:t>
        </w:r>
      </w:hyperlink>
      <w:r w:rsidRPr="00E51BDC">
        <w:rPr>
          <w:rStyle w:val="Hyperlink"/>
          <w:u w:val="none"/>
        </w:rPr>
        <w:t>.</w:t>
      </w:r>
      <w:r w:rsidRPr="00E51BDC">
        <w:t xml:space="preserve"> </w:t>
      </w:r>
      <w:r>
        <w:t>Koppla in arbetsterapeut, fysioterapeut, logoped, tandläkare eller tandhygienist vid behov.</w:t>
      </w:r>
    </w:p>
    <w:p w:rsidRPr="002006F7" w:rsidR="00BF3FA9" w:rsidP="002006F7" w:rsidRDefault="00BF3FA9" w14:paraId="511EFC41" w14:textId="77777777">
      <w:pPr>
        <w:pStyle w:val="Punktlistanumrerad"/>
        <w:numPr>
          <w:ilvl w:val="0"/>
          <w:numId w:val="23"/>
        </w:numPr>
        <w:ind w:left="1349" w:hanging="357"/>
      </w:pPr>
      <w:r w:rsidRPr="002006F7">
        <w:t>Dokumentera åtgärderna i Melior i aktiviteten Planering under sökordet Nutrition.</w:t>
      </w:r>
    </w:p>
    <w:p w:rsidRPr="002006F7" w:rsidR="00BF3FA9" w:rsidP="002006F7" w:rsidRDefault="00BF3FA9" w14:paraId="2CC03776" w14:textId="77777777">
      <w:pPr>
        <w:pStyle w:val="Punktlistanumrerad"/>
        <w:numPr>
          <w:ilvl w:val="0"/>
          <w:numId w:val="23"/>
        </w:numPr>
        <w:ind w:left="1349" w:hanging="357"/>
      </w:pPr>
      <w:r w:rsidRPr="002006F7">
        <w:t>Jämför resultat av mat- och vätskeregistrering med uppskattat energi-behov:</w:t>
      </w:r>
    </w:p>
    <w:p w:rsidRPr="00BF3FA9" w:rsidR="00BF3FA9" w:rsidP="006F388E" w:rsidRDefault="05243F60" w14:paraId="651C6848" w14:textId="704908EB">
      <w:pPr>
        <w:numPr>
          <w:ilvl w:val="0"/>
          <w:numId w:val="1"/>
        </w:numPr>
        <w:tabs>
          <w:tab w:val="num" w:pos="3393"/>
        </w:tabs>
        <w:suppressAutoHyphens/>
        <w:overflowPunct w:val="0"/>
        <w:autoSpaceDE w:val="0"/>
        <w:autoSpaceDN w:val="0"/>
        <w:adjustRightInd w:val="0"/>
        <w:ind w:left="1706" w:hanging="357"/>
        <w:textAlignment w:val="baseline"/>
      </w:pPr>
      <w:r w:rsidRPr="254F6733">
        <w:rPr>
          <w:b/>
          <w:bCs/>
        </w:rPr>
        <w:t>Täcks endast 0-25 %</w:t>
      </w:r>
      <w:r>
        <w:t xml:space="preserve"> av patientens uppskattade energibehov per os under första dygnet, ska bedömning av behov av kvalificerade nutritionsåtgärder, exempelvis </w:t>
      </w:r>
      <w:hyperlink r:id="rId22">
        <w:r w:rsidRPr="254F6733">
          <w:rPr>
            <w:rStyle w:val="Hyperlink"/>
          </w:rPr>
          <w:t>enteral- och/eller parenteral nutrition</w:t>
        </w:r>
      </w:hyperlink>
      <w:r>
        <w:t xml:space="preserve"> [</w:t>
      </w:r>
      <w:r w:rsidR="0056425A">
        <w:t>7</w:t>
      </w:r>
      <w:r>
        <w:t>] göras. Dietist bör kopplas in.</w:t>
      </w:r>
    </w:p>
    <w:p w:rsidRPr="00BF3FA9" w:rsidR="00BF3FA9" w:rsidP="006F388E" w:rsidRDefault="00BF3FA9" w14:paraId="0DD977C3" w14:textId="77777777">
      <w:pPr>
        <w:numPr>
          <w:ilvl w:val="0"/>
          <w:numId w:val="1"/>
        </w:numPr>
        <w:tabs>
          <w:tab w:val="num" w:pos="3393"/>
        </w:tabs>
        <w:overflowPunct w:val="0"/>
        <w:autoSpaceDE w:val="0"/>
        <w:autoSpaceDN w:val="0"/>
        <w:adjustRightInd w:val="0"/>
        <w:ind w:left="1706" w:hanging="357"/>
        <w:textAlignment w:val="baseline"/>
        <w:rPr>
          <w:szCs w:val="20"/>
        </w:rPr>
      </w:pPr>
      <w:r w:rsidRPr="00BF3FA9">
        <w:rPr>
          <w:b/>
          <w:szCs w:val="20"/>
        </w:rPr>
        <w:t>Täcks mindre än 75 %</w:t>
      </w:r>
      <w:r w:rsidRPr="00BF3FA9">
        <w:rPr>
          <w:szCs w:val="20"/>
        </w:rPr>
        <w:t xml:space="preserve"> av patientens uppskattade energibehov per os efter tre dygn, trots insatta basala nutritionsåtgärder, ska bedömning av behov av kvalificerade nutritionsåtgärder göras. Dietist bör kopplas in.</w:t>
      </w:r>
    </w:p>
    <w:p w:rsidRPr="00BF3FA9" w:rsidR="00BF3FA9" w:rsidP="006F388E" w:rsidRDefault="00BF3FA9" w14:paraId="6AD43301" w14:textId="77777777">
      <w:pPr>
        <w:numPr>
          <w:ilvl w:val="0"/>
          <w:numId w:val="1"/>
        </w:numPr>
        <w:tabs>
          <w:tab w:val="num" w:pos="3393"/>
        </w:tabs>
        <w:overflowPunct w:val="0"/>
        <w:autoSpaceDE w:val="0"/>
        <w:autoSpaceDN w:val="0"/>
        <w:adjustRightInd w:val="0"/>
        <w:ind w:left="1706" w:hanging="357"/>
        <w:textAlignment w:val="baseline"/>
        <w:rPr>
          <w:szCs w:val="20"/>
        </w:rPr>
      </w:pPr>
      <w:r w:rsidRPr="00BF3FA9">
        <w:rPr>
          <w:b/>
          <w:szCs w:val="20"/>
        </w:rPr>
        <w:t>Täcks 75-100 %</w:t>
      </w:r>
      <w:r w:rsidRPr="00BF3FA9">
        <w:rPr>
          <w:szCs w:val="20"/>
        </w:rPr>
        <w:t xml:space="preserve"> av patientens uppskattade energibehov, fortsätt med basala nutritionsåtgärder och utvärdera kontinuerligt.</w:t>
      </w:r>
    </w:p>
    <w:p w:rsidRPr="00BF3FA9" w:rsidR="00BF3FA9" w:rsidP="006F388E" w:rsidRDefault="00BF3FA9" w14:paraId="69B58BEC" w14:textId="513322F0">
      <w:pPr>
        <w:pStyle w:val="Punktlistanumrerad"/>
      </w:pPr>
      <w:r w:rsidRPr="00BF3FA9">
        <w:t>Under hela vårdtiden ska energiintag jämföras med uppskattat energibehov och åtgärder sättas in enligt ovan.</w:t>
      </w:r>
    </w:p>
    <w:p w:rsidRPr="00BF3FA9" w:rsidR="00BF3FA9" w:rsidP="006F388E" w:rsidRDefault="00BF3FA9" w14:paraId="74C5BF90" w14:textId="77777777">
      <w:pPr>
        <w:pStyle w:val="Punktlistanumrerad"/>
      </w:pPr>
      <w:r w:rsidRPr="00BF3FA9">
        <w:t>Vikt bör följas kontinuerligt. Väg patienten enligt rekommenderat individuellt intervall, minst en gång per vecka. Utvärdera alltid alla viktförändringar.</w:t>
      </w:r>
    </w:p>
    <w:p w:rsidRPr="00BF3FA9" w:rsidR="00BF3FA9" w:rsidP="006F388E" w:rsidRDefault="00BF3FA9" w14:paraId="6152E78E" w14:textId="77777777">
      <w:pPr>
        <w:pStyle w:val="Heading3"/>
      </w:pPr>
      <w:bookmarkStart w:name="_Toc29471547" w:id="62"/>
      <w:bookmarkStart w:name="_Toc29471566" w:id="63"/>
      <w:bookmarkStart w:name="_Toc45013034" w:id="64"/>
      <w:bookmarkStart w:name="_Toc45015312" w:id="65"/>
      <w:bookmarkStart w:name="_Toc45024912" w:id="66"/>
      <w:bookmarkStart w:name="_Toc256000009" w:id="67"/>
      <w:bookmarkStart w:name="_Toc119336139" w:id="68"/>
      <w:r w:rsidRPr="00BF3FA9">
        <w:t>Diagnoskodning</w:t>
      </w:r>
      <w:bookmarkEnd w:id="62"/>
      <w:bookmarkEnd w:id="63"/>
      <w:bookmarkEnd w:id="64"/>
      <w:bookmarkEnd w:id="65"/>
      <w:bookmarkEnd w:id="66"/>
      <w:bookmarkEnd w:id="67"/>
      <w:bookmarkEnd w:id="68"/>
    </w:p>
    <w:p w:rsidRPr="00BF3FA9" w:rsidR="00BF3FA9" w:rsidP="006F388E" w:rsidRDefault="00BF3FA9" w14:paraId="448A1052" w14:textId="77777777">
      <w:r w:rsidRPr="00BF3FA9">
        <w:t>Undernäring ska diagnoskodas som huvud- eller bidiagnos enligt ICD-10 av alla professioner som är behöriga att diagnoskoda.</w:t>
      </w:r>
    </w:p>
    <w:p w:rsidRPr="00BF3FA9" w:rsidR="00BF3FA9" w:rsidP="006F388E" w:rsidRDefault="00BF3FA9" w14:paraId="7FA0FC8A" w14:textId="77777777">
      <w:pPr>
        <w:pStyle w:val="Heading3"/>
      </w:pPr>
      <w:bookmarkStart w:name="_Toc29471548" w:id="69"/>
      <w:bookmarkStart w:name="_Toc29471567" w:id="70"/>
      <w:bookmarkStart w:name="_Toc45013035" w:id="71"/>
      <w:bookmarkStart w:name="_Toc45015313" w:id="72"/>
      <w:bookmarkStart w:name="_Toc45024913" w:id="73"/>
      <w:bookmarkStart w:name="_Toc256000010" w:id="74"/>
      <w:bookmarkStart w:name="_Toc119336140" w:id="75"/>
      <w:r w:rsidRPr="00BF3FA9">
        <w:t>Gröna korset</w:t>
      </w:r>
      <w:bookmarkEnd w:id="69"/>
      <w:bookmarkEnd w:id="70"/>
      <w:bookmarkEnd w:id="71"/>
      <w:bookmarkEnd w:id="72"/>
      <w:bookmarkEnd w:id="73"/>
      <w:bookmarkEnd w:id="74"/>
      <w:bookmarkEnd w:id="75"/>
    </w:p>
    <w:p w:rsidR="00BF3BEB" w:rsidP="006F388E" w:rsidRDefault="00BF3BEB" w14:paraId="33D47D4F" w14:textId="2FD5CACE">
      <w:r w:rsidRPr="005818BD">
        <w:t xml:space="preserve">Uppföljning sker dagligen vid Gröna Korset-genomgång där frågan ställs ”Har någon patient utvecklat </w:t>
      </w:r>
      <w:r w:rsidRPr="005818BD" w:rsidR="00D65F24">
        <w:t>undernäring</w:t>
      </w:r>
      <w:r w:rsidRPr="005818BD">
        <w:t xml:space="preserve"> eller löpt risk för att utveckla </w:t>
      </w:r>
      <w:r w:rsidRPr="005818BD" w:rsidR="00691833">
        <w:t>detta</w:t>
      </w:r>
      <w:r w:rsidRPr="005818BD">
        <w:t xml:space="preserve"> på grund av bristande åtgärder?”</w:t>
      </w:r>
      <w:r w:rsidRPr="005818BD" w:rsidR="0033525E">
        <w:t xml:space="preserve"> </w:t>
      </w:r>
      <w:r w:rsidRPr="005818BD" w:rsidR="007F4AA2">
        <w:t>Exempel på bristande åtgärder kan vara ej genomförd riskbedömning</w:t>
      </w:r>
      <w:r w:rsidRPr="005818BD" w:rsidR="002E43CE">
        <w:t xml:space="preserve">, </w:t>
      </w:r>
      <w:r w:rsidRPr="005818BD" w:rsidR="005A1208">
        <w:t xml:space="preserve">ingen förnyad bedömning vid </w:t>
      </w:r>
      <w:r w:rsidRPr="005818BD" w:rsidR="00572147">
        <w:t>förändrat hälsotillstånd,</w:t>
      </w:r>
      <w:r w:rsidRPr="005818BD" w:rsidR="004B6A53">
        <w:t xml:space="preserve"> </w:t>
      </w:r>
      <w:r w:rsidRPr="005818BD" w:rsidR="002E43CE">
        <w:t xml:space="preserve">ej </w:t>
      </w:r>
      <w:r w:rsidRPr="005818BD" w:rsidR="000956CB">
        <w:t>genomförda åtgärder vid identifierad risk eller bristande dokumentation</w:t>
      </w:r>
      <w:r w:rsidRPr="005818BD" w:rsidR="000B7F6B">
        <w:t>/överrapportering.</w:t>
      </w:r>
      <w:r w:rsidR="000B7F6B">
        <w:t xml:space="preserve"> </w:t>
      </w:r>
    </w:p>
    <w:p w:rsidRPr="00BF3FA9" w:rsidR="00BF3FA9" w:rsidP="006F388E" w:rsidRDefault="00D05804" w14:paraId="5E0549C5" w14:textId="2F432A46">
      <w:r w:rsidRPr="00AB54DC">
        <w:t>Risk för undernäring</w:t>
      </w:r>
      <w:r w:rsidRPr="00AB54DC" w:rsidR="00AB54DC">
        <w:t xml:space="preserve"> </w:t>
      </w:r>
      <w:r w:rsidRPr="00AB54DC">
        <w:t>eller inträffad</w:t>
      </w:r>
      <w:r w:rsidRPr="00AB54DC" w:rsidR="00BF3FA9">
        <w:t xml:space="preserve"> </w:t>
      </w:r>
      <w:r w:rsidRPr="00BF3FA9" w:rsidR="00BF3FA9">
        <w:t xml:space="preserve">vårdskada, ska rapporteras som avvikelse i MedControl PRO. </w:t>
      </w:r>
      <w:r w:rsidR="006E5B4D">
        <w:t>Allvarliga risker</w:t>
      </w:r>
      <w:r w:rsidR="00FA1F82">
        <w:t xml:space="preserve"> och vårdskador (röd)</w:t>
      </w:r>
      <w:r w:rsidR="00B47299">
        <w:t xml:space="preserve"> ska öppnas för </w:t>
      </w:r>
      <w:r w:rsidR="009A0530">
        <w:t xml:space="preserve">chefläkare </w:t>
      </w:r>
      <w:r w:rsidR="00842084">
        <w:t xml:space="preserve">inför </w:t>
      </w:r>
      <w:r w:rsidR="00B47299">
        <w:t>Lex Maria</w:t>
      </w:r>
      <w:r w:rsidR="00842084">
        <w:t>-</w:t>
      </w:r>
      <w:r w:rsidR="00B47299">
        <w:t>bedömning</w:t>
      </w:r>
      <w:r w:rsidR="009A0530">
        <w:t>.</w:t>
      </w:r>
    </w:p>
    <w:p w:rsidRPr="00BF3FA9" w:rsidR="00BF3FA9" w:rsidP="006F388E" w:rsidRDefault="00BF3FA9" w14:paraId="0BEBEC5A" w14:textId="77777777">
      <w:pPr>
        <w:pStyle w:val="Heading3"/>
      </w:pPr>
      <w:bookmarkStart w:name="_Toc29471549" w:id="76"/>
      <w:bookmarkStart w:name="_Toc29471568" w:id="77"/>
      <w:bookmarkStart w:name="_Toc45013036" w:id="78"/>
      <w:bookmarkStart w:name="_Toc45015314" w:id="79"/>
      <w:bookmarkStart w:name="_Toc45024914" w:id="80"/>
      <w:bookmarkStart w:name="_Toc256000011" w:id="81"/>
      <w:bookmarkStart w:name="_Toc119336141" w:id="82"/>
      <w:r w:rsidRPr="00BF3FA9">
        <w:t>Utskrivning och överrapportering</w:t>
      </w:r>
      <w:bookmarkEnd w:id="76"/>
      <w:bookmarkEnd w:id="77"/>
      <w:bookmarkEnd w:id="78"/>
      <w:bookmarkEnd w:id="79"/>
      <w:bookmarkEnd w:id="80"/>
      <w:bookmarkEnd w:id="81"/>
      <w:bookmarkEnd w:id="82"/>
    </w:p>
    <w:p w:rsidRPr="00BF3FA9" w:rsidR="00BF3FA9" w:rsidP="254F6733" w:rsidRDefault="05243F60" w14:paraId="74D6EDBE" w14:textId="591A68D5">
      <w:pPr>
        <w:rPr>
          <w:i/>
          <w:iCs/>
        </w:rPr>
      </w:pPr>
      <w:r>
        <w:t xml:space="preserve">Information om risk för undernäring eller undernäring och vidtagna åtgärder ska följa patienten genom hela vårdkedjan. I SAMSA skrivs behov av nutritions- och ätstödjande åtgärder under </w:t>
      </w:r>
      <w:r w:rsidRPr="254F6733">
        <w:rPr>
          <w:i/>
          <w:iCs/>
        </w:rPr>
        <w:t>Planering – patientens bedömda behov</w:t>
      </w:r>
      <w:r>
        <w:t xml:space="preserve">. Nutritionsåtgärder som vidtagits under vårdtiden dokumenteras i </w:t>
      </w:r>
      <w:r w:rsidRPr="254F6733">
        <w:rPr>
          <w:i/>
          <w:iCs/>
        </w:rPr>
        <w:t>Hälso-, sjukvårds- och omvårdnadsaktivitet vid denna vårdkontakt.</w:t>
      </w:r>
    </w:p>
    <w:p w:rsidRPr="00BF3FA9" w:rsidR="00BF3FA9" w:rsidP="006F388E" w:rsidRDefault="00BF3FA9" w14:paraId="5B8B2733" w14:textId="77777777">
      <w:pPr>
        <w:pStyle w:val="Heading2"/>
      </w:pPr>
      <w:bookmarkStart w:name="_Toc182366122" w:id="83"/>
      <w:bookmarkStart w:name="_Toc29471550" w:id="84"/>
      <w:bookmarkStart w:name="_Toc29471569" w:id="85"/>
      <w:bookmarkStart w:name="_Toc45013037" w:id="86"/>
      <w:bookmarkStart w:name="_Toc45015315" w:id="87"/>
      <w:bookmarkStart w:name="_Toc45024915" w:id="88"/>
      <w:bookmarkStart w:name="_Toc256000012" w:id="89"/>
      <w:bookmarkStart w:name="_Toc119336142" w:id="90"/>
      <w:r w:rsidRPr="00BF3FA9">
        <w:t>Dokumentinformation</w:t>
      </w:r>
      <w:bookmarkEnd w:id="83"/>
      <w:bookmarkEnd w:id="84"/>
      <w:bookmarkEnd w:id="85"/>
      <w:bookmarkEnd w:id="86"/>
      <w:bookmarkEnd w:id="87"/>
      <w:bookmarkEnd w:id="88"/>
      <w:bookmarkEnd w:id="89"/>
      <w:bookmarkEnd w:id="90"/>
    </w:p>
    <w:p w:rsidRPr="00E66C1A" w:rsidR="00BF3FA9" w:rsidP="006F388E" w:rsidRDefault="00BF3FA9" w14:paraId="046BACAB" w14:textId="77777777">
      <w:pPr>
        <w:spacing w:after="0"/>
        <w:rPr>
          <w:b/>
          <w:bCs/>
        </w:rPr>
      </w:pPr>
      <w:r w:rsidRPr="00924EE0">
        <w:rPr>
          <w:b/>
          <w:bCs/>
        </w:rPr>
        <w:t>F</w:t>
      </w:r>
      <w:r w:rsidRPr="00E66C1A">
        <w:rPr>
          <w:b/>
          <w:bCs/>
        </w:rPr>
        <w:t>ör innehållet svarar</w:t>
      </w:r>
    </w:p>
    <w:p w:rsidRPr="00E66C1A" w:rsidR="00CE4ACA" w:rsidP="00CE4ACA" w:rsidRDefault="4571CB36" w14:paraId="714EAAE6" w14:textId="6FF65030">
      <w:pPr>
        <w:pStyle w:val="ListBullet"/>
        <w:contextualSpacing/>
      </w:pPr>
      <w:r w:rsidRPr="00E66C1A">
        <w:t>Anna Svensson, dietist och ämnesföreträdare TUF - Undernäring,</w:t>
      </w:r>
      <w:r w:rsidRPr="00E66C1A" w:rsidR="05243F60">
        <w:t xml:space="preserve"> </w:t>
      </w:r>
      <w:r w:rsidRPr="00E66C1A" w:rsidR="00010340">
        <w:t>V</w:t>
      </w:r>
      <w:r w:rsidRPr="00E66C1A" w:rsidR="00987397">
        <w:t>O Neurologi, rehabilitering</w:t>
      </w:r>
      <w:r w:rsidRPr="00E66C1A" w:rsidR="05243F60">
        <w:t xml:space="preserve"> och </w:t>
      </w:r>
      <w:r w:rsidRPr="00E66C1A" w:rsidR="00987397">
        <w:t>nära vård</w:t>
      </w:r>
      <w:r w:rsidRPr="00E66C1A" w:rsidR="05243F60">
        <w:t>, SÄS</w:t>
      </w:r>
    </w:p>
    <w:p w:rsidRPr="00E66C1A" w:rsidR="00BF3FA9" w:rsidP="00CE4ACA" w:rsidRDefault="0371DC38" w14:paraId="31CBC722" w14:textId="1AA17A98">
      <w:pPr>
        <w:pStyle w:val="ListBullet"/>
        <w:contextualSpacing/>
      </w:pPr>
      <w:r w:rsidRPr="00E66C1A">
        <w:t>Karin Scharl</w:t>
      </w:r>
      <w:r w:rsidRPr="00E66C1A" w:rsidR="05243F60">
        <w:t>, chefsjuksköterska, SÄS</w:t>
      </w:r>
    </w:p>
    <w:p w:rsidRPr="006F388E" w:rsidR="00BF3FA9" w:rsidP="006F388E" w:rsidRDefault="00BF3FA9" w14:paraId="71A320DD" w14:textId="6A181A9E">
      <w:pPr>
        <w:rPr>
          <w:b/>
          <w:bCs/>
        </w:rPr>
      </w:pPr>
      <w:r w:rsidRPr="00E66C1A">
        <w:rPr>
          <w:b/>
          <w:bCs/>
        </w:rPr>
        <w:t>Remissinstans</w:t>
      </w:r>
      <w:r w:rsidRPr="00E66C1A" w:rsidR="009806B8">
        <w:rPr>
          <w:b/>
          <w:bCs/>
        </w:rPr>
        <w:t xml:space="preserve">er </w:t>
      </w:r>
      <w:r w:rsidRPr="00E66C1A" w:rsidR="009806B8">
        <w:rPr>
          <w:b/>
        </w:rPr>
        <w:t xml:space="preserve">(utgåva </w:t>
      </w:r>
      <w:r w:rsidRPr="00E66C1A" w:rsidR="00E66C1A">
        <w:rPr>
          <w:b/>
        </w:rPr>
        <w:t>1</w:t>
      </w:r>
      <w:r w:rsidRPr="00E66C1A" w:rsidR="009806B8">
        <w:rPr>
          <w:b/>
          <w:bCs/>
        </w:rPr>
        <w:t>)</w:t>
      </w:r>
      <w:r w:rsidRPr="00E66C1A" w:rsidR="004C52B2">
        <w:rPr>
          <w:b/>
          <w:bCs/>
        </w:rPr>
        <w:t xml:space="preserve"> </w:t>
      </w:r>
      <w:r w:rsidRPr="00E66C1A">
        <w:rPr>
          <w:b/>
          <w:bCs/>
        </w:rPr>
        <w:br/>
      </w:r>
      <w:r w:rsidRPr="00E66C1A">
        <w:rPr>
          <w:szCs w:val="20"/>
        </w:rPr>
        <w:t>Nutritionsrådet, SÄS och Dietistenheten, SÄS</w:t>
      </w:r>
      <w:r w:rsidRPr="00E66C1A">
        <w:rPr>
          <w:szCs w:val="20"/>
        </w:rPr>
        <w:br/>
      </w:r>
      <w:r w:rsidRPr="00E66C1A">
        <w:rPr>
          <w:szCs w:val="20"/>
        </w:rPr>
        <w:t>Verksamhetschefer</w:t>
      </w:r>
      <w:r w:rsidRPr="00BF3FA9">
        <w:rPr>
          <w:szCs w:val="20"/>
        </w:rPr>
        <w:t>, SÄS</w:t>
      </w:r>
    </w:p>
    <w:p w:rsidRPr="006F388E" w:rsidR="00BF3FA9" w:rsidP="006F388E" w:rsidRDefault="00BF3FA9" w14:paraId="1A30C35C" w14:textId="77777777">
      <w:pPr>
        <w:spacing w:after="0"/>
        <w:rPr>
          <w:b/>
          <w:bCs/>
        </w:rPr>
      </w:pPr>
      <w:r w:rsidRPr="006F388E">
        <w:rPr>
          <w:b/>
          <w:bCs/>
        </w:rPr>
        <w:t>Fastställt av</w:t>
      </w:r>
    </w:p>
    <w:p w:rsidRPr="00BF3FA9" w:rsidR="00BF3FA9" w:rsidP="006F388E" w:rsidRDefault="009806B8" w14:paraId="5BC36AAD" w14:textId="2CBCE1D2">
      <w:pPr/>
      <w:r w:rsidR="4EE624FF">
        <w:rPr/>
        <w:t>Jerker Nilson</w:t>
      </w:r>
      <w:r w:rsidR="00BF3FA9">
        <w:rPr/>
        <w:t>, chefläkare/SÄS</w:t>
      </w:r>
    </w:p>
    <w:p w:rsidRPr="006F388E" w:rsidR="00BF3FA9" w:rsidP="006F388E" w:rsidRDefault="00BF3FA9" w14:paraId="72E048E9" w14:textId="77777777">
      <w:pPr>
        <w:spacing w:after="0"/>
        <w:rPr>
          <w:b/>
          <w:bCs/>
        </w:rPr>
      </w:pPr>
      <w:r w:rsidRPr="006F388E">
        <w:rPr>
          <w:b/>
          <w:bCs/>
        </w:rPr>
        <w:t>Nyckelord</w:t>
      </w:r>
    </w:p>
    <w:p w:rsidRPr="00BF3FA9" w:rsidR="00BF3FA9" w:rsidP="254F6733" w:rsidRDefault="05243F60" w14:paraId="2159F939" w14:textId="68965272">
      <w:pPr>
        <w:rPr>
          <w:strike/>
        </w:rPr>
      </w:pPr>
      <w:r>
        <w:t>Undernäring, nutrition, riskbedömning, basal nutritionsåtgärd, kvalificerad nutritionsåtgärd, ätstödjande åtgärd, vårdskada, diagnoskodning, ansvarsfördelning</w:t>
      </w:r>
    </w:p>
    <w:p w:rsidRPr="00BF3FA9" w:rsidR="00BF3FA9" w:rsidP="00E1186D" w:rsidRDefault="00BF3FA9" w14:paraId="004FF785" w14:textId="77777777">
      <w:pPr>
        <w:pStyle w:val="Heading2"/>
      </w:pPr>
      <w:bookmarkStart w:name="_Toc45013038" w:id="91"/>
      <w:bookmarkStart w:name="_Toc45015316" w:id="92"/>
      <w:bookmarkStart w:name="_Toc45024916" w:id="93"/>
      <w:bookmarkStart w:name="_Toc256000013" w:id="94"/>
      <w:bookmarkStart w:name="_Toc119336143" w:id="95"/>
      <w:r w:rsidRPr="00BF3FA9">
        <w:t>Referens- och länkförteckning</w:t>
      </w:r>
      <w:bookmarkEnd w:id="91"/>
      <w:bookmarkEnd w:id="92"/>
      <w:bookmarkEnd w:id="93"/>
      <w:bookmarkEnd w:id="94"/>
      <w:bookmarkEnd w:id="95"/>
    </w:p>
    <w:p w:rsidR="0056522B" w:rsidP="00E1186D" w:rsidRDefault="05243F60" w14:paraId="312389DF" w14:textId="6D1B50F1">
      <w:pPr>
        <w:pStyle w:val="Punktlistanumrerad"/>
        <w:numPr>
          <w:ilvl w:val="0"/>
          <w:numId w:val="24"/>
        </w:numPr>
        <w:ind w:left="1349" w:hanging="357"/>
      </w:pPr>
      <w:r>
        <w:t>Att förebygga och behandla undernäring. Kunskapsstöd i hälso- och sjukvård och socialtjänst. Socialstyrelsen, 20</w:t>
      </w:r>
      <w:r w:rsidR="36AADB54">
        <w:t>20</w:t>
      </w:r>
      <w:r>
        <w:t>. Stockholm.</w:t>
      </w:r>
      <w:r w:rsidR="00BF3FA9">
        <w:br/>
      </w:r>
      <w:hyperlink w:history="1" r:id="rId23">
        <w:r w:rsidRPr="00607537" w:rsidR="00072C1A">
          <w:rPr>
            <w:rStyle w:val="Hyperlink"/>
          </w:rPr>
          <w:t>www.socialstyrelsen.se/globalassets/sharepoint-dokument/artikelkatalog/kunskapsstod/2020-4-6716.pdf</w:t>
        </w:r>
      </w:hyperlink>
    </w:p>
    <w:p w:rsidRPr="009270BC" w:rsidR="00BF3FA9" w:rsidP="00E1186D" w:rsidRDefault="00BF3FA9" w14:paraId="607F98DD" w14:textId="460F4B00">
      <w:pPr>
        <w:pStyle w:val="Punktlistanumrerad"/>
        <w:numPr>
          <w:ilvl w:val="0"/>
          <w:numId w:val="24"/>
        </w:numPr>
        <w:ind w:left="1349" w:hanging="357"/>
        <w:rPr>
          <w:szCs w:val="20"/>
        </w:rPr>
      </w:pPr>
      <w:r w:rsidRPr="009270BC">
        <w:rPr>
          <w:szCs w:val="20"/>
        </w:rPr>
        <w:t>Vårdhandboken. Inera AB.</w:t>
      </w:r>
      <w:r w:rsidRPr="009270BC">
        <w:rPr>
          <w:szCs w:val="20"/>
        </w:rPr>
        <w:br/>
      </w:r>
      <w:hyperlink w:history="1" r:id="rId24">
        <w:r w:rsidRPr="009270BC">
          <w:rPr>
            <w:rStyle w:val="Hyperlink"/>
          </w:rPr>
          <w:t>www.vardhandboken.se</w:t>
        </w:r>
      </w:hyperlink>
    </w:p>
    <w:p w:rsidRPr="009270BC" w:rsidR="003877ED" w:rsidP="00E1186D" w:rsidRDefault="6B5524A5" w14:paraId="2FD96E15" w14:textId="4D6B429C">
      <w:pPr>
        <w:pStyle w:val="Punktlistanumrerad"/>
        <w:numPr>
          <w:ilvl w:val="0"/>
          <w:numId w:val="24"/>
        </w:numPr>
        <w:ind w:left="1349" w:hanging="357"/>
      </w:pPr>
      <w:r w:rsidRPr="009270BC">
        <w:t>Socialstyrelsens föreskrifter och allmänna råd om förebyggande av och behandling vid undernäring</w:t>
      </w:r>
      <w:r w:rsidRPr="009270BC" w:rsidR="00BF3FA9">
        <w:t xml:space="preserve"> (</w:t>
      </w:r>
      <w:r w:rsidRPr="009270BC" w:rsidR="141E4A28">
        <w:t>HSLF-FS 2022:49</w:t>
      </w:r>
      <w:r w:rsidRPr="009270BC" w:rsidR="00BF3FA9">
        <w:t>). Socialstyrelsens författningssamling.</w:t>
      </w:r>
      <w:r w:rsidRPr="009270BC" w:rsidR="00A7509D">
        <w:br/>
      </w:r>
      <w:hyperlink w:history="1" r:id="rId25">
        <w:r w:rsidRPr="00607537" w:rsidR="009270BC">
          <w:rPr>
            <w:rStyle w:val="Hyperlink"/>
          </w:rPr>
          <w:t>www.socialstyrelsen.se/globalassets/sharepoint-dokument/artikelkatalog/foreskrifter-och-allmanna-rad/2022-8-8078.pdf</w:t>
        </w:r>
      </w:hyperlink>
    </w:p>
    <w:p w:rsidRPr="00072C1A" w:rsidR="00BF3FA9" w:rsidP="00E1186D" w:rsidRDefault="00BF3FA9" w14:paraId="3080ECBE" w14:textId="77777777">
      <w:pPr>
        <w:pStyle w:val="Punktlistanumrerad"/>
        <w:numPr>
          <w:ilvl w:val="0"/>
          <w:numId w:val="24"/>
        </w:numPr>
        <w:ind w:left="1349" w:hanging="357"/>
      </w:pPr>
      <w:r w:rsidRPr="00072C1A">
        <w:t>Patientsäkerhetslag (SFS 2010:659). Svensk författningssamling.</w:t>
      </w:r>
      <w:r w:rsidRPr="00072C1A">
        <w:br/>
      </w:r>
      <w:hyperlink r:id="rId26">
        <w:r w:rsidRPr="00072C1A">
          <w:rPr>
            <w:rStyle w:val="Hyperlink"/>
          </w:rPr>
          <w:t>www.riksdagen.se/sv/dokument-lagar/dokument/svensk-forfattningssamling/patientsakerhetslag-2010659_sfs-2010-659</w:t>
        </w:r>
      </w:hyperlink>
    </w:p>
    <w:p w:rsidRPr="00072C1A" w:rsidR="00BF3FA9" w:rsidP="00E1186D" w:rsidRDefault="7F468966" w14:paraId="78CBB6E8" w14:textId="593F4039">
      <w:pPr>
        <w:pStyle w:val="Punktlistanumrerad"/>
        <w:numPr>
          <w:ilvl w:val="0"/>
          <w:numId w:val="24"/>
        </w:numPr>
        <w:ind w:left="1349" w:hanging="357"/>
        <w:rPr>
          <w:u w:val="single"/>
        </w:rPr>
      </w:pPr>
      <w:r w:rsidRPr="00072C1A">
        <w:t xml:space="preserve">Nationell kraftsamling för att minska undernäring hos vuxna individer. Sveriges Kommuner och Regioner. </w:t>
      </w:r>
      <w:r w:rsidRPr="00072C1A" w:rsidR="00FC3A0E">
        <w:br/>
      </w:r>
      <w:hyperlink w:history="1" r:id="rId27">
        <w:r w:rsidRPr="00072C1A" w:rsidR="007D36A1">
          <w:rPr>
            <w:rStyle w:val="Hyperlink"/>
          </w:rPr>
          <w:t>https://skr.se/download/18.2070d58a1817fca64d332ca/1655742823443/SKR_Nationell-kraftsamling-minska-undernaring.pdf</w:t>
        </w:r>
      </w:hyperlink>
    </w:p>
    <w:p w:rsidRPr="00072C1A" w:rsidR="00BF3FA9" w:rsidP="00E1186D" w:rsidRDefault="00BF3FA9" w14:paraId="3DE380E5" w14:textId="0A9C4E06">
      <w:pPr>
        <w:pStyle w:val="Punktlistanumrerad"/>
        <w:numPr>
          <w:ilvl w:val="0"/>
          <w:numId w:val="24"/>
        </w:numPr>
        <w:ind w:left="1349" w:hanging="357"/>
        <w:rPr>
          <w:rStyle w:val="Hyperlink"/>
          <w:color w:val="auto"/>
        </w:rPr>
      </w:pPr>
      <w:r w:rsidRPr="00072C1A">
        <w:t>Kostpärm för vårdpersonal. Information om patientmat inom Västra Götalandsregionens sjukhus. Regionservice, Måltider. VGR 2017.</w:t>
      </w:r>
      <w:r w:rsidRPr="00072C1A">
        <w:br/>
      </w:r>
      <w:hyperlink r:id="rId28">
        <w:r w:rsidRPr="00072C1A" w:rsidR="00AC32CD">
          <w:rPr>
            <w:rStyle w:val="Hyperlink"/>
          </w:rPr>
          <w:t>https://regionservice.vgregion.se/RNS/prodnarservice/patientmaltid</w:t>
        </w:r>
      </w:hyperlink>
    </w:p>
    <w:p w:rsidRPr="007D36A1" w:rsidR="00536A5A" w:rsidP="007D36A1" w:rsidRDefault="00BF3FA9" w14:paraId="76B9F95B" w14:textId="764661C1">
      <w:pPr>
        <w:pStyle w:val="Punktlistanumrerad"/>
        <w:numPr>
          <w:ilvl w:val="0"/>
          <w:numId w:val="24"/>
        </w:numPr>
        <w:ind w:left="1349" w:hanging="357"/>
        <w:rPr>
          <w:szCs w:val="20"/>
        </w:rPr>
      </w:pPr>
      <w:r w:rsidRPr="00072C1A">
        <w:t xml:space="preserve">Vätske- och nutritionsbehandling 2020. Terapigrupp Vätskor och Nutrition. Läkemedelskommittén </w:t>
      </w:r>
      <w:r>
        <w:t>i Västra Götalandsregionen. VGR 2019.</w:t>
      </w:r>
      <w:r>
        <w:br/>
      </w:r>
      <w:hyperlink r:id="rId29">
        <w:r w:rsidRPr="0226434B">
          <w:rPr>
            <w:rStyle w:val="Hyperlink"/>
          </w:rPr>
          <w:t>https://vatskenutrition.vgregion.se</w:t>
        </w:r>
      </w:hyperlink>
      <w:bookmarkEnd w:id="1"/>
    </w:p>
    <w:sectPr w:rsidRPr="007D36A1" w:rsidR="00536A5A" w:rsidSect="00BF3FA9">
      <w:headerReference w:type="default" r:id="rId30"/>
      <w:footerReference w:type="even" r:id="rId31"/>
      <w:footerReference w:type="default" r:id="rId32"/>
      <w:headerReference w:type="first" r:id="rId33"/>
      <w:footerReference w:type="first" r:id="rId34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46F3" w:rsidRDefault="004546F3" w14:paraId="086EE1BC" w14:textId="77777777">
      <w:r>
        <w:separator/>
      </w:r>
    </w:p>
  </w:endnote>
  <w:endnote w:type="continuationSeparator" w:id="0">
    <w:p w:rsidR="004546F3" w:rsidRDefault="004546F3" w14:paraId="662C13DF" w14:textId="77777777">
      <w:r>
        <w:continuationSeparator/>
      </w:r>
    </w:p>
  </w:endnote>
  <w:endnote w:type="continuationNotice" w:id="1">
    <w:p w:rsidR="004546F3" w:rsidRDefault="004546F3" w14:paraId="4E1F9D8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Arial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46F3" w:rsidRDefault="004546F3" w14:paraId="1655F95D" w14:textId="77777777"/>
  </w:footnote>
  <w:footnote w:type="continuationSeparator" w:id="0">
    <w:p w:rsidR="004546F3" w:rsidRDefault="004546F3" w14:paraId="33E67602" w14:textId="77777777">
      <w:r>
        <w:continuationSeparator/>
      </w:r>
    </w:p>
  </w:footnote>
  <w:footnote w:type="continuationNotice" w:id="1">
    <w:p w:rsidR="004546F3" w:rsidRDefault="004546F3" w14:paraId="52057BB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59B655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84F3B4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689E08F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2" w15:restartNumberingAfterBreak="0">
    <w:nsid w:val="FFFFFF88"/>
    <w:multiLevelType w:val="singleLevel"/>
    <w:tmpl w:val="3F8AE4A4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8532A54"/>
    <w:multiLevelType w:val="hybridMultilevel"/>
    <w:tmpl w:val="8DEC010C"/>
    <w:lvl w:ilvl="0" w:tplc="841EDF94">
      <w:start w:val="1"/>
      <w:numFmt w:val="bullet"/>
      <w:pStyle w:val="List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B1635B2"/>
    <w:multiLevelType w:val="multilevel"/>
    <w:tmpl w:val="36E8C6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2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057351E"/>
    <w:multiLevelType w:val="multilevel"/>
    <w:tmpl w:val="FFFFFFFF"/>
    <w:lvl w:ilvl="0">
      <w:start w:val="1"/>
      <w:numFmt w:val="decimal"/>
      <w:pStyle w:val="ListBullet2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4" w15:restartNumberingAfterBreak="0">
    <w:nsid w:val="38875D22"/>
    <w:multiLevelType w:val="hybridMultilevel"/>
    <w:tmpl w:val="381C0D3A"/>
    <w:lvl w:ilvl="0" w:tplc="85020BEA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6A1F6AA7"/>
    <w:multiLevelType w:val="multilevel"/>
    <w:tmpl w:val="B87A96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235F19"/>
    <w:multiLevelType w:val="hybridMultilevel"/>
    <w:tmpl w:val="F11E9490"/>
    <w:lvl w:ilvl="0" w:tplc="FFFFFFFF">
      <w:start w:val="1"/>
      <w:numFmt w:val="decimal"/>
      <w:lvlText w:val="%1."/>
      <w:lvlJc w:val="left"/>
      <w:pPr>
        <w:ind w:left="3036" w:hanging="360"/>
      </w:pPr>
      <w:rPr>
        <w:i w:val="0"/>
      </w:rPr>
    </w:lvl>
    <w:lvl w:ilvl="1" w:tplc="FFFFFFFF">
      <w:start w:val="1"/>
      <w:numFmt w:val="lowerLetter"/>
      <w:lvlText w:val="%2."/>
      <w:lvlJc w:val="left"/>
      <w:pPr>
        <w:ind w:left="1508" w:hanging="360"/>
      </w:pPr>
    </w:lvl>
    <w:lvl w:ilvl="2" w:tplc="FFFFFFFF">
      <w:start w:val="1"/>
      <w:numFmt w:val="lowerRoman"/>
      <w:lvlText w:val="%3."/>
      <w:lvlJc w:val="right"/>
      <w:pPr>
        <w:ind w:left="2228" w:hanging="180"/>
      </w:pPr>
    </w:lvl>
    <w:lvl w:ilvl="3" w:tplc="FFFFFFFF" w:tentative="1">
      <w:start w:val="1"/>
      <w:numFmt w:val="decimal"/>
      <w:lvlText w:val="%4."/>
      <w:lvlJc w:val="left"/>
      <w:pPr>
        <w:ind w:left="2948" w:hanging="360"/>
      </w:pPr>
    </w:lvl>
    <w:lvl w:ilvl="4" w:tplc="FFFFFFFF" w:tentative="1">
      <w:start w:val="1"/>
      <w:numFmt w:val="lowerLetter"/>
      <w:lvlText w:val="%5."/>
      <w:lvlJc w:val="left"/>
      <w:pPr>
        <w:ind w:left="3668" w:hanging="360"/>
      </w:pPr>
    </w:lvl>
    <w:lvl w:ilvl="5" w:tplc="FFFFFFFF" w:tentative="1">
      <w:start w:val="1"/>
      <w:numFmt w:val="lowerRoman"/>
      <w:lvlText w:val="%6."/>
      <w:lvlJc w:val="right"/>
      <w:pPr>
        <w:ind w:left="4388" w:hanging="180"/>
      </w:pPr>
    </w:lvl>
    <w:lvl w:ilvl="6" w:tplc="FFFFFFFF" w:tentative="1">
      <w:start w:val="1"/>
      <w:numFmt w:val="decimal"/>
      <w:lvlText w:val="%7."/>
      <w:lvlJc w:val="left"/>
      <w:pPr>
        <w:ind w:left="5108" w:hanging="360"/>
      </w:pPr>
    </w:lvl>
    <w:lvl w:ilvl="7" w:tplc="FFFFFFFF" w:tentative="1">
      <w:start w:val="1"/>
      <w:numFmt w:val="lowerLetter"/>
      <w:lvlText w:val="%8."/>
      <w:lvlJc w:val="left"/>
      <w:pPr>
        <w:ind w:left="5828" w:hanging="360"/>
      </w:pPr>
    </w:lvl>
    <w:lvl w:ilvl="8" w:tplc="FFFFFFFF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68347193">
    <w:abstractNumId w:val="12"/>
  </w:num>
  <w:num w:numId="2" w16cid:durableId="1674141807">
    <w:abstractNumId w:val="2"/>
  </w:num>
  <w:num w:numId="3" w16cid:durableId="1548371892">
    <w:abstractNumId w:val="25"/>
  </w:num>
  <w:num w:numId="4" w16cid:durableId="404883444">
    <w:abstractNumId w:val="2"/>
    <w:lvlOverride w:ilvl="0">
      <w:startOverride w:val="1"/>
    </w:lvlOverride>
  </w:num>
  <w:num w:numId="5" w16cid:durableId="1132020606">
    <w:abstractNumId w:val="2"/>
    <w:lvlOverride w:ilvl="0">
      <w:startOverride w:val="1"/>
    </w:lvlOverride>
  </w:num>
  <w:num w:numId="6" w16cid:durableId="2142962879">
    <w:abstractNumId w:val="22"/>
  </w:num>
  <w:num w:numId="7" w16cid:durableId="10280210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44114589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0866721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61414959">
    <w:abstractNumId w:val="11"/>
  </w:num>
  <w:num w:numId="11" w16cid:durableId="163767934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57362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1331365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17232440">
    <w:abstractNumId w:val="13"/>
  </w:num>
  <w:num w:numId="15" w16cid:durableId="96962636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3960999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84563266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487018974">
    <w:abstractNumId w:val="4"/>
  </w:num>
  <w:num w:numId="19" w16cid:durableId="1907959314">
    <w:abstractNumId w:val="6"/>
  </w:num>
  <w:num w:numId="20" w16cid:durableId="806051453">
    <w:abstractNumId w:val="10"/>
  </w:num>
  <w:num w:numId="21" w16cid:durableId="427701613">
    <w:abstractNumId w:val="14"/>
  </w:num>
  <w:num w:numId="22" w16cid:durableId="1260210790">
    <w:abstractNumId w:val="14"/>
    <w:lvlOverride w:ilvl="0">
      <w:startOverride w:val="1"/>
    </w:lvlOverride>
  </w:num>
  <w:num w:numId="23" w16cid:durableId="1676805392">
    <w:abstractNumId w:val="14"/>
    <w:lvlOverride w:ilvl="0">
      <w:startOverride w:val="1"/>
    </w:lvlOverride>
  </w:num>
  <w:num w:numId="24" w16cid:durableId="1608731155">
    <w:abstractNumId w:val="14"/>
    <w:lvlOverride w:ilvl="0">
      <w:startOverride w:val="1"/>
    </w:lvlOverride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340"/>
    <w:rsid w:val="00010D47"/>
    <w:rsid w:val="00016CF0"/>
    <w:rsid w:val="0002435C"/>
    <w:rsid w:val="00030DDD"/>
    <w:rsid w:val="000313BB"/>
    <w:rsid w:val="00033ED5"/>
    <w:rsid w:val="0003532D"/>
    <w:rsid w:val="00050500"/>
    <w:rsid w:val="00051B6C"/>
    <w:rsid w:val="0005691C"/>
    <w:rsid w:val="00056ECB"/>
    <w:rsid w:val="00056ED5"/>
    <w:rsid w:val="000655CC"/>
    <w:rsid w:val="000700AE"/>
    <w:rsid w:val="00070BFD"/>
    <w:rsid w:val="00072C1A"/>
    <w:rsid w:val="00084024"/>
    <w:rsid w:val="0009062C"/>
    <w:rsid w:val="00095368"/>
    <w:rsid w:val="000954C4"/>
    <w:rsid w:val="000956CB"/>
    <w:rsid w:val="000A4C35"/>
    <w:rsid w:val="000A611A"/>
    <w:rsid w:val="000B12D9"/>
    <w:rsid w:val="000B15E3"/>
    <w:rsid w:val="000B4536"/>
    <w:rsid w:val="000B7715"/>
    <w:rsid w:val="000B7F6B"/>
    <w:rsid w:val="000E463B"/>
    <w:rsid w:val="000E5A7E"/>
    <w:rsid w:val="000F43A3"/>
    <w:rsid w:val="000F7681"/>
    <w:rsid w:val="00103031"/>
    <w:rsid w:val="001044FE"/>
    <w:rsid w:val="00105143"/>
    <w:rsid w:val="00105A1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BA4"/>
    <w:rsid w:val="001647EA"/>
    <w:rsid w:val="00164C3D"/>
    <w:rsid w:val="00166D3A"/>
    <w:rsid w:val="00181FDC"/>
    <w:rsid w:val="001860B9"/>
    <w:rsid w:val="00186F2B"/>
    <w:rsid w:val="001874D6"/>
    <w:rsid w:val="0019099B"/>
    <w:rsid w:val="00192F7A"/>
    <w:rsid w:val="0019632A"/>
    <w:rsid w:val="001A4E7C"/>
    <w:rsid w:val="001B762C"/>
    <w:rsid w:val="001C4D0A"/>
    <w:rsid w:val="001C5FEF"/>
    <w:rsid w:val="002006F7"/>
    <w:rsid w:val="002027E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7B3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52A"/>
    <w:rsid w:val="002D0E0E"/>
    <w:rsid w:val="002D6023"/>
    <w:rsid w:val="002E263F"/>
    <w:rsid w:val="002E43CE"/>
    <w:rsid w:val="002E6F81"/>
    <w:rsid w:val="002F08BA"/>
    <w:rsid w:val="002F2CFF"/>
    <w:rsid w:val="002F568B"/>
    <w:rsid w:val="002F7818"/>
    <w:rsid w:val="0030021A"/>
    <w:rsid w:val="003050AA"/>
    <w:rsid w:val="003066D0"/>
    <w:rsid w:val="00311401"/>
    <w:rsid w:val="00314FC0"/>
    <w:rsid w:val="003203D7"/>
    <w:rsid w:val="00320F86"/>
    <w:rsid w:val="00324171"/>
    <w:rsid w:val="00326C24"/>
    <w:rsid w:val="003346C8"/>
    <w:rsid w:val="0033525E"/>
    <w:rsid w:val="00337F99"/>
    <w:rsid w:val="0034307B"/>
    <w:rsid w:val="00345EB1"/>
    <w:rsid w:val="00350CC4"/>
    <w:rsid w:val="00360E0D"/>
    <w:rsid w:val="0036357D"/>
    <w:rsid w:val="00363B23"/>
    <w:rsid w:val="0036594C"/>
    <w:rsid w:val="0036613C"/>
    <w:rsid w:val="00367D19"/>
    <w:rsid w:val="00371BED"/>
    <w:rsid w:val="00373111"/>
    <w:rsid w:val="00384019"/>
    <w:rsid w:val="003854F1"/>
    <w:rsid w:val="003877ED"/>
    <w:rsid w:val="0039118E"/>
    <w:rsid w:val="00397F54"/>
    <w:rsid w:val="003A0D43"/>
    <w:rsid w:val="003B2A4B"/>
    <w:rsid w:val="003D04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799"/>
    <w:rsid w:val="00413A60"/>
    <w:rsid w:val="004230F7"/>
    <w:rsid w:val="0043167E"/>
    <w:rsid w:val="0043409A"/>
    <w:rsid w:val="00443C1E"/>
    <w:rsid w:val="00446255"/>
    <w:rsid w:val="00451935"/>
    <w:rsid w:val="004546F3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A53"/>
    <w:rsid w:val="004C2559"/>
    <w:rsid w:val="004C52B2"/>
    <w:rsid w:val="004D7BA3"/>
    <w:rsid w:val="004F4518"/>
    <w:rsid w:val="004F4C62"/>
    <w:rsid w:val="004F528F"/>
    <w:rsid w:val="00501433"/>
    <w:rsid w:val="00511CC4"/>
    <w:rsid w:val="00531E60"/>
    <w:rsid w:val="00536A5A"/>
    <w:rsid w:val="00541D07"/>
    <w:rsid w:val="00544BAB"/>
    <w:rsid w:val="00545F31"/>
    <w:rsid w:val="005578FA"/>
    <w:rsid w:val="00560020"/>
    <w:rsid w:val="0056425A"/>
    <w:rsid w:val="00565129"/>
    <w:rsid w:val="0056522B"/>
    <w:rsid w:val="00565CD0"/>
    <w:rsid w:val="00567820"/>
    <w:rsid w:val="00572147"/>
    <w:rsid w:val="005770AD"/>
    <w:rsid w:val="00581414"/>
    <w:rsid w:val="005818BD"/>
    <w:rsid w:val="00582490"/>
    <w:rsid w:val="005826FA"/>
    <w:rsid w:val="00597E28"/>
    <w:rsid w:val="005A1208"/>
    <w:rsid w:val="005A2E3B"/>
    <w:rsid w:val="005A54ED"/>
    <w:rsid w:val="005A5D5B"/>
    <w:rsid w:val="005A6081"/>
    <w:rsid w:val="005A627D"/>
    <w:rsid w:val="005C0045"/>
    <w:rsid w:val="005C0326"/>
    <w:rsid w:val="005C084E"/>
    <w:rsid w:val="005C4606"/>
    <w:rsid w:val="005D0B0C"/>
    <w:rsid w:val="005E02B3"/>
    <w:rsid w:val="005E0D5A"/>
    <w:rsid w:val="005E1E24"/>
    <w:rsid w:val="005F72A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B91"/>
    <w:rsid w:val="0065595B"/>
    <w:rsid w:val="00660269"/>
    <w:rsid w:val="00665F89"/>
    <w:rsid w:val="00673C92"/>
    <w:rsid w:val="006753EC"/>
    <w:rsid w:val="00690118"/>
    <w:rsid w:val="0069183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568"/>
    <w:rsid w:val="006E450B"/>
    <w:rsid w:val="006E5B4D"/>
    <w:rsid w:val="006F0D7E"/>
    <w:rsid w:val="006F388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3713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36A1"/>
    <w:rsid w:val="007D4241"/>
    <w:rsid w:val="007D4317"/>
    <w:rsid w:val="007D4EA3"/>
    <w:rsid w:val="007F1CFF"/>
    <w:rsid w:val="007F4AA2"/>
    <w:rsid w:val="007F5DD5"/>
    <w:rsid w:val="00821A1B"/>
    <w:rsid w:val="008262E9"/>
    <w:rsid w:val="00827E69"/>
    <w:rsid w:val="00835C4D"/>
    <w:rsid w:val="008368DC"/>
    <w:rsid w:val="00842084"/>
    <w:rsid w:val="00843F48"/>
    <w:rsid w:val="00851423"/>
    <w:rsid w:val="00851427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41D9"/>
    <w:rsid w:val="008C1EF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4EE0"/>
    <w:rsid w:val="009270BC"/>
    <w:rsid w:val="0093085B"/>
    <w:rsid w:val="00931C57"/>
    <w:rsid w:val="009347A5"/>
    <w:rsid w:val="00942257"/>
    <w:rsid w:val="009471BF"/>
    <w:rsid w:val="00950E4E"/>
    <w:rsid w:val="009529BD"/>
    <w:rsid w:val="009533B4"/>
    <w:rsid w:val="00961645"/>
    <w:rsid w:val="00971D93"/>
    <w:rsid w:val="009806B8"/>
    <w:rsid w:val="00987397"/>
    <w:rsid w:val="009A04D0"/>
    <w:rsid w:val="009A0530"/>
    <w:rsid w:val="009B1F6B"/>
    <w:rsid w:val="009C0D12"/>
    <w:rsid w:val="009C192E"/>
    <w:rsid w:val="009C397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6C51"/>
    <w:rsid w:val="00A272CA"/>
    <w:rsid w:val="00A33051"/>
    <w:rsid w:val="00A33DA9"/>
    <w:rsid w:val="00A407AD"/>
    <w:rsid w:val="00A40923"/>
    <w:rsid w:val="00A41C05"/>
    <w:rsid w:val="00A42426"/>
    <w:rsid w:val="00A514B7"/>
    <w:rsid w:val="00A54A0B"/>
    <w:rsid w:val="00A65FD4"/>
    <w:rsid w:val="00A7509D"/>
    <w:rsid w:val="00A81198"/>
    <w:rsid w:val="00A81E48"/>
    <w:rsid w:val="00A82035"/>
    <w:rsid w:val="00A90D77"/>
    <w:rsid w:val="00A92E07"/>
    <w:rsid w:val="00A92E3E"/>
    <w:rsid w:val="00AA0B3A"/>
    <w:rsid w:val="00AA6EB4"/>
    <w:rsid w:val="00AA767D"/>
    <w:rsid w:val="00AB0CC9"/>
    <w:rsid w:val="00AB54DC"/>
    <w:rsid w:val="00AC32CD"/>
    <w:rsid w:val="00AC3FF6"/>
    <w:rsid w:val="00AD7211"/>
    <w:rsid w:val="00AD73EC"/>
    <w:rsid w:val="00AE5BC7"/>
    <w:rsid w:val="00AF07F7"/>
    <w:rsid w:val="00AF5AAF"/>
    <w:rsid w:val="00B046D8"/>
    <w:rsid w:val="00B13F4C"/>
    <w:rsid w:val="00B16219"/>
    <w:rsid w:val="00B16C59"/>
    <w:rsid w:val="00B24195"/>
    <w:rsid w:val="00B26B61"/>
    <w:rsid w:val="00B33FDD"/>
    <w:rsid w:val="00B359CC"/>
    <w:rsid w:val="00B36107"/>
    <w:rsid w:val="00B41789"/>
    <w:rsid w:val="00B46C03"/>
    <w:rsid w:val="00B47299"/>
    <w:rsid w:val="00B60C6C"/>
    <w:rsid w:val="00B619A9"/>
    <w:rsid w:val="00B65A9D"/>
    <w:rsid w:val="00B66D60"/>
    <w:rsid w:val="00B70A78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304E"/>
    <w:rsid w:val="00BB69DB"/>
    <w:rsid w:val="00BC322E"/>
    <w:rsid w:val="00BC44CD"/>
    <w:rsid w:val="00BC48A6"/>
    <w:rsid w:val="00BE636C"/>
    <w:rsid w:val="00BE7978"/>
    <w:rsid w:val="00BF3BEB"/>
    <w:rsid w:val="00BF3FA9"/>
    <w:rsid w:val="00C07DDB"/>
    <w:rsid w:val="00C14212"/>
    <w:rsid w:val="00C4115D"/>
    <w:rsid w:val="00C43BDD"/>
    <w:rsid w:val="00C47778"/>
    <w:rsid w:val="00C5011E"/>
    <w:rsid w:val="00C50EE5"/>
    <w:rsid w:val="00C5240A"/>
    <w:rsid w:val="00C5398F"/>
    <w:rsid w:val="00C556F5"/>
    <w:rsid w:val="00C70585"/>
    <w:rsid w:val="00C70E19"/>
    <w:rsid w:val="00C72574"/>
    <w:rsid w:val="00C7430C"/>
    <w:rsid w:val="00C84C33"/>
    <w:rsid w:val="00C85DA1"/>
    <w:rsid w:val="00C9071C"/>
    <w:rsid w:val="00C908FF"/>
    <w:rsid w:val="00C97BD3"/>
    <w:rsid w:val="00CA39EF"/>
    <w:rsid w:val="00CA521F"/>
    <w:rsid w:val="00CA7350"/>
    <w:rsid w:val="00CB0493"/>
    <w:rsid w:val="00CB17FF"/>
    <w:rsid w:val="00CB1ED7"/>
    <w:rsid w:val="00CB7B69"/>
    <w:rsid w:val="00CC167C"/>
    <w:rsid w:val="00CC52D9"/>
    <w:rsid w:val="00CD15DA"/>
    <w:rsid w:val="00CD6647"/>
    <w:rsid w:val="00CE4ACA"/>
    <w:rsid w:val="00CE4B73"/>
    <w:rsid w:val="00CF11F4"/>
    <w:rsid w:val="00CF4238"/>
    <w:rsid w:val="00CF70BB"/>
    <w:rsid w:val="00D05804"/>
    <w:rsid w:val="00D074DB"/>
    <w:rsid w:val="00D139CF"/>
    <w:rsid w:val="00D2342F"/>
    <w:rsid w:val="00D37E7F"/>
    <w:rsid w:val="00D47AD7"/>
    <w:rsid w:val="00D51529"/>
    <w:rsid w:val="00D65F24"/>
    <w:rsid w:val="00D85218"/>
    <w:rsid w:val="00D915B1"/>
    <w:rsid w:val="00DA299D"/>
    <w:rsid w:val="00DA367D"/>
    <w:rsid w:val="00DA65C4"/>
    <w:rsid w:val="00DB43F0"/>
    <w:rsid w:val="00DB597C"/>
    <w:rsid w:val="00DD2BE0"/>
    <w:rsid w:val="00DE4447"/>
    <w:rsid w:val="00DE5DA2"/>
    <w:rsid w:val="00DF0033"/>
    <w:rsid w:val="00E026BF"/>
    <w:rsid w:val="00E07B1B"/>
    <w:rsid w:val="00E11853"/>
    <w:rsid w:val="00E1186D"/>
    <w:rsid w:val="00E51BDC"/>
    <w:rsid w:val="00E52A86"/>
    <w:rsid w:val="00E54B47"/>
    <w:rsid w:val="00E553BF"/>
    <w:rsid w:val="00E55D93"/>
    <w:rsid w:val="00E61294"/>
    <w:rsid w:val="00E66C1A"/>
    <w:rsid w:val="00E7237C"/>
    <w:rsid w:val="00E77C46"/>
    <w:rsid w:val="00E86CE8"/>
    <w:rsid w:val="00E90E82"/>
    <w:rsid w:val="00EA00CB"/>
    <w:rsid w:val="00EA1BAA"/>
    <w:rsid w:val="00EA1D28"/>
    <w:rsid w:val="00EA3FCD"/>
    <w:rsid w:val="00EA42A0"/>
    <w:rsid w:val="00EB313C"/>
    <w:rsid w:val="00EB6714"/>
    <w:rsid w:val="00EC0A68"/>
    <w:rsid w:val="00EC1A0C"/>
    <w:rsid w:val="00EC49EC"/>
    <w:rsid w:val="00EC5006"/>
    <w:rsid w:val="00ED203F"/>
    <w:rsid w:val="00ED49C3"/>
    <w:rsid w:val="00ED632C"/>
    <w:rsid w:val="00ED6CE8"/>
    <w:rsid w:val="00ED7AA6"/>
    <w:rsid w:val="00EE2A56"/>
    <w:rsid w:val="00EE3818"/>
    <w:rsid w:val="00EE5825"/>
    <w:rsid w:val="00F22264"/>
    <w:rsid w:val="00F2564D"/>
    <w:rsid w:val="00F35B05"/>
    <w:rsid w:val="00F413D9"/>
    <w:rsid w:val="00F5135F"/>
    <w:rsid w:val="00F51F78"/>
    <w:rsid w:val="00F6047D"/>
    <w:rsid w:val="00F60527"/>
    <w:rsid w:val="00F6447F"/>
    <w:rsid w:val="00F77237"/>
    <w:rsid w:val="00F83BAB"/>
    <w:rsid w:val="00F86F47"/>
    <w:rsid w:val="00F90B64"/>
    <w:rsid w:val="00FA0B1A"/>
    <w:rsid w:val="00FA1F82"/>
    <w:rsid w:val="00FB2F0F"/>
    <w:rsid w:val="00FB5086"/>
    <w:rsid w:val="00FB5411"/>
    <w:rsid w:val="00FB6392"/>
    <w:rsid w:val="00FC3A0E"/>
    <w:rsid w:val="00FD3C70"/>
    <w:rsid w:val="00FD6820"/>
    <w:rsid w:val="00FE12D8"/>
    <w:rsid w:val="00FF7C02"/>
    <w:rsid w:val="019258BA"/>
    <w:rsid w:val="0202AE32"/>
    <w:rsid w:val="0226434B"/>
    <w:rsid w:val="024801E3"/>
    <w:rsid w:val="0371DC38"/>
    <w:rsid w:val="03A31F3B"/>
    <w:rsid w:val="04FD2A73"/>
    <w:rsid w:val="05243F60"/>
    <w:rsid w:val="099E8320"/>
    <w:rsid w:val="0CD50B61"/>
    <w:rsid w:val="0E41F259"/>
    <w:rsid w:val="0E70DBC2"/>
    <w:rsid w:val="0FD75C74"/>
    <w:rsid w:val="11320D86"/>
    <w:rsid w:val="1223CB98"/>
    <w:rsid w:val="1339606A"/>
    <w:rsid w:val="13819671"/>
    <w:rsid w:val="13C71236"/>
    <w:rsid w:val="141E4A28"/>
    <w:rsid w:val="14B133DD"/>
    <w:rsid w:val="14D530CB"/>
    <w:rsid w:val="14FDDC33"/>
    <w:rsid w:val="16183EB5"/>
    <w:rsid w:val="16C89E50"/>
    <w:rsid w:val="17CF7992"/>
    <w:rsid w:val="18916C33"/>
    <w:rsid w:val="18F2589E"/>
    <w:rsid w:val="19C43F1A"/>
    <w:rsid w:val="1D3F3D3C"/>
    <w:rsid w:val="1DC5C9C1"/>
    <w:rsid w:val="1E51A4D3"/>
    <w:rsid w:val="1EA1A820"/>
    <w:rsid w:val="219A8B76"/>
    <w:rsid w:val="2231AFFD"/>
    <w:rsid w:val="23FFBB96"/>
    <w:rsid w:val="24904203"/>
    <w:rsid w:val="24A27A30"/>
    <w:rsid w:val="254F6733"/>
    <w:rsid w:val="282A1799"/>
    <w:rsid w:val="2AD04D83"/>
    <w:rsid w:val="31F43365"/>
    <w:rsid w:val="34271A37"/>
    <w:rsid w:val="35C2EA98"/>
    <w:rsid w:val="36AADB54"/>
    <w:rsid w:val="38F128C5"/>
    <w:rsid w:val="3AAA7103"/>
    <w:rsid w:val="3BCCEA8E"/>
    <w:rsid w:val="3C0D9129"/>
    <w:rsid w:val="3DAC5D58"/>
    <w:rsid w:val="3E904B38"/>
    <w:rsid w:val="3E975C3C"/>
    <w:rsid w:val="3F66E5D3"/>
    <w:rsid w:val="415056A5"/>
    <w:rsid w:val="4571CB36"/>
    <w:rsid w:val="48F49FBC"/>
    <w:rsid w:val="49B22781"/>
    <w:rsid w:val="4C65AE6E"/>
    <w:rsid w:val="4D57B005"/>
    <w:rsid w:val="4E057298"/>
    <w:rsid w:val="4E1744E7"/>
    <w:rsid w:val="4EE624FF"/>
    <w:rsid w:val="4EF38066"/>
    <w:rsid w:val="506D653F"/>
    <w:rsid w:val="509EC9EC"/>
    <w:rsid w:val="5387B349"/>
    <w:rsid w:val="582CE9D8"/>
    <w:rsid w:val="5B659151"/>
    <w:rsid w:val="5B830FCC"/>
    <w:rsid w:val="5E83C848"/>
    <w:rsid w:val="60E6E460"/>
    <w:rsid w:val="616CF6F9"/>
    <w:rsid w:val="62C53131"/>
    <w:rsid w:val="647B2B65"/>
    <w:rsid w:val="67E68D80"/>
    <w:rsid w:val="6813EFA9"/>
    <w:rsid w:val="68581340"/>
    <w:rsid w:val="6922A066"/>
    <w:rsid w:val="69813C43"/>
    <w:rsid w:val="6B2CF8ED"/>
    <w:rsid w:val="6B5524A5"/>
    <w:rsid w:val="6BBFB04D"/>
    <w:rsid w:val="6E2AD5DC"/>
    <w:rsid w:val="6E3CA6A7"/>
    <w:rsid w:val="71744769"/>
    <w:rsid w:val="732A38B5"/>
    <w:rsid w:val="761AB072"/>
    <w:rsid w:val="773291C6"/>
    <w:rsid w:val="778C2AF1"/>
    <w:rsid w:val="7A0E711C"/>
    <w:rsid w:val="7AA50965"/>
    <w:rsid w:val="7AFEB7F3"/>
    <w:rsid w:val="7DC904CC"/>
    <w:rsid w:val="7F468966"/>
    <w:rsid w:val="7FC5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C772B18-DC0E-4D90-95C2-2FD87665444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rsid w:val="00BF3FA9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192F7A"/>
    <w:pPr>
      <w:keepNext/>
      <w:spacing w:before="1500" w:after="16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3FA9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3FA9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3FA9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192F7A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tabs>
        <w:tab w:val="num" w:pos="3036"/>
      </w:tabs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tabs>
        <w:tab w:val="num" w:pos="720"/>
      </w:tabs>
      <w:ind w:left="720" w:hanging="720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192F7A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192F7A"/>
    <w:pPr>
      <w:tabs>
        <w:tab w:val="right" w:leader="dot" w:pos="8777"/>
      </w:tabs>
      <w:spacing w:after="0"/>
      <w:ind w:left="1276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9C397D"/>
    <w:pPr>
      <w:numPr>
        <w:numId w:val="20"/>
      </w:numPr>
      <w:tabs>
        <w:tab w:val="left" w:pos="1349"/>
      </w:tabs>
      <w:ind w:left="1349" w:hanging="357"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F6447F"/>
    <w:pPr>
      <w:spacing w:before="40" w:after="240" w:line="240" w:lineRule="auto"/>
    </w:pPr>
    <w:rPr>
      <w:iCs/>
      <w:color w:val="000000" w:themeColor="text2"/>
      <w:sz w:val="20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BF3FA9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BF3FA9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BF3FA9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ListBullet2">
    <w:name w:val="List Bullet 2"/>
    <w:basedOn w:val="Normal"/>
    <w:uiPriority w:val="99"/>
    <w:semiHidden/>
    <w:unhideWhenUsed/>
    <w:rsid w:val="00BF3FA9"/>
    <w:pPr>
      <w:numPr>
        <w:numId w:val="15"/>
      </w:numPr>
      <w:contextualSpacing/>
    </w:pPr>
  </w:style>
  <w:style w:type="paragraph" w:styleId="a" w:customStyle="1">
    <w:next w:val="ListNumber"/>
    <w:rsid w:val="00BF3FA9"/>
    <w:pPr>
      <w:numPr>
        <w:numId w:val="2"/>
      </w:numPr>
      <w:spacing w:after="80"/>
      <w:ind w:left="3033" w:hanging="357"/>
    </w:pPr>
    <w:rPr>
      <w:sz w:val="24"/>
    </w:rPr>
  </w:style>
  <w:style w:type="paragraph" w:styleId="ListNumber">
    <w:name w:val="List Number"/>
    <w:basedOn w:val="Normal"/>
    <w:uiPriority w:val="99"/>
    <w:semiHidden/>
    <w:unhideWhenUsed/>
    <w:rsid w:val="00BF3FA9"/>
    <w:pPr>
      <w:tabs>
        <w:tab w:val="num" w:pos="720"/>
      </w:tabs>
      <w:ind w:left="720" w:hanging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EC1A0C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A92E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92E3E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A92E3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92E3E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A92E3E"/>
    <w:rPr>
      <w:b/>
      <w:bCs/>
    </w:rPr>
  </w:style>
  <w:style w:type="paragraph" w:styleId="Punktlistanumrerad" w:customStyle="1">
    <w:name w:val="Punktlista numrerad"/>
    <w:rsid w:val="00F83BAB"/>
    <w:pPr>
      <w:numPr>
        <w:numId w:val="21"/>
      </w:numPr>
      <w:tabs>
        <w:tab w:val="left" w:pos="1349"/>
      </w:tabs>
      <w:spacing w:after="120" w:line="288" w:lineRule="auto"/>
      <w:ind w:left="1349" w:right="868" w:hanging="357"/>
    </w:pPr>
    <w:rPr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2027E7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vardhandboken.se/vard-och-behandling/nutrition/nutrition/ansvarsfordelning/" TargetMode="External" Id="rId13" /><Relationship Type="http://schemas.openxmlformats.org/officeDocument/2006/relationships/image" Target="media/image2.png" Id="rId18" /><Relationship Type="http://schemas.openxmlformats.org/officeDocument/2006/relationships/hyperlink" Target="http://www.riksdagen.se/sv/dokument-lagar/dokument/svensk-forfattningssamling/patientsakerhetslag-2010659_sfs-2010-659" TargetMode="External" Id="rId26" /><Relationship Type="http://schemas.openxmlformats.org/officeDocument/2006/relationships/hyperlink" Target="https://www.vardhandboken.se/vard-och-behandling/nutrition/nutrition/Att-underlatta-atandet/" TargetMode="External" Id="rId21" /><Relationship Type="http://schemas.openxmlformats.org/officeDocument/2006/relationships/footer" Target="footer3.xml" Id="rId34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432/SURROGATE/Nutrition%20-%20Startschema%20%20f%c3%b6r%20sondmatning%2c%20l%c3%a5ngsam.pdf" TargetMode="External" Id="rId12" /><Relationship Type="http://schemas.openxmlformats.org/officeDocument/2006/relationships/hyperlink" Target="https://www.vardhandboken.se/vard-och-behandling/nutrition/nutrition/Att-underlatta-atandet/" TargetMode="External" Id="rId17" /><Relationship Type="http://schemas.openxmlformats.org/officeDocument/2006/relationships/hyperlink" Target="http://www.socialstyrelsen.se/globalassets/sharepoint-dokument/artikelkatalog/foreskrifter-och-allmanna-rad/2022-8-8078.pdf" TargetMode="External" Id="rId25" /><Relationship Type="http://schemas.openxmlformats.org/officeDocument/2006/relationships/header" Target="header2.xml" Id="rId33" /><Relationship Type="http://schemas.openxmlformats.org/officeDocument/2006/relationships/hyperlink" Target="https://www.vardhandboken.se/vard-och-behandling/nutrition/nutrition/energi--narings--och-vatskebehov/" TargetMode="External" Id="rId16" /><Relationship Type="http://schemas.openxmlformats.org/officeDocument/2006/relationships/hyperlink" Target="https://www.vardhandboken.se/vard-och-behandling/nutrition/nutrition/kost/" TargetMode="External" Id="rId20" /><Relationship Type="http://schemas.openxmlformats.org/officeDocument/2006/relationships/hyperlink" Target="https://vatskenutrition.vgregion.se/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www.vardhandboken.se" TargetMode="External" Id="rId24" /><Relationship Type="http://schemas.openxmlformats.org/officeDocument/2006/relationships/footer" Target="footer2.xml" Id="rId32" /><Relationship Type="http://schemas.openxmlformats.org/officeDocument/2006/relationships/hyperlink" Target="https://www.vardhandboken.se/vard-och-behandling/nutrition/nutrition/riskidentifiering-och-riskbedomning/" TargetMode="External" Id="rId15" /><Relationship Type="http://schemas.openxmlformats.org/officeDocument/2006/relationships/hyperlink" Target="http://www.socialstyrelsen.se/globalassets/sharepoint-dokument/artikelkatalog/kunskapsstod/2020-4-6716.pdf" TargetMode="External" Id="rId23" /><Relationship Type="http://schemas.openxmlformats.org/officeDocument/2006/relationships/hyperlink" Target="https://mellanarkiv-offentlig.vgregion.se/alfresco/s/archive/stream/public/v1/source/available/sofia/sn2576-1457339916-418/surrogate" TargetMode="External" Id="rId28" /><Relationship Type="http://schemas.openxmlformats.org/officeDocument/2006/relationships/theme" Target="theme/theme1.xml" Id="rId36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n2576-1457339916-418/surrogate" TargetMode="External" Id="rId19" /><Relationship Type="http://schemas.openxmlformats.org/officeDocument/2006/relationships/footer" Target="footer1.xml" Id="rId31" /><Relationship Type="http://schemas.openxmlformats.org/officeDocument/2006/relationships/webSettings" Target="webSettings.xml" Id="rId9" /><Relationship Type="http://schemas.openxmlformats.org/officeDocument/2006/relationships/image" Target="media/image1.png" Id="rId14" /><Relationship Type="http://schemas.openxmlformats.org/officeDocument/2006/relationships/hyperlink" Target="https://vatskenutrition.vgregion.se/" TargetMode="External" Id="rId22" /><Relationship Type="http://schemas.openxmlformats.org/officeDocument/2006/relationships/hyperlink" Target="https://skr.se/download/18.2070d58a1817fca64d332ca/1655742823443/SKR_Nationell-kraftsamling-minska-undernaring.pdf" TargetMode="External" Id="rId27" /><Relationship Type="http://schemas.openxmlformats.org/officeDocument/2006/relationships/header" Target="header1.xml" Id="rId30" /><Relationship Type="http://schemas.openxmlformats.org/officeDocument/2006/relationships/fontTable" Target="fontTable.xml" Id="rId35" /><Relationship Type="http://schemas.openxmlformats.org/officeDocument/2006/relationships/settings" Target="settings.xml" Id="rId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Undernäring – förebygga och behandla hos vuxna i slutenvården, SÄS</dc:title>
  <dc:subject/>
  <dc:creator>patrik.jens.johansson@vgregion.se</dc:creator>
  <keywords/>
  <lastModifiedBy>Karin Åhlin</lastModifiedBy>
  <revision>82</revision>
  <lastPrinted>2022-11-10T18:27:00.0000000Z</lastPrinted>
  <dcterms:created xsi:type="dcterms:W3CDTF">2022-03-28T14:47:00.0000000Z</dcterms:created>
  <dcterms:modified xsi:type="dcterms:W3CDTF">2024-11-05T16:50:55.0000000Z</dcterms:modified>
</coreProperties>
</file>