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3A291A" w14:textId="77777777" w:rsidR="00D85090" w:rsidRDefault="00D85090" w:rsidP="00F35B05">
      <w:pPr>
        <w:pStyle w:val="Rubrik2"/>
        <w:sectPr w:rsidR="00D85090" w:rsidSect="002466A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2268" w:right="1979" w:bottom="1276" w:left="992" w:header="284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B47AB41" w14:textId="77777777" w:rsidR="00D85090" w:rsidRPr="00D85090" w:rsidRDefault="69EB3681" w:rsidP="00036447">
      <w:pPr>
        <w:pStyle w:val="Rubrik1"/>
      </w:pPr>
      <w:bookmarkStart w:id="1" w:name="_Toc314219120"/>
      <w:r>
        <w:t>Transfusion av blodkomponenter i hemmiljö, SÄS</w:t>
      </w:r>
    </w:p>
    <w:p w14:paraId="2781AA2A" w14:textId="77777777" w:rsidR="00D85090" w:rsidRPr="00D85090" w:rsidRDefault="00D85090" w:rsidP="00036447">
      <w:pPr>
        <w:pStyle w:val="Rubrik2"/>
      </w:pPr>
      <w:bookmarkStart w:id="2" w:name="_Toc256000000"/>
      <w:bookmarkStart w:id="3" w:name="_Toc256000005"/>
      <w:bookmarkStart w:id="4" w:name="_Toc526869220"/>
      <w:bookmarkStart w:id="5" w:name="_Toc256000003"/>
      <w:bookmarkStart w:id="6" w:name="_Toc256000027"/>
      <w:bookmarkStart w:id="7" w:name="_Toc54100571"/>
      <w:bookmarkStart w:id="8" w:name="_Toc256000002"/>
      <w:bookmarkStart w:id="9" w:name="_Toc176451378"/>
      <w:r w:rsidRPr="00D85090">
        <w:t>Sammanfattning</w:t>
      </w:r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</w:p>
    <w:p w14:paraId="3469E706" w14:textId="7B09F36C" w:rsidR="00D85090" w:rsidRPr="00A9043A" w:rsidRDefault="00D85090" w:rsidP="00036447">
      <w:r>
        <w:t xml:space="preserve">Patienter kan ordineras </w:t>
      </w:r>
      <w:proofErr w:type="gramStart"/>
      <w:r>
        <w:t>t.ex.</w:t>
      </w:r>
      <w:proofErr w:type="gramEnd"/>
      <w:r>
        <w:t xml:space="preserve"> blodtransfusion (</w:t>
      </w:r>
      <w:proofErr w:type="spellStart"/>
      <w:r>
        <w:t>erytrocyter</w:t>
      </w:r>
      <w:proofErr w:type="spellEnd"/>
      <w:r>
        <w:t>, trombocyter) i hemmet, efter bedömning och ordination av ansvarig läkare. Rutinen är ett komplement till</w:t>
      </w:r>
      <w:r w:rsidR="6A14D465">
        <w:t xml:space="preserve"> </w:t>
      </w:r>
      <w:hyperlink r:id="rId17">
        <w:r w:rsidR="6A14D465" w:rsidRPr="61ED205C">
          <w:rPr>
            <w:rStyle w:val="Hyperlnk"/>
          </w:rPr>
          <w:t>Senaste version av SOSFS 2009:29 Socialstyrelsens föreskrifter om transfusion av blodkomponenter - Socialstyrelsen</w:t>
        </w:r>
      </w:hyperlink>
      <w:r>
        <w:t xml:space="preserve"> (SOSFS 2009:29) [1] samt </w:t>
      </w:r>
      <w:hyperlink r:id="rId18">
        <w:proofErr w:type="spellStart"/>
        <w:r w:rsidRPr="00036447">
          <w:rPr>
            <w:rStyle w:val="Hyperlnk"/>
          </w:rPr>
          <w:t>Vårdhandbokens</w:t>
        </w:r>
        <w:proofErr w:type="spellEnd"/>
        <w:r w:rsidRPr="00036447">
          <w:rPr>
            <w:rStyle w:val="Hyperlnk"/>
          </w:rPr>
          <w:t xml:space="preserve"> avsnitt Transfusion av</w:t>
        </w:r>
        <w:r w:rsidR="666842CA" w:rsidRPr="00036447">
          <w:rPr>
            <w:rStyle w:val="Hyperlnk"/>
          </w:rPr>
          <w:t xml:space="preserve"> </w:t>
        </w:r>
        <w:r w:rsidRPr="00036447">
          <w:rPr>
            <w:rStyle w:val="Hyperlnk"/>
          </w:rPr>
          <w:t>blodkomponenter</w:t>
        </w:r>
      </w:hyperlink>
      <w:r>
        <w:t xml:space="preserve"> [2] och tydliggör rutiner när blodtransfusion ges i </w:t>
      </w:r>
      <w:r w:rsidRPr="00A9043A">
        <w:t>hemmet.</w:t>
      </w:r>
    </w:p>
    <w:p w14:paraId="5DD09BE2" w14:textId="66CD90C2" w:rsidR="00D85090" w:rsidRPr="00A9043A" w:rsidRDefault="41718C06" w:rsidP="00F176E1">
      <w:pPr>
        <w:pStyle w:val="Rubrik2"/>
      </w:pPr>
      <w:bookmarkStart w:id="10" w:name="_Toc176451379"/>
      <w:r>
        <w:t>Förändringar sedan föregående version</w:t>
      </w:r>
      <w:bookmarkEnd w:id="10"/>
    </w:p>
    <w:p w14:paraId="4F0740F1" w14:textId="164B3E34" w:rsidR="3D908FCF" w:rsidRDefault="7AAC3B45" w:rsidP="197DE7A6">
      <w:pPr>
        <w:pStyle w:val="Punktlista"/>
      </w:pPr>
      <w:r>
        <w:t>Tagit bort text kring dokumenteringsrutiner i Melior</w:t>
      </w:r>
      <w:r w:rsidR="00ED18C0">
        <w:t xml:space="preserve">, </w:t>
      </w:r>
      <w:r>
        <w:t xml:space="preserve">då vi snart byter </w:t>
      </w:r>
      <w:r w:rsidR="003544C2">
        <w:t xml:space="preserve">journalsystem </w:t>
      </w:r>
      <w:r>
        <w:t>till Millenium)</w:t>
      </w:r>
    </w:p>
    <w:p w14:paraId="5038951B" w14:textId="780B2111" w:rsidR="4F0977A9" w:rsidRDefault="0BB53220" w:rsidP="197DE7A6">
      <w:pPr>
        <w:pStyle w:val="Punktlista"/>
      </w:pPr>
      <w:r>
        <w:t xml:space="preserve">Tillägg under “Ansvar” att patienten ska ges möjlighet till delaktighet och ställa sig accepterande till att få </w:t>
      </w:r>
      <w:r w:rsidR="09BD05C8">
        <w:t>behandlingen i hemmet</w:t>
      </w:r>
    </w:p>
    <w:p w14:paraId="19F88D91" w14:textId="091DD3F4" w:rsidR="138EF826" w:rsidRDefault="064506CA" w:rsidP="09C02044">
      <w:pPr>
        <w:pStyle w:val="Punktlista"/>
      </w:pPr>
      <w:r>
        <w:t>Mindre redaktionella ändringar.</w:t>
      </w:r>
    </w:p>
    <w:p w14:paraId="1B15CC23" w14:textId="7475BBD2" w:rsidR="00DD6BAF" w:rsidRPr="00DD6BAF" w:rsidRDefault="00DD6BAF" w:rsidP="002466A5">
      <w:pPr>
        <w:spacing w:before="360" w:after="0" w:line="240" w:lineRule="auto"/>
        <w:rPr>
          <w:rFonts w:asciiTheme="majorHAnsi" w:hAnsiTheme="majorHAnsi" w:cstheme="majorHAnsi"/>
          <w:sz w:val="28"/>
          <w:szCs w:val="28"/>
        </w:rPr>
      </w:pPr>
      <w:r w:rsidRPr="00DD6BAF">
        <w:rPr>
          <w:rFonts w:asciiTheme="majorHAnsi" w:hAnsiTheme="majorHAnsi" w:cstheme="majorHAnsi"/>
          <w:sz w:val="28"/>
          <w:szCs w:val="28"/>
        </w:rPr>
        <w:t>Innehållsförteckning</w:t>
      </w:r>
    </w:p>
    <w:bookmarkStart w:id="11" w:name="_Toc314219121"/>
    <w:bookmarkStart w:id="12" w:name="_Toc256000001"/>
    <w:bookmarkStart w:id="13" w:name="_Toc256000006"/>
    <w:bookmarkStart w:id="14" w:name="_Toc526869221"/>
    <w:bookmarkStart w:id="15" w:name="_Toc256000008"/>
    <w:bookmarkStart w:id="16" w:name="_Toc256000028"/>
    <w:bookmarkStart w:id="17" w:name="_Toc54100573"/>
    <w:bookmarkStart w:id="18" w:name="_Toc256000014"/>
    <w:p w14:paraId="06D1D36E" w14:textId="2F97348F" w:rsidR="002466A5" w:rsidRDefault="002466A5">
      <w:pPr>
        <w:pStyle w:val="Innehll1"/>
        <w:rPr>
          <w:rFonts w:asciiTheme="minorHAnsi" w:eastAsiaTheme="minorEastAsia" w:hAnsiTheme="minorHAnsi" w:cstheme="minorBidi"/>
          <w:kern w:val="2"/>
          <w:szCs w:val="22"/>
          <w14:ligatures w14:val="standardContextual"/>
        </w:rPr>
      </w:pPr>
      <w:r>
        <w:rPr>
          <w:bCs/>
          <w:u w:val="single"/>
        </w:rPr>
        <w:fldChar w:fldCharType="begin"/>
      </w:r>
      <w:r>
        <w:rPr>
          <w:bCs/>
          <w:u w:val="single"/>
        </w:rPr>
        <w:instrText xml:space="preserve"> TOC \h \z \t "Rubrik 2;1;Rubrik 3;2;Mellanrubrik VGR;3" </w:instrText>
      </w:r>
      <w:r>
        <w:rPr>
          <w:bCs/>
          <w:u w:val="single"/>
        </w:rPr>
        <w:fldChar w:fldCharType="separate"/>
      </w:r>
      <w:hyperlink w:anchor="_Toc176451378" w:history="1">
        <w:r w:rsidRPr="00F44961">
          <w:rPr>
            <w:rStyle w:val="Hyperlnk"/>
            <w:rFonts w:eastAsia="MS Gothic"/>
          </w:rPr>
          <w:t>Sammanfattning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_Toc176451378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</w:t>
        </w:r>
        <w:r>
          <w:rPr>
            <w:webHidden/>
          </w:rPr>
          <w:fldChar w:fldCharType="end"/>
        </w:r>
      </w:hyperlink>
    </w:p>
    <w:p w14:paraId="3AA8CAC0" w14:textId="614D4BDC" w:rsidR="002466A5" w:rsidRDefault="002466A5">
      <w:pPr>
        <w:pStyle w:val="Innehll1"/>
        <w:rPr>
          <w:rFonts w:asciiTheme="minorHAnsi" w:eastAsiaTheme="minorEastAsia" w:hAnsiTheme="minorHAnsi" w:cstheme="minorBidi"/>
          <w:kern w:val="2"/>
          <w:szCs w:val="22"/>
          <w14:ligatures w14:val="standardContextual"/>
        </w:rPr>
      </w:pPr>
      <w:hyperlink w:anchor="_Toc176451379" w:history="1">
        <w:r w:rsidRPr="00F44961">
          <w:rPr>
            <w:rStyle w:val="Hyperlnk"/>
            <w:rFonts w:eastAsia="MS Gothic"/>
          </w:rPr>
          <w:t>Förändringar sedan föregående version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_Toc176451379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</w:t>
        </w:r>
        <w:r>
          <w:rPr>
            <w:webHidden/>
          </w:rPr>
          <w:fldChar w:fldCharType="end"/>
        </w:r>
      </w:hyperlink>
    </w:p>
    <w:p w14:paraId="7876EC88" w14:textId="4A9D48E3" w:rsidR="002466A5" w:rsidRDefault="002466A5">
      <w:pPr>
        <w:pStyle w:val="Innehll1"/>
        <w:rPr>
          <w:rFonts w:asciiTheme="minorHAnsi" w:eastAsiaTheme="minorEastAsia" w:hAnsiTheme="minorHAnsi" w:cstheme="minorBidi"/>
          <w:kern w:val="2"/>
          <w:szCs w:val="22"/>
          <w14:ligatures w14:val="standardContextual"/>
        </w:rPr>
      </w:pPr>
      <w:hyperlink w:anchor="_Toc176451380" w:history="1">
        <w:r w:rsidRPr="00F44961">
          <w:rPr>
            <w:rStyle w:val="Hyperlnk"/>
            <w:rFonts w:eastAsia="MS Gothic"/>
          </w:rPr>
          <w:t>Förutsättningar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_Toc176451380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2</w:t>
        </w:r>
        <w:r>
          <w:rPr>
            <w:webHidden/>
          </w:rPr>
          <w:fldChar w:fldCharType="end"/>
        </w:r>
      </w:hyperlink>
    </w:p>
    <w:p w14:paraId="055D13DF" w14:textId="7468049B" w:rsidR="002466A5" w:rsidRDefault="002466A5">
      <w:pPr>
        <w:pStyle w:val="Innehll2"/>
        <w:rPr>
          <w:rFonts w:asciiTheme="minorHAnsi" w:eastAsiaTheme="minorEastAsia" w:hAnsiTheme="minorHAnsi" w:cstheme="minorBidi"/>
          <w:noProof/>
          <w:kern w:val="2"/>
          <w:szCs w:val="22"/>
          <w14:ligatures w14:val="standardContextual"/>
        </w:rPr>
      </w:pPr>
      <w:hyperlink w:anchor="_Toc176451381" w:history="1">
        <w:r w:rsidRPr="00F44961">
          <w:rPr>
            <w:rStyle w:val="Hyperlnk"/>
            <w:rFonts w:eastAsia="MS Gothic"/>
            <w:noProof/>
          </w:rPr>
          <w:t>Avgränsning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_Toc176451381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5ED00C3B" w14:textId="23C623F9" w:rsidR="002466A5" w:rsidRDefault="002466A5">
      <w:pPr>
        <w:pStyle w:val="Innehll2"/>
        <w:rPr>
          <w:rFonts w:asciiTheme="minorHAnsi" w:eastAsiaTheme="minorEastAsia" w:hAnsiTheme="minorHAnsi" w:cstheme="minorBidi"/>
          <w:noProof/>
          <w:kern w:val="2"/>
          <w:szCs w:val="22"/>
          <w14:ligatures w14:val="standardContextual"/>
        </w:rPr>
      </w:pPr>
      <w:hyperlink w:anchor="_Toc176451382" w:history="1">
        <w:r w:rsidRPr="00F44961">
          <w:rPr>
            <w:rStyle w:val="Hyperlnk"/>
            <w:rFonts w:eastAsia="MS Gothic"/>
            <w:noProof/>
          </w:rPr>
          <w:t>Ansvar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_Toc176451382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6E721271" w14:textId="33666162" w:rsidR="002466A5" w:rsidRDefault="002466A5">
      <w:pPr>
        <w:pStyle w:val="Innehll1"/>
        <w:rPr>
          <w:rFonts w:asciiTheme="minorHAnsi" w:eastAsiaTheme="minorEastAsia" w:hAnsiTheme="minorHAnsi" w:cstheme="minorBidi"/>
          <w:kern w:val="2"/>
          <w:szCs w:val="22"/>
          <w14:ligatures w14:val="standardContextual"/>
        </w:rPr>
      </w:pPr>
      <w:hyperlink w:anchor="_Toc176451383" w:history="1">
        <w:r w:rsidRPr="00F44961">
          <w:rPr>
            <w:rStyle w:val="Hyperlnk"/>
            <w:rFonts w:eastAsia="MS Gothic"/>
          </w:rPr>
          <w:t>Genomförande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_Toc176451383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2</w:t>
        </w:r>
        <w:r>
          <w:rPr>
            <w:webHidden/>
          </w:rPr>
          <w:fldChar w:fldCharType="end"/>
        </w:r>
      </w:hyperlink>
    </w:p>
    <w:p w14:paraId="293A5F2E" w14:textId="70395ED5" w:rsidR="002466A5" w:rsidRDefault="002466A5">
      <w:pPr>
        <w:pStyle w:val="Innehll2"/>
        <w:rPr>
          <w:rFonts w:asciiTheme="minorHAnsi" w:eastAsiaTheme="minorEastAsia" w:hAnsiTheme="minorHAnsi" w:cstheme="minorBidi"/>
          <w:noProof/>
          <w:kern w:val="2"/>
          <w:szCs w:val="22"/>
          <w14:ligatures w14:val="standardContextual"/>
        </w:rPr>
      </w:pPr>
      <w:hyperlink w:anchor="_Toc176451384" w:history="1">
        <w:r w:rsidRPr="00F44961">
          <w:rPr>
            <w:rStyle w:val="Hyperlnk"/>
            <w:rFonts w:eastAsia="MS Gothic"/>
            <w:noProof/>
          </w:rPr>
          <w:t>Transfusion via hembesök från SÄS eller via hemsjukvård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_Toc176451384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3F62315E" w14:textId="666B357F" w:rsidR="002466A5" w:rsidRDefault="002466A5">
      <w:pPr>
        <w:pStyle w:val="Innehll3"/>
        <w:rPr>
          <w:rFonts w:asciiTheme="minorHAnsi" w:eastAsiaTheme="minorEastAsia" w:hAnsiTheme="minorHAnsi" w:cstheme="minorBidi"/>
          <w:noProof/>
          <w:kern w:val="2"/>
          <w:szCs w:val="22"/>
          <w14:ligatures w14:val="standardContextual"/>
        </w:rPr>
      </w:pPr>
      <w:hyperlink w:anchor="_Toc176451385" w:history="1">
        <w:r w:rsidRPr="00F44961">
          <w:rPr>
            <w:rStyle w:val="Hyperlnk"/>
            <w:rFonts w:eastAsia="MS Gothic"/>
            <w:noProof/>
          </w:rPr>
          <w:t>Förberedelser inför blodtransfusion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_Toc176451385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350CABD4" w14:textId="6E144853" w:rsidR="002466A5" w:rsidRDefault="002466A5">
      <w:pPr>
        <w:pStyle w:val="Innehll3"/>
        <w:rPr>
          <w:rFonts w:asciiTheme="minorHAnsi" w:eastAsiaTheme="minorEastAsia" w:hAnsiTheme="minorHAnsi" w:cstheme="minorBidi"/>
          <w:noProof/>
          <w:kern w:val="2"/>
          <w:szCs w:val="22"/>
          <w14:ligatures w14:val="standardContextual"/>
        </w:rPr>
      </w:pPr>
      <w:hyperlink w:anchor="_Toc176451386" w:history="1">
        <w:r w:rsidRPr="00F44961">
          <w:rPr>
            <w:rStyle w:val="Hyperlnk"/>
            <w:rFonts w:eastAsia="MS Gothic"/>
            <w:noProof/>
          </w:rPr>
          <w:t>Transfundering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_Toc176451386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4228C533" w14:textId="27D1EDC9" w:rsidR="002466A5" w:rsidRDefault="002466A5">
      <w:pPr>
        <w:pStyle w:val="Innehll3"/>
        <w:rPr>
          <w:rFonts w:asciiTheme="minorHAnsi" w:eastAsiaTheme="minorEastAsia" w:hAnsiTheme="minorHAnsi" w:cstheme="minorBidi"/>
          <w:noProof/>
          <w:kern w:val="2"/>
          <w:szCs w:val="22"/>
          <w14:ligatures w14:val="standardContextual"/>
        </w:rPr>
      </w:pPr>
      <w:hyperlink w:anchor="_Toc176451387" w:history="1">
        <w:r w:rsidRPr="00F44961">
          <w:rPr>
            <w:rStyle w:val="Hyperlnk"/>
            <w:rFonts w:eastAsia="MS Gothic"/>
            <w:noProof/>
          </w:rPr>
          <w:t>Efter avslutad transfusion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_Toc176451387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3121FF8F" w14:textId="1FA19F42" w:rsidR="002466A5" w:rsidRDefault="002466A5">
      <w:pPr>
        <w:pStyle w:val="Innehll3"/>
        <w:rPr>
          <w:rFonts w:asciiTheme="minorHAnsi" w:eastAsiaTheme="minorEastAsia" w:hAnsiTheme="minorHAnsi" w:cstheme="minorBidi"/>
          <w:noProof/>
          <w:kern w:val="2"/>
          <w:szCs w:val="22"/>
          <w14:ligatures w14:val="standardContextual"/>
        </w:rPr>
      </w:pPr>
      <w:hyperlink w:anchor="_Toc176451388" w:history="1">
        <w:r w:rsidRPr="00F44961">
          <w:rPr>
            <w:rStyle w:val="Hyperlnk"/>
            <w:rFonts w:eastAsia="MS Gothic"/>
            <w:noProof/>
          </w:rPr>
          <w:t>Transfusion via kommunal hemsjukvård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_Toc176451388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0055D61D" w14:textId="10D59431" w:rsidR="002466A5" w:rsidRDefault="002466A5">
      <w:pPr>
        <w:pStyle w:val="Innehll2"/>
        <w:rPr>
          <w:rFonts w:asciiTheme="minorHAnsi" w:eastAsiaTheme="minorEastAsia" w:hAnsiTheme="minorHAnsi" w:cstheme="minorBidi"/>
          <w:noProof/>
          <w:kern w:val="2"/>
          <w:szCs w:val="22"/>
          <w14:ligatures w14:val="standardContextual"/>
        </w:rPr>
      </w:pPr>
      <w:hyperlink w:anchor="_Toc176451389" w:history="1">
        <w:r w:rsidRPr="00F44961">
          <w:rPr>
            <w:rStyle w:val="Hyperlnk"/>
            <w:rFonts w:eastAsia="MS Gothic"/>
            <w:noProof/>
          </w:rPr>
          <w:t>Komplikationer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_Toc176451389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7803BCBF" w14:textId="04AC70E8" w:rsidR="002466A5" w:rsidRDefault="002466A5">
      <w:pPr>
        <w:pStyle w:val="Innehll3"/>
        <w:rPr>
          <w:rFonts w:asciiTheme="minorHAnsi" w:eastAsiaTheme="minorEastAsia" w:hAnsiTheme="minorHAnsi" w:cstheme="minorBidi"/>
          <w:noProof/>
          <w:kern w:val="2"/>
          <w:szCs w:val="22"/>
          <w14:ligatures w14:val="standardContextual"/>
        </w:rPr>
      </w:pPr>
      <w:hyperlink w:anchor="_Toc176451390" w:history="1">
        <w:r w:rsidRPr="00F44961">
          <w:rPr>
            <w:rStyle w:val="Hyperlnk"/>
            <w:rFonts w:eastAsia="MS Gothic"/>
            <w:noProof/>
          </w:rPr>
          <w:t>Akut transfusionsreaktion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_Toc176451390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426CDDA7" w14:textId="000CE36F" w:rsidR="002466A5" w:rsidRDefault="002466A5">
      <w:pPr>
        <w:pStyle w:val="Innehll3"/>
        <w:rPr>
          <w:rFonts w:asciiTheme="minorHAnsi" w:eastAsiaTheme="minorEastAsia" w:hAnsiTheme="minorHAnsi" w:cstheme="minorBidi"/>
          <w:noProof/>
          <w:kern w:val="2"/>
          <w:szCs w:val="22"/>
          <w14:ligatures w14:val="standardContextual"/>
        </w:rPr>
      </w:pPr>
      <w:hyperlink w:anchor="_Toc176451391" w:history="1">
        <w:r w:rsidRPr="00F44961">
          <w:rPr>
            <w:rStyle w:val="Hyperlnk"/>
            <w:rFonts w:eastAsia="MS Gothic"/>
            <w:noProof/>
          </w:rPr>
          <w:t>Vid tecken till övervätskning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_Toc176451391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6580380B" w14:textId="46BF1D9B" w:rsidR="002466A5" w:rsidRDefault="002466A5">
      <w:pPr>
        <w:pStyle w:val="Innehll3"/>
        <w:rPr>
          <w:rFonts w:asciiTheme="minorHAnsi" w:eastAsiaTheme="minorEastAsia" w:hAnsiTheme="minorHAnsi" w:cstheme="minorBidi"/>
          <w:noProof/>
          <w:kern w:val="2"/>
          <w:szCs w:val="22"/>
          <w14:ligatures w14:val="standardContextual"/>
        </w:rPr>
      </w:pPr>
      <w:hyperlink w:anchor="_Toc176451392" w:history="1">
        <w:r w:rsidRPr="00F44961">
          <w:rPr>
            <w:rStyle w:val="Hyperlnk"/>
            <w:rFonts w:eastAsia="MS Gothic"/>
            <w:noProof/>
          </w:rPr>
          <w:t>Fortsatt handläggning av akut transfusionsreaktion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_Toc176451392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02F2D8D0" w14:textId="37223C80" w:rsidR="002466A5" w:rsidRDefault="002466A5">
      <w:pPr>
        <w:pStyle w:val="Innehll1"/>
        <w:rPr>
          <w:rFonts w:asciiTheme="minorHAnsi" w:eastAsiaTheme="minorEastAsia" w:hAnsiTheme="minorHAnsi" w:cstheme="minorBidi"/>
          <w:kern w:val="2"/>
          <w:szCs w:val="22"/>
          <w14:ligatures w14:val="standardContextual"/>
        </w:rPr>
      </w:pPr>
      <w:hyperlink w:anchor="_Toc176451393" w:history="1">
        <w:r w:rsidRPr="00F44961">
          <w:rPr>
            <w:rStyle w:val="Hyperlnk"/>
            <w:rFonts w:eastAsia="MS Gothic"/>
          </w:rPr>
          <w:t>Dokumentinformation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_Toc176451393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6</w:t>
        </w:r>
        <w:r>
          <w:rPr>
            <w:webHidden/>
          </w:rPr>
          <w:fldChar w:fldCharType="end"/>
        </w:r>
      </w:hyperlink>
    </w:p>
    <w:p w14:paraId="39745CBC" w14:textId="731B0D08" w:rsidR="002466A5" w:rsidRDefault="002466A5">
      <w:pPr>
        <w:pStyle w:val="Innehll1"/>
        <w:rPr>
          <w:rFonts w:asciiTheme="minorHAnsi" w:eastAsiaTheme="minorEastAsia" w:hAnsiTheme="minorHAnsi" w:cstheme="minorBidi"/>
          <w:kern w:val="2"/>
          <w:szCs w:val="22"/>
          <w14:ligatures w14:val="standardContextual"/>
        </w:rPr>
      </w:pPr>
      <w:hyperlink w:anchor="_Toc176451394" w:history="1">
        <w:r w:rsidRPr="00F44961">
          <w:rPr>
            <w:rStyle w:val="Hyperlnk"/>
            <w:rFonts w:eastAsia="MS Gothic"/>
          </w:rPr>
          <w:t>Referens- och länkförteckning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_Toc176451394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6</w:t>
        </w:r>
        <w:r>
          <w:rPr>
            <w:webHidden/>
          </w:rPr>
          <w:fldChar w:fldCharType="end"/>
        </w:r>
      </w:hyperlink>
    </w:p>
    <w:p w14:paraId="1D4A4DE3" w14:textId="4016627B" w:rsidR="00D85090" w:rsidRPr="00D85090" w:rsidRDefault="002466A5" w:rsidP="00441299">
      <w:pPr>
        <w:pStyle w:val="Rubrik2"/>
        <w:spacing w:before="360"/>
      </w:pPr>
      <w:r>
        <w:rPr>
          <w:rFonts w:ascii="Calibri" w:eastAsia="Times New Roman" w:hAnsi="Calibri" w:cstheme="majorHAnsi"/>
          <w:bCs w:val="0"/>
          <w:noProof/>
          <w:color w:val="auto"/>
          <w:sz w:val="22"/>
          <w:szCs w:val="28"/>
          <w:u w:val="single"/>
        </w:rPr>
        <w:fldChar w:fldCharType="end"/>
      </w:r>
      <w:bookmarkStart w:id="19" w:name="_Toc176451380"/>
      <w:r w:rsidR="00D85090" w:rsidRPr="00D85090">
        <w:t>Förutsättningar</w:t>
      </w:r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</w:p>
    <w:p w14:paraId="469AD1E9" w14:textId="77777777" w:rsidR="00D85090" w:rsidRPr="00D85090" w:rsidRDefault="00D85090" w:rsidP="007A252E">
      <w:pPr>
        <w:pStyle w:val="Rubrik3"/>
        <w:spacing w:before="120"/>
      </w:pPr>
      <w:bookmarkStart w:id="20" w:name="_Toc526869222"/>
      <w:bookmarkStart w:id="21" w:name="_Toc256000010"/>
      <w:bookmarkStart w:id="22" w:name="_Toc256000029"/>
      <w:bookmarkStart w:id="23" w:name="_Toc54100574"/>
      <w:bookmarkStart w:id="24" w:name="_Toc256000022"/>
      <w:bookmarkStart w:id="25" w:name="_Toc176451381"/>
      <w:r w:rsidRPr="00D85090">
        <w:t>Avgränsning</w:t>
      </w:r>
      <w:bookmarkEnd w:id="20"/>
      <w:bookmarkEnd w:id="21"/>
      <w:bookmarkEnd w:id="22"/>
      <w:bookmarkEnd w:id="23"/>
      <w:bookmarkEnd w:id="24"/>
      <w:bookmarkEnd w:id="25"/>
    </w:p>
    <w:p w14:paraId="3C73A652" w14:textId="77777777" w:rsidR="00D85090" w:rsidRPr="00D85090" w:rsidRDefault="00D85090" w:rsidP="00A62281">
      <w:pPr>
        <w:rPr>
          <w:szCs w:val="20"/>
        </w:rPr>
      </w:pPr>
      <w:r w:rsidRPr="00A62281">
        <w:t>Rutinen gäller de enheter på SÄS som kan komma att utföra dessa</w:t>
      </w:r>
      <w:r w:rsidRPr="00D85090">
        <w:rPr>
          <w:szCs w:val="20"/>
        </w:rPr>
        <w:t xml:space="preserve"> vårdinsatser i patientens hemmiljö. </w:t>
      </w:r>
    </w:p>
    <w:p w14:paraId="3BC066FD" w14:textId="77777777" w:rsidR="00D85090" w:rsidRPr="00D85090" w:rsidRDefault="00D85090" w:rsidP="00A62281">
      <w:pPr>
        <w:pStyle w:val="Rubrik3"/>
      </w:pPr>
      <w:bookmarkStart w:id="26" w:name="_Toc526869223"/>
      <w:bookmarkStart w:id="27" w:name="_Toc256000011"/>
      <w:bookmarkStart w:id="28" w:name="_Toc256000030"/>
      <w:bookmarkStart w:id="29" w:name="_Toc54100575"/>
      <w:bookmarkStart w:id="30" w:name="_Toc256000023"/>
      <w:bookmarkStart w:id="31" w:name="_Toc176451382"/>
      <w:r w:rsidRPr="00D85090">
        <w:t>Ansvar</w:t>
      </w:r>
      <w:bookmarkEnd w:id="26"/>
      <w:bookmarkEnd w:id="27"/>
      <w:bookmarkEnd w:id="28"/>
      <w:bookmarkEnd w:id="29"/>
      <w:bookmarkEnd w:id="30"/>
      <w:bookmarkEnd w:id="31"/>
    </w:p>
    <w:p w14:paraId="5F3BD186" w14:textId="4EDB08C5" w:rsidR="00D85090" w:rsidRPr="00D85090" w:rsidRDefault="69EB3681" w:rsidP="00A62281">
      <w:bookmarkStart w:id="32" w:name="_Toc41651039"/>
      <w:bookmarkStart w:id="33" w:name="_Toc41656991"/>
      <w:r>
        <w:t xml:space="preserve">Rutinen gäller behandling som i regel ges inom specialistsjukvården. Vid övervägande att </w:t>
      </w:r>
      <w:proofErr w:type="gramStart"/>
      <w:r>
        <w:t>istället</w:t>
      </w:r>
      <w:proofErr w:type="gramEnd"/>
      <w:r>
        <w:t xml:space="preserve"> ge detta utanför sjukhus ska nytta-riskförhållande beaktas. </w:t>
      </w:r>
      <w:r w:rsidR="284084EC">
        <w:t xml:space="preserve">Patienten </w:t>
      </w:r>
      <w:r w:rsidR="53A04222">
        <w:t xml:space="preserve">ska ges möjlighet till </w:t>
      </w:r>
      <w:r w:rsidR="284084EC">
        <w:t>delaktig</w:t>
      </w:r>
      <w:r w:rsidR="32EA161C">
        <w:t>het och ställa sig</w:t>
      </w:r>
      <w:r w:rsidR="284084EC">
        <w:t xml:space="preserve"> accepterande till </w:t>
      </w:r>
      <w:r w:rsidR="0AD9DBCB">
        <w:t xml:space="preserve">beslutet att få behandlingen i hemmet. </w:t>
      </w:r>
      <w:r>
        <w:t>Komplicerande faktorer kan utgöras av exempelvis sjukdomstillstånd och behov av övervakning, kognitiv svikt eller risk för missbruk/misskötsel av kvarliggande PVK.</w:t>
      </w:r>
      <w:bookmarkEnd w:id="32"/>
      <w:bookmarkEnd w:id="33"/>
    </w:p>
    <w:p w14:paraId="14E1E4D0" w14:textId="11E5B719" w:rsidR="00D85090" w:rsidRPr="00D85090" w:rsidRDefault="00D85090" w:rsidP="00A62281">
      <w:pPr>
        <w:rPr>
          <w:szCs w:val="20"/>
        </w:rPr>
      </w:pPr>
      <w:bookmarkStart w:id="34" w:name="_Toc41651040"/>
      <w:bookmarkStart w:id="35" w:name="_Toc41656992"/>
      <w:r w:rsidRPr="00D85090">
        <w:rPr>
          <w:szCs w:val="20"/>
        </w:rPr>
        <w:t>Man bör också försäkra sig om en god kommunikation med hemsjukvården i</w:t>
      </w:r>
      <w:r w:rsidR="007A252E">
        <w:rPr>
          <w:szCs w:val="20"/>
        </w:rPr>
        <w:t xml:space="preserve"> </w:t>
      </w:r>
      <w:r w:rsidRPr="00D85090">
        <w:rPr>
          <w:szCs w:val="20"/>
        </w:rPr>
        <w:t>de fall patienten är inskriven i sådan verksamhet.</w:t>
      </w:r>
      <w:bookmarkEnd w:id="34"/>
      <w:bookmarkEnd w:id="35"/>
      <w:r w:rsidRPr="00D85090">
        <w:rPr>
          <w:szCs w:val="20"/>
        </w:rPr>
        <w:t xml:space="preserve"> </w:t>
      </w:r>
    </w:p>
    <w:p w14:paraId="459163BE" w14:textId="77777777" w:rsidR="00D85090" w:rsidRPr="00D85090" w:rsidRDefault="00D85090" w:rsidP="00A62281">
      <w:pPr>
        <w:pStyle w:val="Rubrik2"/>
      </w:pPr>
      <w:bookmarkStart w:id="36" w:name="_Toc54100576"/>
      <w:bookmarkStart w:id="37" w:name="_Toc256000024"/>
      <w:bookmarkStart w:id="38" w:name="_Toc176451383"/>
      <w:r w:rsidRPr="00D85090">
        <w:t>Genomförande</w:t>
      </w:r>
      <w:bookmarkEnd w:id="36"/>
      <w:bookmarkEnd w:id="37"/>
      <w:bookmarkEnd w:id="38"/>
    </w:p>
    <w:p w14:paraId="75AC4656" w14:textId="77777777" w:rsidR="00D85090" w:rsidRPr="00D85090" w:rsidRDefault="00D85090" w:rsidP="003D6B96">
      <w:pPr>
        <w:pStyle w:val="Rubrik3"/>
        <w:spacing w:before="120"/>
      </w:pPr>
      <w:bookmarkStart w:id="39" w:name="_Toc526869224"/>
      <w:bookmarkStart w:id="40" w:name="_Toc256000012"/>
      <w:bookmarkStart w:id="41" w:name="_Toc256000031"/>
      <w:bookmarkStart w:id="42" w:name="_Toc54100577"/>
      <w:bookmarkStart w:id="43" w:name="_Toc256000033"/>
      <w:bookmarkStart w:id="44" w:name="_Toc176451384"/>
      <w:r w:rsidRPr="00D85090">
        <w:t>Transfusion via hembesök från SÄS</w:t>
      </w:r>
      <w:bookmarkEnd w:id="39"/>
      <w:bookmarkEnd w:id="40"/>
      <w:bookmarkEnd w:id="41"/>
      <w:r w:rsidRPr="00D85090">
        <w:t xml:space="preserve"> eller via hemsjukvård</w:t>
      </w:r>
      <w:bookmarkEnd w:id="42"/>
      <w:bookmarkEnd w:id="43"/>
      <w:bookmarkEnd w:id="44"/>
    </w:p>
    <w:p w14:paraId="6D135B08" w14:textId="77777777" w:rsidR="00D85090" w:rsidRPr="00814BB9" w:rsidRDefault="00D85090" w:rsidP="007A252E">
      <w:pPr>
        <w:pStyle w:val="MellanrubrikVGR"/>
        <w:spacing w:before="120"/>
        <w:rPr>
          <w:color w:val="auto"/>
        </w:rPr>
      </w:pPr>
      <w:bookmarkStart w:id="45" w:name="_Genomförande"/>
      <w:bookmarkStart w:id="46" w:name="_Toc526869227"/>
      <w:bookmarkStart w:id="47" w:name="_Toc256000015"/>
      <w:bookmarkStart w:id="48" w:name="_Toc256000034"/>
      <w:bookmarkStart w:id="49" w:name="_Toc54100578"/>
      <w:bookmarkStart w:id="50" w:name="_Toc256000041"/>
      <w:bookmarkStart w:id="51" w:name="_Toc176451385"/>
      <w:bookmarkEnd w:id="45"/>
      <w:r w:rsidRPr="00814BB9">
        <w:rPr>
          <w:color w:val="auto"/>
        </w:rPr>
        <w:t>Förberedelser</w:t>
      </w:r>
      <w:bookmarkEnd w:id="46"/>
      <w:bookmarkEnd w:id="47"/>
      <w:bookmarkEnd w:id="48"/>
      <w:r w:rsidRPr="00814BB9">
        <w:rPr>
          <w:color w:val="auto"/>
        </w:rPr>
        <w:t xml:space="preserve"> inför blodtransfusion</w:t>
      </w:r>
      <w:bookmarkEnd w:id="49"/>
      <w:bookmarkEnd w:id="50"/>
      <w:bookmarkEnd w:id="51"/>
    </w:p>
    <w:p w14:paraId="1A98439C" w14:textId="77777777" w:rsidR="00D85090" w:rsidRPr="00D85090" w:rsidRDefault="00D85090" w:rsidP="003D6B96">
      <w:pPr>
        <w:pStyle w:val="Underrubrik"/>
        <w:rPr>
          <w:b w:val="0"/>
        </w:rPr>
      </w:pPr>
      <w:bookmarkStart w:id="52" w:name="_Toc526869228"/>
      <w:bookmarkStart w:id="53" w:name="_Toc256000016"/>
      <w:bookmarkStart w:id="54" w:name="_Toc256000035"/>
      <w:bookmarkStart w:id="55" w:name="_Toc54100579"/>
      <w:bookmarkStart w:id="56" w:name="_Toc256000042"/>
      <w:r w:rsidRPr="00D85090">
        <w:t>Ordination</w:t>
      </w:r>
      <w:bookmarkEnd w:id="52"/>
      <w:bookmarkEnd w:id="53"/>
      <w:bookmarkEnd w:id="54"/>
      <w:bookmarkEnd w:id="55"/>
      <w:bookmarkEnd w:id="56"/>
    </w:p>
    <w:p w14:paraId="03AEFAC9" w14:textId="1A1C5364" w:rsidR="00D85090" w:rsidRPr="00D85090" w:rsidRDefault="69EB3681" w:rsidP="00B53585">
      <w:r>
        <w:t xml:space="preserve">Transfusion sker efter ordination av läkare. Ordinationen ska vara dokumenterad </w:t>
      </w:r>
      <w:r w:rsidR="6AE3C069">
        <w:t>i aktuell läkemedelslista</w:t>
      </w:r>
      <w:r>
        <w:t xml:space="preserve">. Där ska framgå vilken transfusionsgräns som gäller, hur många enheter som ska ges vid samma tillfälle samt transfusionstid. </w:t>
      </w:r>
    </w:p>
    <w:p w14:paraId="1C96468B" w14:textId="6F9B1DCD" w:rsidR="00D85090" w:rsidRPr="00900644" w:rsidRDefault="14ABB8B0" w:rsidP="00900644">
      <w:pPr>
        <w:pStyle w:val="Underrubrik"/>
        <w:keepNext/>
        <w:keepLines/>
      </w:pPr>
      <w:bookmarkStart w:id="57" w:name="_Toc526869229"/>
      <w:bookmarkStart w:id="58" w:name="_Toc256000017"/>
      <w:bookmarkStart w:id="59" w:name="_Toc256000036"/>
      <w:bookmarkStart w:id="60" w:name="_Toc54100580"/>
      <w:bookmarkStart w:id="61" w:name="_Toc256000043"/>
      <w:r w:rsidRPr="00900644">
        <w:t>BAS-test/MG-test</w:t>
      </w:r>
      <w:bookmarkEnd w:id="57"/>
      <w:bookmarkEnd w:id="58"/>
      <w:bookmarkEnd w:id="59"/>
      <w:bookmarkEnd w:id="60"/>
      <w:bookmarkEnd w:id="61"/>
    </w:p>
    <w:p w14:paraId="4C1D1418" w14:textId="6D47CCAB" w:rsidR="00D85090" w:rsidRPr="00D85090" w:rsidRDefault="69EB3681" w:rsidP="00900644">
      <w:pPr>
        <w:keepNext/>
        <w:keepLines/>
      </w:pPr>
      <w:r>
        <w:t>Om patienten är blodgrupperad sedan tidigare tas BAS-test eller MG-test (</w:t>
      </w:r>
      <w:proofErr w:type="spellStart"/>
      <w:r>
        <w:t>korstest</w:t>
      </w:r>
      <w:proofErr w:type="spellEnd"/>
      <w:r>
        <w:t xml:space="preserve">, om antikroppar finns). Efter BAS-test kan man beställa blod i upp till 5 dagar, vid MG-test endast 3 dagar. Beställning av blod görs via </w:t>
      </w:r>
      <w:r w:rsidR="2F554666">
        <w:t>Blodcentralens beställningssystem Inter</w:t>
      </w:r>
      <w:r w:rsidR="04FB1E7F">
        <w:t>info Borås alternativt Interinfo Skene,</w:t>
      </w:r>
      <w:r>
        <w:t xml:space="preserve"> beroende på var blodet ska hämtas.</w:t>
      </w:r>
    </w:p>
    <w:p w14:paraId="1298AF25" w14:textId="77777777" w:rsidR="00D85090" w:rsidRPr="00D85090" w:rsidRDefault="00D85090" w:rsidP="00900644">
      <w:pPr>
        <w:pStyle w:val="Underrubrik"/>
      </w:pPr>
      <w:bookmarkStart w:id="62" w:name="_Toc526869230"/>
      <w:bookmarkStart w:id="63" w:name="_Toc256000018"/>
      <w:bookmarkStart w:id="64" w:name="_Toc256000037"/>
      <w:bookmarkStart w:id="65" w:name="_Toc54100581"/>
      <w:bookmarkStart w:id="66" w:name="_Toc256000046"/>
      <w:r w:rsidRPr="00D85090">
        <w:t>Bokning av tid</w:t>
      </w:r>
      <w:bookmarkEnd w:id="62"/>
      <w:bookmarkEnd w:id="63"/>
      <w:bookmarkEnd w:id="64"/>
      <w:bookmarkEnd w:id="65"/>
      <w:bookmarkEnd w:id="66"/>
    </w:p>
    <w:p w14:paraId="0683CA6E" w14:textId="77777777" w:rsidR="00D85090" w:rsidRPr="00D85090" w:rsidRDefault="00D85090" w:rsidP="00A524C3">
      <w:r w:rsidRPr="00D85090">
        <w:t>Sjuksköterska kontaktar patienten för bokning av datum och tid. Även hemsjukvården ska meddelas eftersom de kan bli kontaktade angående eventuella tranfusionsreaktioner i efterförloppet. Informera hemsjukvården om kontaktuppgifter om de akut behöver kontakt med ansvarig läkare.</w:t>
      </w:r>
    </w:p>
    <w:p w14:paraId="08F982FB" w14:textId="77777777" w:rsidR="00D85090" w:rsidRPr="00D85090" w:rsidRDefault="00D85090" w:rsidP="00900644">
      <w:pPr>
        <w:pStyle w:val="Underrubrik"/>
      </w:pPr>
      <w:bookmarkStart w:id="67" w:name="_Toc526869231"/>
      <w:bookmarkStart w:id="68" w:name="_Toc256000019"/>
      <w:bookmarkStart w:id="69" w:name="_Toc256000038"/>
      <w:bookmarkStart w:id="70" w:name="_Toc54100582"/>
      <w:bookmarkStart w:id="71" w:name="_Toc256000047"/>
      <w:r w:rsidRPr="00D85090">
        <w:t>Transport</w:t>
      </w:r>
      <w:bookmarkEnd w:id="67"/>
      <w:bookmarkEnd w:id="68"/>
      <w:bookmarkEnd w:id="69"/>
      <w:bookmarkEnd w:id="70"/>
      <w:bookmarkEnd w:id="71"/>
    </w:p>
    <w:p w14:paraId="67228051" w14:textId="77777777" w:rsidR="00D85090" w:rsidRPr="00D85090" w:rsidRDefault="00D85090" w:rsidP="00A524C3">
      <w:r w:rsidRPr="00D85090">
        <w:t xml:space="preserve">Blodkomponenter hämtas på blodcentralen och transporteras i kylväska. Trombocyter förvaras under kontinuerlig vaggning i </w:t>
      </w:r>
      <w:proofErr w:type="gramStart"/>
      <w:r w:rsidRPr="00D85090">
        <w:t>20-24</w:t>
      </w:r>
      <w:proofErr w:type="gramEnd"/>
      <w:r w:rsidRPr="00D85090">
        <w:t xml:space="preserve"> grader och aldrig tillsammans med andra blodprodukter. Om trombocyter legat stilla bör det vaggas försiktigt några gånger innan det kopplas till patienten.</w:t>
      </w:r>
    </w:p>
    <w:p w14:paraId="31A198EA" w14:textId="77777777" w:rsidR="00D85090" w:rsidRPr="00D85090" w:rsidRDefault="00D85090" w:rsidP="00A524C3">
      <w:r w:rsidRPr="00D85090">
        <w:rPr>
          <w:b/>
        </w:rPr>
        <w:t>OBS!</w:t>
      </w:r>
      <w:r w:rsidRPr="00D85090">
        <w:t xml:space="preserve"> Om hemsjukvården transfunderar har SÄS ansvar att tillhandahålla transfusionsaggregat. </w:t>
      </w:r>
    </w:p>
    <w:p w14:paraId="1F741BA8" w14:textId="77777777" w:rsidR="00D85090" w:rsidRPr="00D85090" w:rsidRDefault="00D85090" w:rsidP="00A524C3">
      <w:pPr>
        <w:pStyle w:val="MellanrubrikVGR"/>
      </w:pPr>
      <w:bookmarkStart w:id="72" w:name="_Toc526869232"/>
      <w:bookmarkStart w:id="73" w:name="_Toc256000020"/>
      <w:bookmarkStart w:id="74" w:name="_Toc256000039"/>
      <w:bookmarkStart w:id="75" w:name="_Toc54100583"/>
      <w:bookmarkStart w:id="76" w:name="_Toc256000048"/>
      <w:bookmarkStart w:id="77" w:name="_Toc176451386"/>
      <w:r w:rsidRPr="00D85090">
        <w:t>Transfundering</w:t>
      </w:r>
      <w:bookmarkEnd w:id="72"/>
      <w:bookmarkEnd w:id="73"/>
      <w:bookmarkEnd w:id="74"/>
      <w:bookmarkEnd w:id="75"/>
      <w:bookmarkEnd w:id="76"/>
      <w:bookmarkEnd w:id="77"/>
    </w:p>
    <w:p w14:paraId="4455BCEB" w14:textId="77777777" w:rsidR="00D85090" w:rsidRPr="00D85090" w:rsidRDefault="00D85090" w:rsidP="00A524C3">
      <w:r w:rsidRPr="00D85090">
        <w:t>Förväxling vid provtagning och transfusion av blodkomponenter kan ha förödande konsekvenser, varför noggrannhet är av största vikt.</w:t>
      </w:r>
    </w:p>
    <w:p w14:paraId="283D68C0" w14:textId="77777777" w:rsidR="00D85090" w:rsidRPr="00D85090" w:rsidRDefault="00D85090" w:rsidP="00A524C3">
      <w:r w:rsidRPr="00D85090">
        <w:rPr>
          <w:b/>
        </w:rPr>
        <w:t>OBS!</w:t>
      </w:r>
      <w:r w:rsidRPr="00D85090">
        <w:t xml:space="preserve"> Kontroll av patientens identitet, blodgrupp, förenlighetsprövning </w:t>
      </w:r>
      <w:proofErr w:type="gramStart"/>
      <w:r w:rsidRPr="00D85090">
        <w:t>m.m.</w:t>
      </w:r>
      <w:proofErr w:type="gramEnd"/>
      <w:r w:rsidRPr="00D85090">
        <w:t xml:space="preserve"> ska utföras enligt gällande föreskrift:</w:t>
      </w:r>
    </w:p>
    <w:p w14:paraId="56E85E5F" w14:textId="1EDA89D5" w:rsidR="00D85090" w:rsidRPr="00D85090" w:rsidRDefault="00D85090" w:rsidP="00333998">
      <w:pPr>
        <w:ind w:left="1349"/>
      </w:pPr>
      <w:r w:rsidRPr="00D85090">
        <w:t>”En sjuksköterska eller läkare ska ha ansvaret för transfusionen. Patienten ska under transfusionen fortlöpande övervakas av hälso- och sjukvårdspersonal som har utbildning för och är bedömd som kompetent för uppgiften” [1]</w:t>
      </w:r>
      <w:r w:rsidR="00900644">
        <w:t>.</w:t>
      </w:r>
    </w:p>
    <w:p w14:paraId="2B794D70" w14:textId="77777777" w:rsidR="00D85090" w:rsidRPr="00D85090" w:rsidRDefault="00D85090" w:rsidP="00A524C3">
      <w:proofErr w:type="spellStart"/>
      <w:r w:rsidRPr="00D85090">
        <w:t>Erytrocyter</w:t>
      </w:r>
      <w:proofErr w:type="spellEnd"/>
      <w:r w:rsidRPr="00D85090">
        <w:t xml:space="preserve"> ska vara givet inom 4 timmar från det att det hämtats ur blod-kylen. Trombocyter är hållbara under flera dygn om de vaggas kontinuerligt. Trombocyter ges under cirka 30 minuter om inte volymen är för stor i förhållande till patientens kroppsyta eller </w:t>
      </w:r>
      <w:proofErr w:type="spellStart"/>
      <w:r w:rsidRPr="00D85090">
        <w:t>hjärtkapacitet</w:t>
      </w:r>
      <w:proofErr w:type="spellEnd"/>
      <w:r w:rsidRPr="00D85090">
        <w:t>.</w:t>
      </w:r>
    </w:p>
    <w:p w14:paraId="679C7CE1" w14:textId="539B99DB" w:rsidR="00D85090" w:rsidRPr="00D85090" w:rsidRDefault="00D85090" w:rsidP="00A524C3">
      <w:r w:rsidRPr="00D85090">
        <w:t xml:space="preserve">Blodtransfusion kan ges via PVK, CVK, subkutan </w:t>
      </w:r>
      <w:proofErr w:type="spellStart"/>
      <w:r w:rsidRPr="00D85090">
        <w:t>venport</w:t>
      </w:r>
      <w:proofErr w:type="spellEnd"/>
      <w:r w:rsidRPr="00D85090">
        <w:t xml:space="preserve"> eller PICC-</w:t>
      </w:r>
      <w:proofErr w:type="spellStart"/>
      <w:r w:rsidRPr="00D85090">
        <w:t>line</w:t>
      </w:r>
      <w:proofErr w:type="spellEnd"/>
      <w:r w:rsidRPr="00D85090">
        <w:t>, se</w:t>
      </w:r>
      <w:r w:rsidR="00A524C3">
        <w:t xml:space="preserve"> </w:t>
      </w:r>
      <w:r w:rsidRPr="00D85090">
        <w:t xml:space="preserve">riktlinje </w:t>
      </w:r>
      <w:hyperlink r:id="rId19" w:history="1">
        <w:r w:rsidRPr="00333998">
          <w:rPr>
            <w:rStyle w:val="Hyperlnk"/>
          </w:rPr>
          <w:t>Central venös infart (CVI) - inläggning och skötsel vid SÄS</w:t>
        </w:r>
      </w:hyperlink>
      <w:r w:rsidRPr="00D85090">
        <w:t xml:space="preserve"> [</w:t>
      </w:r>
      <w:r w:rsidR="00847BB4">
        <w:t>4</w:t>
      </w:r>
      <w:r w:rsidRPr="00D85090">
        <w:t>].</w:t>
      </w:r>
    </w:p>
    <w:p w14:paraId="796FB09B" w14:textId="77777777" w:rsidR="00D85090" w:rsidRPr="00D85090" w:rsidRDefault="00D85090" w:rsidP="00A524C3">
      <w:r w:rsidRPr="00D85090">
        <w:t>Vid första transfusionstillfället bör patienten övervakas av sjuksköterska under hela transfusionen. Därefter bedömer ansvarig läkare patientens individuella övervakningsbehov.</w:t>
      </w:r>
    </w:p>
    <w:p w14:paraId="4CD72797" w14:textId="77777777" w:rsidR="00D85090" w:rsidRPr="00D85090" w:rsidRDefault="00D85090" w:rsidP="00A524C3">
      <w:pPr>
        <w:rPr>
          <w:rFonts w:ascii="Arial" w:hAnsi="Arial" w:cs="Arial"/>
          <w:bCs/>
          <w:iCs/>
          <w:sz w:val="28"/>
          <w:szCs w:val="28"/>
        </w:rPr>
      </w:pPr>
      <w:r w:rsidRPr="00D85090">
        <w:t>Vid transfusionsreaktioner – se avsnitt ”</w:t>
      </w:r>
      <w:hyperlink w:anchor="_Komplikationer" w:history="1">
        <w:r w:rsidRPr="009A653A">
          <w:rPr>
            <w:rStyle w:val="Hyperlnk"/>
          </w:rPr>
          <w:t>Komplikationer</w:t>
        </w:r>
      </w:hyperlink>
      <w:r w:rsidRPr="00D85090">
        <w:t>”.</w:t>
      </w:r>
    </w:p>
    <w:p w14:paraId="75169A4D" w14:textId="77777777" w:rsidR="00D85090" w:rsidRPr="00D85090" w:rsidRDefault="00D85090" w:rsidP="009A653A">
      <w:pPr>
        <w:pStyle w:val="MellanrubrikVGR"/>
      </w:pPr>
      <w:bookmarkStart w:id="78" w:name="_Toc526869233"/>
      <w:bookmarkStart w:id="79" w:name="_Toc256000021"/>
      <w:bookmarkStart w:id="80" w:name="_Toc256000040"/>
      <w:bookmarkStart w:id="81" w:name="_Toc54100584"/>
      <w:bookmarkStart w:id="82" w:name="_Toc256000049"/>
      <w:bookmarkStart w:id="83" w:name="_Toc176451387"/>
      <w:r w:rsidRPr="00D85090">
        <w:t>Efter avslutad transfusion</w:t>
      </w:r>
      <w:bookmarkEnd w:id="78"/>
      <w:bookmarkEnd w:id="79"/>
      <w:bookmarkEnd w:id="80"/>
      <w:bookmarkEnd w:id="81"/>
      <w:bookmarkEnd w:id="82"/>
      <w:bookmarkEnd w:id="83"/>
    </w:p>
    <w:p w14:paraId="2F8803F4" w14:textId="57376C3C" w:rsidR="00D85090" w:rsidRPr="00D85090" w:rsidRDefault="64E6ED5D" w:rsidP="009A653A">
      <w:r>
        <w:t>Informera patient om sena transfusionsreaktioner (även om dessa är ovanliga)</w:t>
      </w:r>
      <w:r w:rsidR="1870516F">
        <w:t xml:space="preserve"> samt instruera om hur de lämpligen tar kontakt med vården ifall </w:t>
      </w:r>
      <w:r w:rsidR="77B0EDDB">
        <w:t>så sker</w:t>
      </w:r>
      <w:r w:rsidR="1870516F">
        <w:t xml:space="preserve">. </w:t>
      </w:r>
    </w:p>
    <w:p w14:paraId="7F2A82FD" w14:textId="0CDBA692" w:rsidR="00D85090" w:rsidRPr="00D85090" w:rsidRDefault="14ABB8B0" w:rsidP="009A653A">
      <w:r>
        <w:t>Efter avslutad transfusion sparas påse och aggregat i 4 timmar, om möjligt i kyl.</w:t>
      </w:r>
    </w:p>
    <w:p w14:paraId="1CF03067" w14:textId="60AA4DBC" w:rsidR="00D85090" w:rsidRPr="00D85090" w:rsidRDefault="69EB3681" w:rsidP="197DE7A6">
      <w:r>
        <w:t xml:space="preserve">Transfusionsdokumenten läggs till sekreterare för </w:t>
      </w:r>
      <w:proofErr w:type="spellStart"/>
      <w:r>
        <w:t>inscanning</w:t>
      </w:r>
      <w:proofErr w:type="spellEnd"/>
      <w:r>
        <w:t xml:space="preserve">. Registrering av givna blodpåsar ska göras </w:t>
      </w:r>
      <w:r w:rsidR="0A64950E">
        <w:t xml:space="preserve">i datasystemet </w:t>
      </w:r>
      <w:proofErr w:type="spellStart"/>
      <w:r>
        <w:t>InterInfo</w:t>
      </w:r>
      <w:proofErr w:type="spellEnd"/>
      <w:r>
        <w:t>.</w:t>
      </w:r>
    </w:p>
    <w:p w14:paraId="457DA913" w14:textId="77777777" w:rsidR="00D85090" w:rsidRPr="00D85090" w:rsidRDefault="26CDC9F0" w:rsidP="009A653A">
      <w:pPr>
        <w:pStyle w:val="MellanrubrikVGR"/>
      </w:pPr>
      <w:bookmarkStart w:id="84" w:name="_Toc526869225"/>
      <w:bookmarkStart w:id="85" w:name="_Toc256000013"/>
      <w:bookmarkStart w:id="86" w:name="_Toc256000032"/>
      <w:bookmarkStart w:id="87" w:name="_Toc54100585"/>
      <w:bookmarkStart w:id="88" w:name="_Toc256000050"/>
      <w:bookmarkStart w:id="89" w:name="_Toc176451388"/>
      <w:r>
        <w:t>Transfusion via kommunal hemsjukvård</w:t>
      </w:r>
      <w:bookmarkEnd w:id="84"/>
      <w:bookmarkEnd w:id="85"/>
      <w:bookmarkEnd w:id="86"/>
      <w:bookmarkEnd w:id="87"/>
      <w:bookmarkEnd w:id="88"/>
      <w:bookmarkEnd w:id="89"/>
      <w:r>
        <w:t xml:space="preserve"> </w:t>
      </w:r>
    </w:p>
    <w:p w14:paraId="00CC0696" w14:textId="4B218A69" w:rsidR="00D85090" w:rsidRPr="00D85090" w:rsidRDefault="69EB3681" w:rsidP="009A653A">
      <w:r>
        <w:t>I vissa kommuner ger hemsjukvården blodtransfusioner självständigt. Ansvarig verksamhet vid SÄS tillhandahåller då läkarordination</w:t>
      </w:r>
      <w:r w:rsidR="26047AE9">
        <w:t xml:space="preserve">er för transfusion och </w:t>
      </w:r>
      <w:proofErr w:type="spellStart"/>
      <w:r w:rsidR="26047AE9">
        <w:t>anafylaxi</w:t>
      </w:r>
      <w:proofErr w:type="spellEnd"/>
      <w:r w:rsidR="26047AE9">
        <w:t xml:space="preserve">-beredskap </w:t>
      </w:r>
      <w:r>
        <w:t>samt beställer blod enligt överenskommet transfusionsdatum. Hemsjukvården ska förses med kontaktuppgifter till ansvarig verksamhet/läkare. Till de patienter som bor i Marks kommun, kan blod beställas för leverans till SÄS Skene.</w:t>
      </w:r>
    </w:p>
    <w:p w14:paraId="2E256350" w14:textId="29561FC1" w:rsidR="00D85090" w:rsidRPr="00D85090" w:rsidRDefault="00D85090" w:rsidP="009A653A">
      <w:r w:rsidRPr="00D85090">
        <w:t>Efter transfusionen ansvarar hemsjukvården för att dokumentation skickas till</w:t>
      </w:r>
      <w:r w:rsidR="009A371B">
        <w:t xml:space="preserve"> </w:t>
      </w:r>
      <w:r w:rsidRPr="00D85090">
        <w:t xml:space="preserve">ansvarig verksamhet vid SÄS för </w:t>
      </w:r>
      <w:proofErr w:type="spellStart"/>
      <w:r w:rsidRPr="00D85090">
        <w:t>inscanning</w:t>
      </w:r>
      <w:proofErr w:type="spellEnd"/>
      <w:r w:rsidRPr="00D85090">
        <w:t xml:space="preserve">. Ansvarig verksamhet registrerar även given transfusion i </w:t>
      </w:r>
      <w:proofErr w:type="spellStart"/>
      <w:r w:rsidRPr="00D85090">
        <w:t>InterInfo</w:t>
      </w:r>
      <w:proofErr w:type="spellEnd"/>
      <w:r w:rsidRPr="00D85090">
        <w:t>.</w:t>
      </w:r>
    </w:p>
    <w:p w14:paraId="6B5FBE17" w14:textId="77777777" w:rsidR="00D85090" w:rsidRPr="00D85090" w:rsidRDefault="00D85090" w:rsidP="009A653A">
      <w:pPr>
        <w:pStyle w:val="Rubrik3"/>
      </w:pPr>
      <w:bookmarkStart w:id="90" w:name="_Komplikationer"/>
      <w:bookmarkStart w:id="91" w:name="_Toc54100586"/>
      <w:bookmarkStart w:id="92" w:name="_Toc256000051"/>
      <w:bookmarkStart w:id="93" w:name="_Toc176451389"/>
      <w:bookmarkEnd w:id="90"/>
      <w:r w:rsidRPr="00D85090">
        <w:t>Komplikationer</w:t>
      </w:r>
      <w:bookmarkEnd w:id="91"/>
      <w:bookmarkEnd w:id="92"/>
      <w:bookmarkEnd w:id="93"/>
    </w:p>
    <w:p w14:paraId="530C6F61" w14:textId="77777777" w:rsidR="00D85090" w:rsidRPr="00D85090" w:rsidRDefault="00D85090" w:rsidP="009905D3">
      <w:pPr>
        <w:pStyle w:val="MellanrubrikVGR"/>
        <w:spacing w:before="120"/>
      </w:pPr>
      <w:bookmarkStart w:id="94" w:name="_Toc54100587"/>
      <w:bookmarkStart w:id="95" w:name="_Toc256000052"/>
      <w:bookmarkStart w:id="96" w:name="_Toc176451390"/>
      <w:r w:rsidRPr="00D85090">
        <w:t>Akut transfusionsreaktion</w:t>
      </w:r>
      <w:bookmarkEnd w:id="94"/>
      <w:bookmarkEnd w:id="95"/>
      <w:bookmarkEnd w:id="96"/>
    </w:p>
    <w:p w14:paraId="1F19B794" w14:textId="77777777" w:rsidR="00D85090" w:rsidRPr="009A653A" w:rsidRDefault="00D85090" w:rsidP="009A653A">
      <w:pPr>
        <w:rPr>
          <w:b/>
          <w:bCs/>
        </w:rPr>
      </w:pPr>
      <w:r w:rsidRPr="009A653A">
        <w:rPr>
          <w:b/>
          <w:bCs/>
        </w:rPr>
        <w:t>Avbryt pågående transfusion omedelbart!</w:t>
      </w:r>
    </w:p>
    <w:p w14:paraId="38A46C5A" w14:textId="2ED66275" w:rsidR="00D85090" w:rsidRPr="009A371B" w:rsidRDefault="69EB3681" w:rsidP="009A653A">
      <w:r>
        <w:t xml:space="preserve">Kontrollera patienten avseende allmäntillstånd, andning, cirkulation. </w:t>
      </w:r>
      <w:r w:rsidR="352BCE55">
        <w:t xml:space="preserve">Exempel på symtom vid reaktion; </w:t>
      </w:r>
      <w:r w:rsidR="7330B727">
        <w:t>frossa, feber, smärtor i bröst eller ländrygg, brännande känsla i infusionsvenen, oro, lufthunger, illamående, kräkningar, blodtrycksfall, uppblossande rodnad, nässelutslag</w:t>
      </w:r>
      <w:r w:rsidR="4FCEB113">
        <w:t xml:space="preserve">. Observera att reaktionen kan </w:t>
      </w:r>
      <w:r w:rsidR="5C44406A">
        <w:t xml:space="preserve">uppkomma </w:t>
      </w:r>
      <w:r w:rsidR="4FCEB113">
        <w:t xml:space="preserve">med </w:t>
      </w:r>
      <w:r w:rsidR="10D33394">
        <w:t xml:space="preserve">en </w:t>
      </w:r>
      <w:r w:rsidR="4FCEB113">
        <w:t xml:space="preserve">fördröjning </w:t>
      </w:r>
      <w:r w:rsidR="25F698C0">
        <w:t xml:space="preserve">på timmar/något dygn. </w:t>
      </w:r>
    </w:p>
    <w:p w14:paraId="16DD8C65" w14:textId="77777777" w:rsidR="00D85090" w:rsidRPr="00D85090" w:rsidRDefault="00D85090" w:rsidP="009A653A">
      <w:r w:rsidRPr="009A371B">
        <w:t xml:space="preserve">Vid </w:t>
      </w:r>
      <w:r w:rsidRPr="009A371B">
        <w:rPr>
          <w:b/>
          <w:bCs/>
        </w:rPr>
        <w:t>lätt transfusionsreaktion</w:t>
      </w:r>
      <w:r w:rsidRPr="009A371B">
        <w:t xml:space="preserve"> (klåda, </w:t>
      </w:r>
      <w:proofErr w:type="spellStart"/>
      <w:r w:rsidRPr="009A371B">
        <w:t>urtikaria</w:t>
      </w:r>
      <w:proofErr w:type="spellEnd"/>
      <w:r w:rsidRPr="009A371B">
        <w:t>) ges antihistamin och</w:t>
      </w:r>
      <w:r w:rsidRPr="00D85090">
        <w:t xml:space="preserve"> kortison per os. </w:t>
      </w:r>
    </w:p>
    <w:p w14:paraId="4C5FAE0C" w14:textId="77777777" w:rsidR="00D85090" w:rsidRPr="00D85090" w:rsidRDefault="00D85090" w:rsidP="009A653A">
      <w:r w:rsidRPr="00D85090">
        <w:t xml:space="preserve">Vid </w:t>
      </w:r>
      <w:r w:rsidRPr="00D85090">
        <w:rPr>
          <w:b/>
          <w:bCs/>
        </w:rPr>
        <w:t>svår transfusionsreaktion</w:t>
      </w:r>
      <w:r w:rsidRPr="00D85090">
        <w:t xml:space="preserve"> (ångest, oro, andningssvårigheter, blodtrycksfall, takykardi) ges antihistamin per os, kortison parenteralt, adrenalin och Ringer-Acetat. </w:t>
      </w:r>
    </w:p>
    <w:p w14:paraId="0DA4D469" w14:textId="77777777" w:rsidR="00D85090" w:rsidRPr="009A653A" w:rsidRDefault="00D85090" w:rsidP="00441299">
      <w:pPr>
        <w:keepNext/>
        <w:keepLines/>
        <w:rPr>
          <w:b/>
          <w:bCs/>
        </w:rPr>
      </w:pPr>
      <w:r w:rsidRPr="009A653A">
        <w:rPr>
          <w:b/>
          <w:bCs/>
        </w:rPr>
        <w:t>Behandling (avser vuxna patienter)</w:t>
      </w:r>
      <w:r w:rsidRPr="009A653A">
        <w:t>:</w:t>
      </w:r>
    </w:p>
    <w:tbl>
      <w:tblPr>
        <w:tblW w:w="8177" w:type="dxa"/>
        <w:tblInd w:w="9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Ordinationstabell för vuxna vid reaktion"/>
        <w:tblDescription w:val="Tabellen visar ordination av olika preparat, styrka och dosering vid behandling av vuxna patienter som fått en reaktion vid blodtransfusion."/>
      </w:tblPr>
      <w:tblGrid>
        <w:gridCol w:w="2084"/>
        <w:gridCol w:w="1415"/>
        <w:gridCol w:w="4678"/>
      </w:tblGrid>
      <w:tr w:rsidR="00D85090" w:rsidRPr="00D85090" w14:paraId="4F0D1AF5" w14:textId="77777777" w:rsidTr="00441299">
        <w:trPr>
          <w:tblHeader/>
        </w:trPr>
        <w:tc>
          <w:tcPr>
            <w:tcW w:w="2084" w:type="dxa"/>
            <w:shd w:val="clear" w:color="auto" w:fill="E7E6E6"/>
          </w:tcPr>
          <w:p w14:paraId="07756FA7" w14:textId="77777777" w:rsidR="00D85090" w:rsidRPr="00D85090" w:rsidRDefault="00D85090" w:rsidP="00D85090">
            <w:pPr>
              <w:spacing w:before="60" w:after="60" w:line="240" w:lineRule="auto"/>
              <w:ind w:left="0" w:right="0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D85090">
              <w:rPr>
                <w:rFonts w:ascii="Arial" w:hAnsi="Arial"/>
                <w:b/>
                <w:bCs/>
                <w:sz w:val="20"/>
                <w:szCs w:val="20"/>
              </w:rPr>
              <w:t>Läkemedel</w:t>
            </w:r>
          </w:p>
        </w:tc>
        <w:tc>
          <w:tcPr>
            <w:tcW w:w="1415" w:type="dxa"/>
            <w:shd w:val="clear" w:color="auto" w:fill="E7E6E6"/>
          </w:tcPr>
          <w:p w14:paraId="3F49134A" w14:textId="77777777" w:rsidR="00D85090" w:rsidRPr="00D85090" w:rsidRDefault="00D85090" w:rsidP="00D85090">
            <w:pPr>
              <w:spacing w:before="60" w:after="60" w:line="240" w:lineRule="auto"/>
              <w:ind w:left="0" w:right="0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D85090">
              <w:rPr>
                <w:rFonts w:ascii="Arial" w:hAnsi="Arial"/>
                <w:b/>
                <w:bCs/>
                <w:sz w:val="20"/>
                <w:szCs w:val="20"/>
              </w:rPr>
              <w:t>Styrka</w:t>
            </w:r>
          </w:p>
        </w:tc>
        <w:tc>
          <w:tcPr>
            <w:tcW w:w="4678" w:type="dxa"/>
            <w:shd w:val="clear" w:color="auto" w:fill="E7E6E6"/>
          </w:tcPr>
          <w:p w14:paraId="7175CB81" w14:textId="77777777" w:rsidR="00D85090" w:rsidRPr="00D85090" w:rsidRDefault="00D85090" w:rsidP="00D85090">
            <w:pPr>
              <w:spacing w:before="60" w:after="60" w:line="240" w:lineRule="auto"/>
              <w:ind w:left="0" w:right="0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D85090">
              <w:rPr>
                <w:rFonts w:ascii="Arial" w:hAnsi="Arial"/>
                <w:b/>
                <w:bCs/>
                <w:sz w:val="20"/>
                <w:szCs w:val="20"/>
              </w:rPr>
              <w:t>Dosering</w:t>
            </w:r>
          </w:p>
        </w:tc>
      </w:tr>
      <w:tr w:rsidR="00D85090" w:rsidRPr="00D85090" w14:paraId="74CE3DCD" w14:textId="77777777" w:rsidTr="00441299">
        <w:trPr>
          <w:tblHeader/>
        </w:trPr>
        <w:tc>
          <w:tcPr>
            <w:tcW w:w="2084" w:type="dxa"/>
            <w:shd w:val="clear" w:color="auto" w:fill="auto"/>
          </w:tcPr>
          <w:p w14:paraId="44D01606" w14:textId="77777777" w:rsidR="00D85090" w:rsidRPr="00D85090" w:rsidRDefault="00D85090" w:rsidP="00D85090">
            <w:pPr>
              <w:spacing w:line="240" w:lineRule="auto"/>
              <w:ind w:left="0" w:right="0"/>
              <w:rPr>
                <w:sz w:val="22"/>
                <w:szCs w:val="20"/>
              </w:rPr>
            </w:pPr>
            <w:proofErr w:type="spellStart"/>
            <w:r w:rsidRPr="00D85090">
              <w:rPr>
                <w:sz w:val="22"/>
                <w:szCs w:val="20"/>
              </w:rPr>
              <w:t>Tabl</w:t>
            </w:r>
            <w:proofErr w:type="spellEnd"/>
            <w:r w:rsidRPr="00D85090">
              <w:rPr>
                <w:sz w:val="22"/>
                <w:szCs w:val="20"/>
              </w:rPr>
              <w:t xml:space="preserve"> </w:t>
            </w:r>
            <w:proofErr w:type="spellStart"/>
            <w:r w:rsidRPr="00D85090">
              <w:rPr>
                <w:sz w:val="22"/>
                <w:szCs w:val="20"/>
              </w:rPr>
              <w:t>Desloratadin</w:t>
            </w:r>
            <w:proofErr w:type="spellEnd"/>
          </w:p>
        </w:tc>
        <w:tc>
          <w:tcPr>
            <w:tcW w:w="1415" w:type="dxa"/>
            <w:shd w:val="clear" w:color="auto" w:fill="auto"/>
          </w:tcPr>
          <w:p w14:paraId="7DE9C908" w14:textId="77777777" w:rsidR="00D85090" w:rsidRPr="00D85090" w:rsidRDefault="00D85090" w:rsidP="00D85090">
            <w:pPr>
              <w:spacing w:line="240" w:lineRule="auto"/>
              <w:ind w:left="0" w:right="0"/>
              <w:rPr>
                <w:sz w:val="22"/>
                <w:szCs w:val="20"/>
              </w:rPr>
            </w:pPr>
            <w:r w:rsidRPr="00D85090">
              <w:rPr>
                <w:sz w:val="22"/>
                <w:szCs w:val="20"/>
              </w:rPr>
              <w:t>5 mg</w:t>
            </w:r>
          </w:p>
        </w:tc>
        <w:tc>
          <w:tcPr>
            <w:tcW w:w="4678" w:type="dxa"/>
            <w:shd w:val="clear" w:color="auto" w:fill="auto"/>
          </w:tcPr>
          <w:p w14:paraId="0CD2247B" w14:textId="77777777" w:rsidR="00D85090" w:rsidRPr="00D85090" w:rsidRDefault="00D85090" w:rsidP="00D85090">
            <w:pPr>
              <w:spacing w:line="240" w:lineRule="auto"/>
              <w:ind w:left="0" w:right="0"/>
              <w:rPr>
                <w:sz w:val="22"/>
                <w:szCs w:val="20"/>
              </w:rPr>
            </w:pPr>
            <w:r w:rsidRPr="00D85090">
              <w:rPr>
                <w:sz w:val="22"/>
                <w:szCs w:val="20"/>
              </w:rPr>
              <w:t>2 x 5 mg (=10 mg)</w:t>
            </w:r>
          </w:p>
        </w:tc>
      </w:tr>
      <w:tr w:rsidR="00D85090" w:rsidRPr="00D85090" w14:paraId="561605C9" w14:textId="77777777" w:rsidTr="00441299">
        <w:trPr>
          <w:tblHeader/>
        </w:trPr>
        <w:tc>
          <w:tcPr>
            <w:tcW w:w="2084" w:type="dxa"/>
            <w:shd w:val="clear" w:color="auto" w:fill="auto"/>
          </w:tcPr>
          <w:p w14:paraId="2725C761" w14:textId="77777777" w:rsidR="00D85090" w:rsidRPr="00D85090" w:rsidRDefault="00D85090" w:rsidP="00D85090">
            <w:pPr>
              <w:spacing w:line="240" w:lineRule="auto"/>
              <w:ind w:left="0" w:right="0"/>
              <w:rPr>
                <w:sz w:val="22"/>
                <w:szCs w:val="20"/>
              </w:rPr>
            </w:pPr>
            <w:proofErr w:type="spellStart"/>
            <w:r w:rsidRPr="00D85090">
              <w:rPr>
                <w:sz w:val="22"/>
                <w:szCs w:val="20"/>
              </w:rPr>
              <w:t>Tabl</w:t>
            </w:r>
            <w:proofErr w:type="spellEnd"/>
            <w:r w:rsidRPr="00D85090">
              <w:rPr>
                <w:sz w:val="22"/>
                <w:szCs w:val="20"/>
              </w:rPr>
              <w:t xml:space="preserve"> Betametason</w:t>
            </w:r>
          </w:p>
          <w:p w14:paraId="6F5E88E9" w14:textId="77777777" w:rsidR="00D85090" w:rsidRPr="00D85090" w:rsidRDefault="00D85090" w:rsidP="00D85090">
            <w:pPr>
              <w:spacing w:line="240" w:lineRule="auto"/>
              <w:ind w:left="0" w:right="0"/>
              <w:rPr>
                <w:sz w:val="22"/>
                <w:szCs w:val="20"/>
              </w:rPr>
            </w:pPr>
            <w:r w:rsidRPr="00D85090">
              <w:rPr>
                <w:sz w:val="22"/>
                <w:szCs w:val="20"/>
              </w:rPr>
              <w:t>(</w:t>
            </w:r>
            <w:proofErr w:type="gramStart"/>
            <w:r w:rsidRPr="00D85090">
              <w:rPr>
                <w:sz w:val="22"/>
                <w:szCs w:val="20"/>
              </w:rPr>
              <w:t>t.ex.</w:t>
            </w:r>
            <w:proofErr w:type="gramEnd"/>
            <w:r w:rsidRPr="00D85090">
              <w:rPr>
                <w:sz w:val="22"/>
                <w:szCs w:val="20"/>
              </w:rPr>
              <w:t xml:space="preserve"> </w:t>
            </w:r>
            <w:proofErr w:type="spellStart"/>
            <w:r w:rsidRPr="00D85090">
              <w:rPr>
                <w:sz w:val="22"/>
                <w:szCs w:val="20"/>
              </w:rPr>
              <w:t>Betapred</w:t>
            </w:r>
            <w:proofErr w:type="spellEnd"/>
            <w:r w:rsidRPr="00D85090">
              <w:rPr>
                <w:sz w:val="22"/>
                <w:szCs w:val="20"/>
              </w:rPr>
              <w:t>)</w:t>
            </w:r>
          </w:p>
        </w:tc>
        <w:tc>
          <w:tcPr>
            <w:tcW w:w="1415" w:type="dxa"/>
            <w:shd w:val="clear" w:color="auto" w:fill="auto"/>
          </w:tcPr>
          <w:p w14:paraId="18B74716" w14:textId="77777777" w:rsidR="00D85090" w:rsidRPr="00D85090" w:rsidRDefault="00D85090" w:rsidP="00D85090">
            <w:pPr>
              <w:spacing w:line="240" w:lineRule="auto"/>
              <w:ind w:left="0" w:right="0"/>
              <w:rPr>
                <w:sz w:val="22"/>
                <w:szCs w:val="20"/>
              </w:rPr>
            </w:pPr>
            <w:r w:rsidRPr="00D85090">
              <w:rPr>
                <w:sz w:val="22"/>
                <w:szCs w:val="20"/>
              </w:rPr>
              <w:t>0,5 mg</w:t>
            </w:r>
          </w:p>
        </w:tc>
        <w:tc>
          <w:tcPr>
            <w:tcW w:w="4678" w:type="dxa"/>
            <w:shd w:val="clear" w:color="auto" w:fill="auto"/>
          </w:tcPr>
          <w:p w14:paraId="4A2ED4F5" w14:textId="77777777" w:rsidR="00D85090" w:rsidRPr="00D85090" w:rsidRDefault="00D85090" w:rsidP="00D85090">
            <w:pPr>
              <w:spacing w:line="240" w:lineRule="auto"/>
              <w:ind w:left="0" w:right="0"/>
              <w:rPr>
                <w:sz w:val="22"/>
                <w:szCs w:val="20"/>
              </w:rPr>
            </w:pPr>
            <w:proofErr w:type="gramStart"/>
            <w:r w:rsidRPr="00D85090">
              <w:rPr>
                <w:sz w:val="22"/>
                <w:szCs w:val="20"/>
              </w:rPr>
              <w:t xml:space="preserve">16 </w:t>
            </w:r>
            <w:proofErr w:type="spellStart"/>
            <w:r w:rsidRPr="00D85090">
              <w:rPr>
                <w:sz w:val="22"/>
                <w:szCs w:val="20"/>
              </w:rPr>
              <w:t>st</w:t>
            </w:r>
            <w:proofErr w:type="spellEnd"/>
            <w:proofErr w:type="gramEnd"/>
            <w:r w:rsidRPr="00D85090">
              <w:rPr>
                <w:sz w:val="22"/>
                <w:szCs w:val="20"/>
              </w:rPr>
              <w:t xml:space="preserve"> </w:t>
            </w:r>
            <w:proofErr w:type="spellStart"/>
            <w:r w:rsidRPr="00D85090">
              <w:rPr>
                <w:sz w:val="22"/>
                <w:szCs w:val="20"/>
              </w:rPr>
              <w:t>tabl</w:t>
            </w:r>
            <w:proofErr w:type="spellEnd"/>
            <w:r w:rsidRPr="00D85090">
              <w:rPr>
                <w:sz w:val="22"/>
                <w:szCs w:val="20"/>
              </w:rPr>
              <w:t xml:space="preserve"> löses i vatten </w:t>
            </w:r>
          </w:p>
          <w:p w14:paraId="01AC9D2A" w14:textId="77777777" w:rsidR="00D85090" w:rsidRPr="00D85090" w:rsidRDefault="00D85090" w:rsidP="00D85090">
            <w:pPr>
              <w:spacing w:line="240" w:lineRule="auto"/>
              <w:ind w:left="0" w:right="0"/>
              <w:rPr>
                <w:sz w:val="22"/>
                <w:szCs w:val="20"/>
              </w:rPr>
            </w:pPr>
            <w:r w:rsidRPr="00D85090">
              <w:rPr>
                <w:sz w:val="22"/>
                <w:szCs w:val="20"/>
              </w:rPr>
              <w:t xml:space="preserve">Ytterligare doser kan ges vid utebliven effekt upp till 20 mg (totalt 40 </w:t>
            </w:r>
            <w:proofErr w:type="spellStart"/>
            <w:r w:rsidRPr="00D85090">
              <w:rPr>
                <w:sz w:val="22"/>
                <w:szCs w:val="20"/>
              </w:rPr>
              <w:t>tabl</w:t>
            </w:r>
            <w:proofErr w:type="spellEnd"/>
            <w:r w:rsidRPr="00D85090">
              <w:rPr>
                <w:sz w:val="22"/>
                <w:szCs w:val="20"/>
              </w:rPr>
              <w:t>)</w:t>
            </w:r>
          </w:p>
        </w:tc>
      </w:tr>
      <w:tr w:rsidR="00D85090" w:rsidRPr="00D85090" w14:paraId="555B709A" w14:textId="77777777" w:rsidTr="00441299">
        <w:trPr>
          <w:tblHeader/>
        </w:trPr>
        <w:tc>
          <w:tcPr>
            <w:tcW w:w="2084" w:type="dxa"/>
            <w:shd w:val="clear" w:color="auto" w:fill="auto"/>
          </w:tcPr>
          <w:p w14:paraId="25E8CC56" w14:textId="77777777" w:rsidR="00D85090" w:rsidRPr="00D85090" w:rsidRDefault="00D85090" w:rsidP="00D85090">
            <w:pPr>
              <w:spacing w:line="240" w:lineRule="auto"/>
              <w:ind w:left="0" w:right="0"/>
              <w:rPr>
                <w:sz w:val="22"/>
                <w:szCs w:val="20"/>
              </w:rPr>
            </w:pPr>
            <w:proofErr w:type="spellStart"/>
            <w:r w:rsidRPr="00D85090">
              <w:rPr>
                <w:sz w:val="22"/>
                <w:szCs w:val="20"/>
              </w:rPr>
              <w:t>Inj</w:t>
            </w:r>
            <w:proofErr w:type="spellEnd"/>
            <w:r w:rsidRPr="00D85090">
              <w:rPr>
                <w:sz w:val="22"/>
                <w:szCs w:val="20"/>
              </w:rPr>
              <w:t xml:space="preserve"> Betametason (</w:t>
            </w:r>
            <w:proofErr w:type="gramStart"/>
            <w:r w:rsidRPr="00D85090">
              <w:rPr>
                <w:sz w:val="22"/>
                <w:szCs w:val="20"/>
              </w:rPr>
              <w:t>t.ex.</w:t>
            </w:r>
            <w:proofErr w:type="gramEnd"/>
            <w:r w:rsidRPr="00D85090">
              <w:rPr>
                <w:sz w:val="22"/>
                <w:szCs w:val="20"/>
              </w:rPr>
              <w:t xml:space="preserve"> </w:t>
            </w:r>
            <w:proofErr w:type="spellStart"/>
            <w:r w:rsidRPr="00D85090">
              <w:rPr>
                <w:sz w:val="22"/>
                <w:szCs w:val="20"/>
              </w:rPr>
              <w:t>Betapred</w:t>
            </w:r>
            <w:proofErr w:type="spellEnd"/>
            <w:r w:rsidRPr="00D85090">
              <w:rPr>
                <w:sz w:val="22"/>
                <w:szCs w:val="20"/>
              </w:rPr>
              <w:t>)</w:t>
            </w:r>
          </w:p>
        </w:tc>
        <w:tc>
          <w:tcPr>
            <w:tcW w:w="1415" w:type="dxa"/>
            <w:shd w:val="clear" w:color="auto" w:fill="auto"/>
          </w:tcPr>
          <w:p w14:paraId="6EF3C154" w14:textId="77777777" w:rsidR="00D85090" w:rsidRPr="00D85090" w:rsidRDefault="00D85090" w:rsidP="00D85090">
            <w:pPr>
              <w:spacing w:line="240" w:lineRule="auto"/>
              <w:ind w:left="0" w:right="0"/>
              <w:rPr>
                <w:sz w:val="22"/>
                <w:szCs w:val="20"/>
              </w:rPr>
            </w:pPr>
            <w:r w:rsidRPr="00D85090">
              <w:rPr>
                <w:sz w:val="22"/>
                <w:szCs w:val="20"/>
              </w:rPr>
              <w:t>4 mg/ml</w:t>
            </w:r>
          </w:p>
        </w:tc>
        <w:tc>
          <w:tcPr>
            <w:tcW w:w="4678" w:type="dxa"/>
            <w:shd w:val="clear" w:color="auto" w:fill="auto"/>
          </w:tcPr>
          <w:p w14:paraId="184C954D" w14:textId="77777777" w:rsidR="00D85090" w:rsidRPr="00D85090" w:rsidRDefault="00D85090" w:rsidP="00D85090">
            <w:pPr>
              <w:spacing w:line="240" w:lineRule="auto"/>
              <w:ind w:left="0" w:right="0"/>
              <w:rPr>
                <w:sz w:val="22"/>
                <w:szCs w:val="20"/>
              </w:rPr>
            </w:pPr>
            <w:r w:rsidRPr="00D85090">
              <w:rPr>
                <w:sz w:val="22"/>
                <w:szCs w:val="20"/>
              </w:rPr>
              <w:t xml:space="preserve">2 ml iv eller </w:t>
            </w:r>
            <w:proofErr w:type="spellStart"/>
            <w:r w:rsidRPr="00D85090">
              <w:rPr>
                <w:sz w:val="22"/>
                <w:szCs w:val="20"/>
              </w:rPr>
              <w:t>im</w:t>
            </w:r>
            <w:proofErr w:type="spellEnd"/>
            <w:r w:rsidRPr="00D85090">
              <w:rPr>
                <w:sz w:val="22"/>
                <w:szCs w:val="20"/>
              </w:rPr>
              <w:t xml:space="preserve"> </w:t>
            </w:r>
          </w:p>
          <w:p w14:paraId="4D086019" w14:textId="77777777" w:rsidR="00D85090" w:rsidRPr="00D85090" w:rsidRDefault="00D85090" w:rsidP="00D85090">
            <w:pPr>
              <w:spacing w:line="240" w:lineRule="auto"/>
              <w:ind w:left="0" w:right="0"/>
              <w:rPr>
                <w:sz w:val="22"/>
                <w:szCs w:val="20"/>
              </w:rPr>
            </w:pPr>
            <w:r w:rsidRPr="00D85090">
              <w:rPr>
                <w:sz w:val="22"/>
                <w:szCs w:val="20"/>
              </w:rPr>
              <w:t>Ytterligare doser kan ges vid utebliven effekt upp till 20 mg (totalt 5 ml)</w:t>
            </w:r>
          </w:p>
        </w:tc>
      </w:tr>
      <w:tr w:rsidR="00D85090" w:rsidRPr="00D85090" w14:paraId="47E934E0" w14:textId="77777777" w:rsidTr="00441299">
        <w:trPr>
          <w:tblHeader/>
        </w:trPr>
        <w:tc>
          <w:tcPr>
            <w:tcW w:w="2084" w:type="dxa"/>
            <w:tcBorders>
              <w:bottom w:val="single" w:sz="4" w:space="0" w:color="auto"/>
            </w:tcBorders>
            <w:shd w:val="clear" w:color="auto" w:fill="auto"/>
          </w:tcPr>
          <w:p w14:paraId="2FFBB5C3" w14:textId="77777777" w:rsidR="00D85090" w:rsidRPr="00D85090" w:rsidRDefault="00D85090" w:rsidP="00D85090">
            <w:pPr>
              <w:spacing w:line="240" w:lineRule="auto"/>
              <w:ind w:left="0" w:right="0"/>
              <w:rPr>
                <w:sz w:val="22"/>
                <w:szCs w:val="20"/>
              </w:rPr>
            </w:pPr>
            <w:r w:rsidRPr="00D85090">
              <w:rPr>
                <w:sz w:val="22"/>
                <w:szCs w:val="20"/>
              </w:rPr>
              <w:t>Adrenalin (</w:t>
            </w:r>
            <w:proofErr w:type="gramStart"/>
            <w:r w:rsidRPr="00D85090">
              <w:rPr>
                <w:sz w:val="22"/>
                <w:szCs w:val="20"/>
              </w:rPr>
              <w:t>t.ex.</w:t>
            </w:r>
            <w:proofErr w:type="gramEnd"/>
            <w:r w:rsidRPr="00D85090">
              <w:rPr>
                <w:sz w:val="22"/>
                <w:szCs w:val="20"/>
              </w:rPr>
              <w:t xml:space="preserve"> </w:t>
            </w:r>
            <w:proofErr w:type="spellStart"/>
            <w:r w:rsidRPr="00D85090">
              <w:rPr>
                <w:sz w:val="22"/>
                <w:szCs w:val="20"/>
              </w:rPr>
              <w:t>Epipen</w:t>
            </w:r>
            <w:proofErr w:type="spellEnd"/>
            <w:r w:rsidRPr="00D85090">
              <w:rPr>
                <w:sz w:val="22"/>
                <w:szCs w:val="20"/>
              </w:rPr>
              <w:t xml:space="preserve">, lösning i </w:t>
            </w:r>
            <w:proofErr w:type="spellStart"/>
            <w:r w:rsidRPr="00D85090">
              <w:rPr>
                <w:sz w:val="22"/>
                <w:szCs w:val="20"/>
              </w:rPr>
              <w:t>förfylld</w:t>
            </w:r>
            <w:proofErr w:type="spellEnd"/>
            <w:r w:rsidRPr="00D85090">
              <w:rPr>
                <w:sz w:val="22"/>
                <w:szCs w:val="20"/>
              </w:rPr>
              <w:t xml:space="preserve"> injektionspenna)</w:t>
            </w:r>
          </w:p>
        </w:tc>
        <w:tc>
          <w:tcPr>
            <w:tcW w:w="1415" w:type="dxa"/>
            <w:tcBorders>
              <w:bottom w:val="single" w:sz="4" w:space="0" w:color="auto"/>
            </w:tcBorders>
            <w:shd w:val="clear" w:color="auto" w:fill="auto"/>
          </w:tcPr>
          <w:p w14:paraId="6678D04E" w14:textId="77777777" w:rsidR="00D85090" w:rsidRPr="00D85090" w:rsidRDefault="00D85090" w:rsidP="00D85090">
            <w:pPr>
              <w:spacing w:line="240" w:lineRule="auto"/>
              <w:ind w:left="0" w:right="0"/>
              <w:rPr>
                <w:sz w:val="22"/>
                <w:szCs w:val="20"/>
              </w:rPr>
            </w:pPr>
            <w:r w:rsidRPr="00D85090">
              <w:rPr>
                <w:sz w:val="22"/>
                <w:szCs w:val="20"/>
              </w:rPr>
              <w:t>300 µg/dos</w:t>
            </w:r>
          </w:p>
        </w:tc>
        <w:tc>
          <w:tcPr>
            <w:tcW w:w="4678" w:type="dxa"/>
            <w:tcBorders>
              <w:bottom w:val="single" w:sz="4" w:space="0" w:color="auto"/>
            </w:tcBorders>
            <w:shd w:val="clear" w:color="auto" w:fill="auto"/>
          </w:tcPr>
          <w:p w14:paraId="43DC31B4" w14:textId="77777777" w:rsidR="00D85090" w:rsidRPr="00D85090" w:rsidRDefault="00D85090" w:rsidP="00D85090">
            <w:pPr>
              <w:spacing w:line="240" w:lineRule="auto"/>
              <w:ind w:left="0" w:right="0"/>
              <w:rPr>
                <w:sz w:val="22"/>
                <w:szCs w:val="20"/>
              </w:rPr>
            </w:pPr>
            <w:r w:rsidRPr="00D85090">
              <w:rPr>
                <w:sz w:val="22"/>
                <w:szCs w:val="20"/>
              </w:rPr>
              <w:t xml:space="preserve">300 µg </w:t>
            </w:r>
            <w:proofErr w:type="spellStart"/>
            <w:r w:rsidRPr="00D85090">
              <w:rPr>
                <w:sz w:val="22"/>
                <w:szCs w:val="20"/>
              </w:rPr>
              <w:t>im</w:t>
            </w:r>
            <w:proofErr w:type="spellEnd"/>
          </w:p>
          <w:p w14:paraId="716B9969" w14:textId="77777777" w:rsidR="00D85090" w:rsidRPr="00D85090" w:rsidRDefault="00D85090" w:rsidP="00D85090">
            <w:pPr>
              <w:spacing w:line="240" w:lineRule="auto"/>
              <w:ind w:left="0" w:right="0"/>
              <w:rPr>
                <w:sz w:val="22"/>
                <w:szCs w:val="20"/>
              </w:rPr>
            </w:pPr>
            <w:r w:rsidRPr="00D85090">
              <w:rPr>
                <w:sz w:val="22"/>
                <w:szCs w:val="20"/>
              </w:rPr>
              <w:t>Dosen kan komma att upprepas efter läkar-ordination</w:t>
            </w:r>
          </w:p>
        </w:tc>
      </w:tr>
      <w:tr w:rsidR="00D85090" w:rsidRPr="00D85090" w14:paraId="11B72758" w14:textId="77777777" w:rsidTr="00441299">
        <w:trPr>
          <w:tblHeader/>
        </w:trPr>
        <w:tc>
          <w:tcPr>
            <w:tcW w:w="2084" w:type="dxa"/>
            <w:tcBorders>
              <w:bottom w:val="single" w:sz="4" w:space="0" w:color="auto"/>
            </w:tcBorders>
            <w:shd w:val="clear" w:color="auto" w:fill="auto"/>
          </w:tcPr>
          <w:p w14:paraId="589E4639" w14:textId="77777777" w:rsidR="00D85090" w:rsidRPr="00D85090" w:rsidRDefault="00D85090" w:rsidP="00D85090">
            <w:pPr>
              <w:spacing w:line="240" w:lineRule="auto"/>
              <w:ind w:left="0" w:right="0"/>
              <w:rPr>
                <w:sz w:val="22"/>
                <w:szCs w:val="20"/>
              </w:rPr>
            </w:pPr>
            <w:r w:rsidRPr="00D85090">
              <w:rPr>
                <w:sz w:val="22"/>
                <w:szCs w:val="20"/>
              </w:rPr>
              <w:t>Ringer-Acetat, infusionsvätska</w:t>
            </w:r>
          </w:p>
        </w:tc>
        <w:tc>
          <w:tcPr>
            <w:tcW w:w="1415" w:type="dxa"/>
            <w:tcBorders>
              <w:bottom w:val="single" w:sz="4" w:space="0" w:color="auto"/>
            </w:tcBorders>
            <w:shd w:val="clear" w:color="auto" w:fill="auto"/>
          </w:tcPr>
          <w:p w14:paraId="4AF8D22C" w14:textId="77777777" w:rsidR="00D85090" w:rsidRPr="00D85090" w:rsidRDefault="00D85090" w:rsidP="00D85090">
            <w:pPr>
              <w:spacing w:line="240" w:lineRule="auto"/>
              <w:ind w:left="0" w:right="0"/>
              <w:rPr>
                <w:sz w:val="22"/>
                <w:szCs w:val="20"/>
              </w:rPr>
            </w:pPr>
            <w:r w:rsidRPr="00D85090">
              <w:rPr>
                <w:sz w:val="22"/>
                <w:szCs w:val="20"/>
              </w:rPr>
              <w:t>-</w:t>
            </w:r>
          </w:p>
        </w:tc>
        <w:tc>
          <w:tcPr>
            <w:tcW w:w="4678" w:type="dxa"/>
            <w:tcBorders>
              <w:bottom w:val="single" w:sz="4" w:space="0" w:color="auto"/>
            </w:tcBorders>
            <w:shd w:val="clear" w:color="auto" w:fill="auto"/>
          </w:tcPr>
          <w:p w14:paraId="46A3B72E" w14:textId="77777777" w:rsidR="00D85090" w:rsidRPr="00D85090" w:rsidRDefault="00D85090" w:rsidP="00D85090">
            <w:pPr>
              <w:suppressAutoHyphens/>
              <w:spacing w:line="240" w:lineRule="auto"/>
              <w:ind w:left="0" w:right="0"/>
              <w:rPr>
                <w:sz w:val="22"/>
                <w:szCs w:val="20"/>
              </w:rPr>
            </w:pPr>
            <w:r w:rsidRPr="00D85090">
              <w:rPr>
                <w:sz w:val="22"/>
                <w:szCs w:val="20"/>
              </w:rPr>
              <w:t>Ca 200 ml snabbt iv, vid utebliven effekt ges ytterligare ca 500 ml eller mer enligt individuell ordination</w:t>
            </w:r>
          </w:p>
        </w:tc>
      </w:tr>
    </w:tbl>
    <w:p w14:paraId="3A6D2752" w14:textId="38C92959" w:rsidR="00D85090" w:rsidRPr="00D85090" w:rsidRDefault="00D85090" w:rsidP="001740D8">
      <w:pPr>
        <w:spacing w:before="320"/>
      </w:pPr>
      <w:r w:rsidRPr="00D85090">
        <w:t xml:space="preserve">Vid behov av ytterligare behandlingsförslag, se rutinen </w:t>
      </w:r>
      <w:bookmarkStart w:id="97" w:name="_Hlk50365081"/>
      <w:r w:rsidRPr="00DA5D11">
        <w:rPr>
          <w:rStyle w:val="Hyperlnk"/>
        </w:rPr>
        <w:fldChar w:fldCharType="begin"/>
      </w:r>
      <w:r w:rsidR="00F434A1">
        <w:rPr>
          <w:rStyle w:val="Hyperlnk"/>
        </w:rPr>
        <w:instrText>HYPERLINK "https://mellanarkiv-offentlig.vgregion.se/alfresco/s/archive/stream/public/v1/source/available/SOFIA/SAS9642-738863596-217/SURROGATE/Akut%20anafylaktisk%20reaktion%20hos%20vuxna%2c%20S%c3%84S.pdf"</w:instrText>
      </w:r>
      <w:r w:rsidR="00F434A1" w:rsidRPr="00DA5D11">
        <w:rPr>
          <w:rStyle w:val="Hyperlnk"/>
        </w:rPr>
      </w:r>
      <w:r w:rsidRPr="00DA5D11">
        <w:rPr>
          <w:rStyle w:val="Hyperlnk"/>
        </w:rPr>
        <w:fldChar w:fldCharType="separate"/>
      </w:r>
      <w:r w:rsidRPr="00DA5D11">
        <w:rPr>
          <w:rStyle w:val="Hyperlnk"/>
        </w:rPr>
        <w:t>Akut anafylaktisk reaktion hos vuxna, SÄS</w:t>
      </w:r>
      <w:r w:rsidRPr="00DA5D11">
        <w:rPr>
          <w:rStyle w:val="Hyperlnk"/>
        </w:rPr>
        <w:fldChar w:fldCharType="end"/>
      </w:r>
      <w:bookmarkEnd w:id="97"/>
      <w:r w:rsidRPr="00D85090">
        <w:t xml:space="preserve"> [</w:t>
      </w:r>
      <w:r w:rsidR="00847BB4">
        <w:t>5</w:t>
      </w:r>
      <w:r w:rsidRPr="00D85090">
        <w:t>].</w:t>
      </w:r>
    </w:p>
    <w:p w14:paraId="088A5227" w14:textId="77777777" w:rsidR="00D85090" w:rsidRPr="00D85090" w:rsidRDefault="00D85090" w:rsidP="009905D3">
      <w:pPr>
        <w:pStyle w:val="MellanrubrikVGR"/>
      </w:pPr>
      <w:bookmarkStart w:id="98" w:name="_Toc54100588"/>
      <w:bookmarkStart w:id="99" w:name="_Toc256000053"/>
      <w:bookmarkStart w:id="100" w:name="_Toc176451391"/>
      <w:r w:rsidRPr="00D85090">
        <w:t>Vid tecken till övervätskning</w:t>
      </w:r>
      <w:bookmarkEnd w:id="98"/>
      <w:bookmarkEnd w:id="99"/>
      <w:bookmarkEnd w:id="100"/>
    </w:p>
    <w:p w14:paraId="3D7E6215" w14:textId="20A7BF50" w:rsidR="00D85090" w:rsidRPr="00D85090" w:rsidRDefault="00D85090" w:rsidP="009905D3">
      <w:r w:rsidRPr="00D85090">
        <w:t xml:space="preserve">Vid symtom på övervätskning såsom tilltagande </w:t>
      </w:r>
      <w:proofErr w:type="spellStart"/>
      <w:r w:rsidRPr="00D85090">
        <w:t>dyspné</w:t>
      </w:r>
      <w:proofErr w:type="spellEnd"/>
      <w:r w:rsidRPr="00D85090">
        <w:t xml:space="preserve"> och/eller andra kliniska tecken på lungödem, stäng omedelbart av transfusionen/</w:t>
      </w:r>
      <w:r w:rsidR="00343C53">
        <w:t xml:space="preserve"> </w:t>
      </w:r>
      <w:r w:rsidRPr="00D85090">
        <w:t>infusionen.</w:t>
      </w:r>
    </w:p>
    <w:p w14:paraId="34859725" w14:textId="77777777" w:rsidR="00D85090" w:rsidRPr="00D85090" w:rsidRDefault="00D85090" w:rsidP="007D1B31">
      <w:pPr>
        <w:pStyle w:val="Underrubrik"/>
      </w:pPr>
      <w:bookmarkStart w:id="101" w:name="_Toc54100589"/>
      <w:bookmarkStart w:id="102" w:name="_Toc256000054"/>
      <w:r w:rsidRPr="00D85090">
        <w:t>Behandling</w:t>
      </w:r>
      <w:bookmarkEnd w:id="101"/>
      <w:bookmarkEnd w:id="102"/>
    </w:p>
    <w:tbl>
      <w:tblPr>
        <w:tblW w:w="0" w:type="auto"/>
        <w:tblInd w:w="9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Ordinationstabell vid övervätskning"/>
        <w:tblDescription w:val="Tabellen visar ordination av läkemedel, styrka samt dosering vid tecken till övervätskning."/>
      </w:tblPr>
      <w:tblGrid>
        <w:gridCol w:w="2110"/>
        <w:gridCol w:w="1276"/>
        <w:gridCol w:w="4296"/>
      </w:tblGrid>
      <w:tr w:rsidR="00D85090" w:rsidRPr="00D85090" w14:paraId="1FABCD3B" w14:textId="77777777" w:rsidTr="009905D3">
        <w:tc>
          <w:tcPr>
            <w:tcW w:w="2110" w:type="dxa"/>
            <w:shd w:val="clear" w:color="auto" w:fill="E7E6E6"/>
          </w:tcPr>
          <w:p w14:paraId="04044647" w14:textId="77777777" w:rsidR="00D85090" w:rsidRPr="00D85090" w:rsidRDefault="00D85090" w:rsidP="00D85090">
            <w:pPr>
              <w:spacing w:before="60" w:after="60" w:line="240" w:lineRule="auto"/>
              <w:ind w:left="0" w:right="0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D85090">
              <w:rPr>
                <w:rFonts w:ascii="Arial" w:hAnsi="Arial"/>
                <w:b/>
                <w:bCs/>
                <w:sz w:val="20"/>
                <w:szCs w:val="20"/>
              </w:rPr>
              <w:t>Läkemedel</w:t>
            </w:r>
          </w:p>
        </w:tc>
        <w:tc>
          <w:tcPr>
            <w:tcW w:w="1276" w:type="dxa"/>
            <w:shd w:val="clear" w:color="auto" w:fill="E7E6E6"/>
          </w:tcPr>
          <w:p w14:paraId="3308D17C" w14:textId="77777777" w:rsidR="00D85090" w:rsidRPr="00D85090" w:rsidRDefault="00D85090" w:rsidP="00D85090">
            <w:pPr>
              <w:spacing w:before="60" w:after="60" w:line="240" w:lineRule="auto"/>
              <w:ind w:left="0" w:right="0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D85090">
              <w:rPr>
                <w:rFonts w:ascii="Arial" w:hAnsi="Arial"/>
                <w:b/>
                <w:bCs/>
                <w:sz w:val="20"/>
                <w:szCs w:val="20"/>
              </w:rPr>
              <w:t>Styrka</w:t>
            </w:r>
          </w:p>
        </w:tc>
        <w:tc>
          <w:tcPr>
            <w:tcW w:w="4296" w:type="dxa"/>
            <w:shd w:val="clear" w:color="auto" w:fill="E7E6E6"/>
          </w:tcPr>
          <w:p w14:paraId="745944A8" w14:textId="77777777" w:rsidR="00D85090" w:rsidRPr="00D85090" w:rsidRDefault="00D85090" w:rsidP="00D85090">
            <w:pPr>
              <w:spacing w:before="60" w:after="60" w:line="240" w:lineRule="auto"/>
              <w:ind w:left="0" w:right="0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D85090">
              <w:rPr>
                <w:rFonts w:ascii="Arial" w:hAnsi="Arial"/>
                <w:b/>
                <w:bCs/>
                <w:sz w:val="20"/>
                <w:szCs w:val="20"/>
              </w:rPr>
              <w:t>Dosering</w:t>
            </w:r>
          </w:p>
        </w:tc>
      </w:tr>
      <w:tr w:rsidR="00D85090" w:rsidRPr="00D85090" w14:paraId="1F05B52A" w14:textId="77777777" w:rsidTr="009905D3">
        <w:tc>
          <w:tcPr>
            <w:tcW w:w="2110" w:type="dxa"/>
            <w:shd w:val="clear" w:color="auto" w:fill="auto"/>
          </w:tcPr>
          <w:p w14:paraId="1CED0F00" w14:textId="77777777" w:rsidR="00D85090" w:rsidRPr="00D85090" w:rsidRDefault="00D85090" w:rsidP="00D85090">
            <w:pPr>
              <w:spacing w:line="240" w:lineRule="auto"/>
              <w:ind w:left="0" w:right="0"/>
              <w:rPr>
                <w:sz w:val="22"/>
                <w:szCs w:val="20"/>
                <w:lang w:val="en-GB"/>
              </w:rPr>
            </w:pPr>
            <w:proofErr w:type="spellStart"/>
            <w:r w:rsidRPr="00D85090">
              <w:rPr>
                <w:sz w:val="22"/>
                <w:szCs w:val="20"/>
                <w:lang w:val="en-GB"/>
              </w:rPr>
              <w:t>Inj</w:t>
            </w:r>
            <w:proofErr w:type="spellEnd"/>
            <w:r w:rsidRPr="00D85090">
              <w:rPr>
                <w:sz w:val="22"/>
                <w:szCs w:val="20"/>
                <w:lang w:val="en-GB"/>
              </w:rPr>
              <w:t xml:space="preserve"> </w:t>
            </w:r>
            <w:proofErr w:type="spellStart"/>
            <w:r w:rsidRPr="00D85090">
              <w:rPr>
                <w:sz w:val="22"/>
                <w:szCs w:val="20"/>
                <w:lang w:val="en-GB"/>
              </w:rPr>
              <w:t>Furosemid</w:t>
            </w:r>
            <w:proofErr w:type="spellEnd"/>
            <w:r w:rsidRPr="00D85090">
              <w:rPr>
                <w:sz w:val="22"/>
                <w:szCs w:val="20"/>
                <w:lang w:val="en-GB"/>
              </w:rPr>
              <w:t xml:space="preserve"> (</w:t>
            </w:r>
            <w:proofErr w:type="spellStart"/>
            <w:r w:rsidRPr="00D85090">
              <w:rPr>
                <w:sz w:val="22"/>
                <w:szCs w:val="20"/>
                <w:lang w:val="en-GB"/>
              </w:rPr>
              <w:t>t.ex</w:t>
            </w:r>
            <w:proofErr w:type="spellEnd"/>
            <w:r w:rsidRPr="00D85090">
              <w:rPr>
                <w:sz w:val="22"/>
                <w:szCs w:val="20"/>
                <w:lang w:val="en-GB"/>
              </w:rPr>
              <w:t xml:space="preserve">. </w:t>
            </w:r>
            <w:proofErr w:type="spellStart"/>
            <w:r w:rsidRPr="00D85090">
              <w:rPr>
                <w:sz w:val="22"/>
                <w:szCs w:val="20"/>
                <w:lang w:val="en-GB"/>
              </w:rPr>
              <w:t>Furosemid</w:t>
            </w:r>
            <w:proofErr w:type="spellEnd"/>
            <w:r w:rsidRPr="00D85090">
              <w:rPr>
                <w:sz w:val="22"/>
                <w:szCs w:val="20"/>
                <w:lang w:val="en-GB"/>
              </w:rPr>
              <w:t>)</w:t>
            </w:r>
          </w:p>
        </w:tc>
        <w:tc>
          <w:tcPr>
            <w:tcW w:w="1276" w:type="dxa"/>
            <w:shd w:val="clear" w:color="auto" w:fill="auto"/>
          </w:tcPr>
          <w:p w14:paraId="4D65402D" w14:textId="77777777" w:rsidR="00D85090" w:rsidRPr="00D85090" w:rsidRDefault="00D85090" w:rsidP="00D85090">
            <w:pPr>
              <w:spacing w:line="240" w:lineRule="auto"/>
              <w:ind w:left="0" w:right="0"/>
              <w:rPr>
                <w:sz w:val="22"/>
                <w:szCs w:val="20"/>
              </w:rPr>
            </w:pPr>
            <w:r w:rsidRPr="00D85090">
              <w:rPr>
                <w:sz w:val="22"/>
                <w:szCs w:val="20"/>
              </w:rPr>
              <w:t>10 mg/ml</w:t>
            </w:r>
          </w:p>
        </w:tc>
        <w:tc>
          <w:tcPr>
            <w:tcW w:w="4296" w:type="dxa"/>
            <w:shd w:val="clear" w:color="auto" w:fill="auto"/>
          </w:tcPr>
          <w:p w14:paraId="405BDBA2" w14:textId="77777777" w:rsidR="00D85090" w:rsidRPr="00D85090" w:rsidRDefault="00D85090" w:rsidP="00D85090">
            <w:pPr>
              <w:spacing w:line="240" w:lineRule="auto"/>
              <w:ind w:left="0" w:right="0"/>
              <w:rPr>
                <w:sz w:val="22"/>
                <w:szCs w:val="20"/>
              </w:rPr>
            </w:pPr>
            <w:r w:rsidRPr="00D85090">
              <w:rPr>
                <w:sz w:val="22"/>
                <w:szCs w:val="20"/>
              </w:rPr>
              <w:t>4 ml långsamt iv eller se eventuell individuell vid behovs-ordination enligt läkemedelslista</w:t>
            </w:r>
          </w:p>
        </w:tc>
      </w:tr>
    </w:tbl>
    <w:p w14:paraId="3903C188" w14:textId="77777777" w:rsidR="00D85090" w:rsidRPr="00D85090" w:rsidRDefault="00D85090" w:rsidP="007D1B31">
      <w:pPr>
        <w:pStyle w:val="MellanrubrikVGR"/>
      </w:pPr>
      <w:bookmarkStart w:id="103" w:name="_Toc54100590"/>
      <w:bookmarkStart w:id="104" w:name="_Toc256000055"/>
      <w:bookmarkStart w:id="105" w:name="_Toc176451392"/>
      <w:r w:rsidRPr="00D85090">
        <w:t>Fortsatt handläggning av akut transfusionsreaktion</w:t>
      </w:r>
      <w:bookmarkEnd w:id="103"/>
      <w:bookmarkEnd w:id="104"/>
      <w:bookmarkEnd w:id="105"/>
    </w:p>
    <w:p w14:paraId="4EE2EDFB" w14:textId="4D3E170F" w:rsidR="00D85090" w:rsidRPr="00343C53" w:rsidRDefault="69EB3681" w:rsidP="09C02044">
      <w:pPr>
        <w:rPr>
          <w:highlight w:val="yellow"/>
        </w:rPr>
      </w:pPr>
      <w:r>
        <w:t xml:space="preserve">Kontakta ansvarig alternativt jourhavande läkare för bedömning av fortsatt behandling. Vid svår reaktion eller utebliven förbättring, larma efter hjälp via </w:t>
      </w:r>
      <w:r w:rsidRPr="197DE7A6">
        <w:rPr>
          <w:b/>
          <w:bCs/>
        </w:rPr>
        <w:t>112</w:t>
      </w:r>
      <w:r w:rsidR="671DE4B7" w:rsidRPr="197DE7A6">
        <w:rPr>
          <w:b/>
          <w:bCs/>
        </w:rPr>
        <w:t>.</w:t>
      </w:r>
      <w:r>
        <w:t xml:space="preserve"> </w:t>
      </w:r>
    </w:p>
    <w:p w14:paraId="42B65406" w14:textId="608440CA" w:rsidR="00D85090" w:rsidRPr="00343C53" w:rsidRDefault="14ABB8B0" w:rsidP="007D1B31">
      <w:r>
        <w:t>Vid akut transfusionsreaktion sparas kvarvarande blodprodukter och aggregat och lämnas till blodcentralen tillsammans med rapport om det inträffade, se även SOSFS 2009:29 [1].</w:t>
      </w:r>
      <w:r w:rsidR="03BB2A28">
        <w:t xml:space="preserve"> För rapportblad till Blodcentralen Borås/Skene</w:t>
      </w:r>
      <w:r w:rsidR="7E754DAB">
        <w:t>/Alingsås</w:t>
      </w:r>
      <w:r w:rsidR="03BB2A28">
        <w:t xml:space="preserve"> - </w:t>
      </w:r>
      <w:r w:rsidR="4D796327">
        <w:t>s</w:t>
      </w:r>
      <w:r w:rsidR="03BB2A28">
        <w:t xml:space="preserve">e </w:t>
      </w:r>
      <w:hyperlink r:id="rId20">
        <w:r w:rsidR="1B46423E" w:rsidRPr="09C02044">
          <w:rPr>
            <w:rStyle w:val="Hyperlnk"/>
          </w:rPr>
          <w:t>Rappor</w:t>
        </w:r>
        <w:r w:rsidR="1B46423E" w:rsidRPr="09C02044">
          <w:rPr>
            <w:rStyle w:val="Hyperlnk"/>
          </w:rPr>
          <w:t>t</w:t>
        </w:r>
        <w:r w:rsidR="1B46423E" w:rsidRPr="09C02044">
          <w:rPr>
            <w:rStyle w:val="Hyperlnk"/>
          </w:rPr>
          <w:t xml:space="preserve"> vid Transfusionskomplikation, TM</w:t>
        </w:r>
      </w:hyperlink>
      <w:r w:rsidR="42764DFD" w:rsidRPr="09C02044">
        <w:rPr>
          <w:rStyle w:val="Hyperlnk"/>
          <w:u w:val="none"/>
        </w:rPr>
        <w:t xml:space="preserve"> </w:t>
      </w:r>
      <w:r w:rsidR="42764DFD" w:rsidRPr="09C02044">
        <w:rPr>
          <w:rStyle w:val="Hyperlnk"/>
          <w:color w:val="auto"/>
          <w:u w:val="none"/>
        </w:rPr>
        <w:t>[3].</w:t>
      </w:r>
    </w:p>
    <w:p w14:paraId="13179D8F" w14:textId="13939AD6" w:rsidR="730072C7" w:rsidRPr="00343C53" w:rsidRDefault="730072C7" w:rsidP="007D1B31">
      <w:r w:rsidRPr="00343C53">
        <w:t>Provtagning: 1 Rör EDTA</w:t>
      </w:r>
      <w:r w:rsidR="291A370B" w:rsidRPr="00343C53">
        <w:t xml:space="preserve"> (lila rör</w:t>
      </w:r>
      <w:proofErr w:type="gramStart"/>
      <w:r w:rsidR="291A370B" w:rsidRPr="00343C53">
        <w:t xml:space="preserve">) </w:t>
      </w:r>
      <w:r w:rsidRPr="00343C53">
        <w:t>,</w:t>
      </w:r>
      <w:proofErr w:type="gramEnd"/>
      <w:r w:rsidRPr="00343C53">
        <w:t xml:space="preserve"> 7/6,0 </w:t>
      </w:r>
      <w:proofErr w:type="spellStart"/>
      <w:r w:rsidRPr="00343C53">
        <w:t>mL</w:t>
      </w:r>
      <w:proofErr w:type="spellEnd"/>
      <w:r w:rsidR="3326F95D" w:rsidRPr="00343C53">
        <w:t xml:space="preserve"> (</w:t>
      </w:r>
      <w:r w:rsidR="5B81B58A" w:rsidRPr="00343C53">
        <w:t xml:space="preserve">ett </w:t>
      </w:r>
      <w:r w:rsidR="3326F95D" w:rsidRPr="00343C53">
        <w:t>långt rör alternativt 2</w:t>
      </w:r>
      <w:r w:rsidR="00343C53" w:rsidRPr="00343C53">
        <w:t> </w:t>
      </w:r>
      <w:r w:rsidR="3326F95D" w:rsidRPr="00343C53">
        <w:t>korta).</w:t>
      </w:r>
    </w:p>
    <w:p w14:paraId="431CAC0A" w14:textId="77777777" w:rsidR="00D85090" w:rsidRPr="00A56548" w:rsidRDefault="00D85090" w:rsidP="002D3B21">
      <w:pPr>
        <w:pStyle w:val="Rubrik2"/>
      </w:pPr>
      <w:bookmarkStart w:id="106" w:name="_Toc182366122"/>
      <w:bookmarkStart w:id="107" w:name="_Toc314219124"/>
      <w:bookmarkStart w:id="108" w:name="_Toc256000004"/>
      <w:bookmarkStart w:id="109" w:name="_Toc256000009"/>
      <w:bookmarkStart w:id="110" w:name="_Toc526869237"/>
      <w:bookmarkStart w:id="111" w:name="_Toc256000025"/>
      <w:bookmarkStart w:id="112" w:name="_Toc256000044"/>
      <w:bookmarkStart w:id="113" w:name="_Toc54100591"/>
      <w:bookmarkStart w:id="114" w:name="_Toc256000056"/>
      <w:bookmarkStart w:id="115" w:name="_Toc176451393"/>
      <w:r w:rsidRPr="00343C53">
        <w:t>Dokumentinformation</w:t>
      </w:r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</w:p>
    <w:p w14:paraId="3E00CBCE" w14:textId="77777777" w:rsidR="00D85090" w:rsidRPr="00A56548" w:rsidRDefault="00D85090" w:rsidP="002D3B21">
      <w:pPr>
        <w:keepNext/>
        <w:keepLines/>
        <w:spacing w:after="0"/>
        <w:rPr>
          <w:b/>
          <w:bCs/>
        </w:rPr>
      </w:pPr>
      <w:r w:rsidRPr="00A56548">
        <w:rPr>
          <w:b/>
          <w:bCs/>
        </w:rPr>
        <w:t>För innehållet svarar</w:t>
      </w:r>
    </w:p>
    <w:p w14:paraId="3F978550" w14:textId="77777777" w:rsidR="00D85090" w:rsidRPr="00A56548" w:rsidRDefault="00D85090" w:rsidP="00D428DC">
      <w:pPr>
        <w:pStyle w:val="Punktlista"/>
      </w:pPr>
      <w:r w:rsidRPr="00A56548">
        <w:t>Cecilia Johansson, sjuksköterska, närsjukvårdsteamet, SÄS</w:t>
      </w:r>
    </w:p>
    <w:p w14:paraId="32E221FC" w14:textId="22F18D96" w:rsidR="00D85090" w:rsidRPr="00A56548" w:rsidRDefault="00D85090" w:rsidP="00D428DC">
      <w:pPr>
        <w:pStyle w:val="Punktlista"/>
      </w:pPr>
      <w:r w:rsidRPr="00A56548">
        <w:t>Anna</w:t>
      </w:r>
      <w:r w:rsidR="628E81BF" w:rsidRPr="00A56548">
        <w:t xml:space="preserve">-Karin </w:t>
      </w:r>
      <w:proofErr w:type="spellStart"/>
      <w:r w:rsidR="628E81BF" w:rsidRPr="00A56548">
        <w:t>Storhaug</w:t>
      </w:r>
      <w:proofErr w:type="spellEnd"/>
      <w:r w:rsidRPr="00A56548">
        <w:t xml:space="preserve">, överläkare, </w:t>
      </w:r>
      <w:r w:rsidR="02BC2E02" w:rsidRPr="00A56548">
        <w:t>palliativt team</w:t>
      </w:r>
      <w:r w:rsidRPr="00A56548">
        <w:t>, SÄS</w:t>
      </w:r>
    </w:p>
    <w:p w14:paraId="283E84CF" w14:textId="3E330905" w:rsidR="00D85090" w:rsidRPr="00A56548" w:rsidRDefault="1163C603" w:rsidP="00D428DC">
      <w:pPr>
        <w:pStyle w:val="Punktlista"/>
      </w:pPr>
      <w:r w:rsidRPr="00A56548">
        <w:t>Carina Nyström</w:t>
      </w:r>
      <w:r w:rsidR="00D85090" w:rsidRPr="00A56548">
        <w:t>, sjuksköterska, palliativt team, SÄS</w:t>
      </w:r>
    </w:p>
    <w:p w14:paraId="369CBB18" w14:textId="1F8F550C" w:rsidR="00D85090" w:rsidRPr="00A56548" w:rsidRDefault="00D85090" w:rsidP="002D3B21">
      <w:pPr>
        <w:keepNext/>
        <w:keepLines/>
        <w:spacing w:after="0"/>
        <w:rPr>
          <w:b/>
          <w:bCs/>
        </w:rPr>
      </w:pPr>
      <w:bookmarkStart w:id="116" w:name="_Toc149035757"/>
      <w:bookmarkStart w:id="117" w:name="_Toc149978547"/>
      <w:r w:rsidRPr="00A56548">
        <w:rPr>
          <w:b/>
          <w:bCs/>
        </w:rPr>
        <w:t>Remissinstanser</w:t>
      </w:r>
      <w:bookmarkEnd w:id="116"/>
      <w:bookmarkEnd w:id="117"/>
      <w:r w:rsidR="00D428DC">
        <w:rPr>
          <w:b/>
          <w:bCs/>
        </w:rPr>
        <w:t>, utgåva 1</w:t>
      </w:r>
    </w:p>
    <w:p w14:paraId="35C25D24" w14:textId="77777777" w:rsidR="00D85090" w:rsidRPr="00A56548" w:rsidRDefault="00D85090" w:rsidP="002D3B21">
      <w:pPr>
        <w:keepNext/>
        <w:keepLines/>
        <w:rPr>
          <w:szCs w:val="20"/>
        </w:rPr>
      </w:pPr>
      <w:r w:rsidRPr="00A56548">
        <w:rPr>
          <w:szCs w:val="20"/>
        </w:rPr>
        <w:t>Maria Hermansson, enhetschef, transfusionsmedicin, SÄS</w:t>
      </w:r>
      <w:r w:rsidRPr="00A56548">
        <w:rPr>
          <w:szCs w:val="20"/>
        </w:rPr>
        <w:br/>
        <w:t>Verksamhetschefer, SÄS</w:t>
      </w:r>
    </w:p>
    <w:p w14:paraId="7C7BEFB6" w14:textId="77777777" w:rsidR="00D85090" w:rsidRPr="007D1B31" w:rsidRDefault="00D85090" w:rsidP="002D3B21">
      <w:pPr>
        <w:keepNext/>
        <w:keepLines/>
        <w:spacing w:after="0"/>
        <w:rPr>
          <w:b/>
          <w:bCs/>
        </w:rPr>
      </w:pPr>
      <w:r w:rsidRPr="00A56548">
        <w:rPr>
          <w:b/>
          <w:bCs/>
        </w:rPr>
        <w:t>Fastställt</w:t>
      </w:r>
      <w:r w:rsidRPr="007D1B31">
        <w:rPr>
          <w:b/>
          <w:bCs/>
        </w:rPr>
        <w:t xml:space="preserve"> av</w:t>
      </w:r>
    </w:p>
    <w:p w14:paraId="39A81DD1" w14:textId="5DF3750A" w:rsidR="00D85090" w:rsidRPr="00D85090" w:rsidRDefault="00D428DC" w:rsidP="002D3B21">
      <w:pPr>
        <w:keepNext/>
        <w:keepLines/>
        <w:rPr>
          <w:szCs w:val="20"/>
        </w:rPr>
      </w:pPr>
      <w:r>
        <w:rPr>
          <w:szCs w:val="20"/>
        </w:rPr>
        <w:t>Jerker Nilson</w:t>
      </w:r>
      <w:r w:rsidR="00D85090" w:rsidRPr="00D85090">
        <w:rPr>
          <w:szCs w:val="20"/>
        </w:rPr>
        <w:t>, chefläkare, SÄS</w:t>
      </w:r>
    </w:p>
    <w:p w14:paraId="018CA8C8" w14:textId="77777777" w:rsidR="00D85090" w:rsidRPr="007D1B31" w:rsidRDefault="00D85090" w:rsidP="002D3B21">
      <w:pPr>
        <w:keepNext/>
        <w:keepLines/>
        <w:spacing w:after="0"/>
        <w:rPr>
          <w:b/>
          <w:bCs/>
        </w:rPr>
      </w:pPr>
      <w:r w:rsidRPr="007D1B31">
        <w:rPr>
          <w:b/>
          <w:bCs/>
        </w:rPr>
        <w:t>Nyckelord</w:t>
      </w:r>
    </w:p>
    <w:p w14:paraId="34FD0043" w14:textId="272ACE28" w:rsidR="00D85090" w:rsidRPr="00D85090" w:rsidRDefault="00D85090" w:rsidP="002D3B21">
      <w:pPr>
        <w:keepNext/>
        <w:keepLines/>
        <w:rPr>
          <w:szCs w:val="20"/>
        </w:rPr>
      </w:pPr>
      <w:r w:rsidRPr="00D85090">
        <w:rPr>
          <w:szCs w:val="20"/>
        </w:rPr>
        <w:t>Blodtransfusioner, transfusioner, blod, blodkomponenter</w:t>
      </w:r>
    </w:p>
    <w:p w14:paraId="68FFCE7C" w14:textId="77777777" w:rsidR="00D85090" w:rsidRPr="00D85090" w:rsidRDefault="00D85090" w:rsidP="007D1B31">
      <w:pPr>
        <w:pStyle w:val="Rubrik2"/>
      </w:pPr>
      <w:bookmarkStart w:id="118" w:name="_Toc526869238"/>
      <w:bookmarkStart w:id="119" w:name="_Toc256000026"/>
      <w:bookmarkStart w:id="120" w:name="_Toc256000045"/>
      <w:bookmarkStart w:id="121" w:name="_Toc54100592"/>
      <w:bookmarkStart w:id="122" w:name="_Toc256000057"/>
      <w:bookmarkStart w:id="123" w:name="_Toc176451394"/>
      <w:r w:rsidRPr="00D85090">
        <w:t>Referens- och länkförteckning</w:t>
      </w:r>
      <w:bookmarkEnd w:id="118"/>
      <w:bookmarkEnd w:id="119"/>
      <w:bookmarkEnd w:id="120"/>
      <w:bookmarkEnd w:id="121"/>
      <w:bookmarkEnd w:id="122"/>
      <w:bookmarkEnd w:id="123"/>
    </w:p>
    <w:p w14:paraId="43E4BA9A" w14:textId="3E58B076" w:rsidR="002D1E13" w:rsidRDefault="00D85090" w:rsidP="007D1B31">
      <w:pPr>
        <w:pStyle w:val="Punktlistanumrerad"/>
      </w:pPr>
      <w:r w:rsidRPr="002D1E13">
        <w:t>Socialstyrelsens föreskrifter (SOSFS 2009:29) om transfusion av blodkomponenter. Socialstyrelsens författningssamling</w:t>
      </w:r>
      <w:r w:rsidR="002D1E13">
        <w:t xml:space="preserve"> inkl</w:t>
      </w:r>
      <w:r w:rsidRPr="002D1E13">
        <w:t>.</w:t>
      </w:r>
      <w:r w:rsidRPr="002D1E13">
        <w:br/>
      </w:r>
      <w:r w:rsidR="6040F3DB" w:rsidRPr="002D1E13">
        <w:t xml:space="preserve">Senaste version </w:t>
      </w:r>
      <w:r w:rsidR="002D1E13" w:rsidRPr="002D1E13">
        <w:t>(HSLF-FS 2018:17). S</w:t>
      </w:r>
      <w:r w:rsidR="6040F3DB" w:rsidRPr="002D1E13">
        <w:t>ocialstyrelsen</w:t>
      </w:r>
      <w:r w:rsidR="002D1E13">
        <w:rPr>
          <w:rStyle w:val="Hyperlnk"/>
        </w:rPr>
        <w:br/>
      </w:r>
      <w:hyperlink r:id="rId21" w:history="1">
        <w:r w:rsidR="00ED18C0" w:rsidRPr="00BD3279">
          <w:rPr>
            <w:rStyle w:val="Hyperlnk"/>
          </w:rPr>
          <w:t>www.socialstyrelsen.se/kunskapsstod-och-regler/regler-och-riktlinjer/foreskrifter-och-allmanna-rad/konsoliderade-foreskrifter/200929-om-transfusion-av-blodkomponenter</w:t>
        </w:r>
      </w:hyperlink>
    </w:p>
    <w:p w14:paraId="21E5EBAF" w14:textId="77777777" w:rsidR="00D85090" w:rsidRPr="00D85090" w:rsidRDefault="00D85090" w:rsidP="007D1B31">
      <w:pPr>
        <w:pStyle w:val="Punktlistanumrerad"/>
        <w:rPr>
          <w:szCs w:val="20"/>
        </w:rPr>
      </w:pPr>
      <w:r>
        <w:t>Vårdhandboken, avsnitt Transfusion av blodkomponenter</w:t>
      </w:r>
      <w:r>
        <w:br/>
      </w:r>
      <w:hyperlink r:id="rId22">
        <w:r w:rsidRPr="00034B7F">
          <w:rPr>
            <w:rStyle w:val="Hyperlnk"/>
          </w:rPr>
          <w:t>www.vardhandboken.se/Texter/Transfusion-av-blodkomponenter/Oversikt</w:t>
        </w:r>
      </w:hyperlink>
    </w:p>
    <w:p w14:paraId="49F1B62A" w14:textId="4A8FD1DE" w:rsidR="00A33231" w:rsidRDefault="00847BB4" w:rsidP="007D1B31">
      <w:pPr>
        <w:pStyle w:val="Punktlistanumrerad"/>
        <w:rPr>
          <w:szCs w:val="20"/>
        </w:rPr>
      </w:pPr>
      <w:r w:rsidRPr="00847BB4">
        <w:rPr>
          <w:szCs w:val="20"/>
        </w:rPr>
        <w:t>Rapport vid Transfusionskomplikation, TM</w:t>
      </w:r>
      <w:r>
        <w:rPr>
          <w:szCs w:val="20"/>
        </w:rPr>
        <w:t>. Laboratoriemedicin</w:t>
      </w:r>
      <w:r>
        <w:rPr>
          <w:szCs w:val="20"/>
        </w:rPr>
        <w:br/>
      </w:r>
      <w:hyperlink r:id="rId23" w:history="1">
        <w:r w:rsidRPr="00623A5D">
          <w:rPr>
            <w:rStyle w:val="Hyperlnk"/>
            <w:szCs w:val="20"/>
          </w:rPr>
          <w:t>https://mellanarkiv-offentlig.vgregion.se/alfresco/s/archive/stream/public/v1/source/avail</w:t>
        </w:r>
        <w:r w:rsidRPr="00623A5D">
          <w:rPr>
            <w:rStyle w:val="Hyperlnk"/>
            <w:szCs w:val="20"/>
          </w:rPr>
          <w:lastRenderedPageBreak/>
          <w:t>able/sofia/sas434-1625771523-90/surrogate/Rapport%20vid%20Transfusionskomplikation%2c%20TM.pdf</w:t>
        </w:r>
      </w:hyperlink>
    </w:p>
    <w:p w14:paraId="0C8F5DBD" w14:textId="462664B1" w:rsidR="00D85090" w:rsidRPr="00D85090" w:rsidRDefault="00D85090" w:rsidP="007D1B31">
      <w:pPr>
        <w:pStyle w:val="Punktlistanumrerad"/>
        <w:rPr>
          <w:szCs w:val="20"/>
        </w:rPr>
      </w:pPr>
      <w:r>
        <w:t>Central venös infart (CVI) - inläggning och skötsel vid SÄS. Sjukhusövergripande riktlinje, SÄS</w:t>
      </w:r>
      <w:r>
        <w:br/>
      </w:r>
      <w:hyperlink r:id="rId24">
        <w:r w:rsidRPr="00034B7F">
          <w:rPr>
            <w:rStyle w:val="Hyperlnk"/>
          </w:rPr>
          <w:t>http://hittadokument.vgregion.se/sas</w:t>
        </w:r>
      </w:hyperlink>
    </w:p>
    <w:p w14:paraId="730BC1DF" w14:textId="57229568" w:rsidR="00D85090" w:rsidRPr="00D85090" w:rsidRDefault="00D85090" w:rsidP="007D1B31">
      <w:pPr>
        <w:pStyle w:val="Punktlistanumrerad"/>
        <w:rPr>
          <w:szCs w:val="20"/>
        </w:rPr>
      </w:pPr>
      <w:r>
        <w:t>Akut anafylaktisk reaktion hos vuxna, SÄS. Sjukhusövergripande rutin, SÄS</w:t>
      </w:r>
      <w:r>
        <w:br/>
      </w:r>
      <w:hyperlink r:id="rId25">
        <w:r w:rsidRPr="00A56548">
          <w:rPr>
            <w:rStyle w:val="Hyperlnk"/>
          </w:rPr>
          <w:t>http://hittadokument.vgregion.se/sas</w:t>
        </w:r>
      </w:hyperlink>
    </w:p>
    <w:bookmarkEnd w:id="0"/>
    <w:sectPr w:rsidR="00D85090" w:rsidRPr="00D85090" w:rsidSect="00D8509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194870050" name="Bildobjekt 119487005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548816519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8"/>
    <w:multiLevelType w:val="singleLevel"/>
    <w:tmpl w:val="BAE8CAA6"/>
    <w:lvl w:ilvl="0">
      <w:start w:val="1"/>
      <w:numFmt w:val="decimal"/>
      <w:pStyle w:val="a"/>
      <w:lvlText w:val="%1."/>
      <w:lvlJc w:val="left"/>
      <w:pPr>
        <w:tabs>
          <w:tab w:val="num" w:pos="3036"/>
        </w:tabs>
        <w:ind w:left="3036" w:hanging="360"/>
      </w:pPr>
      <w:rPr>
        <w:rFonts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82FE51"/>
    <w:multiLevelType w:val="hybridMultilevel"/>
    <w:tmpl w:val="0FFECFA2"/>
    <w:lvl w:ilvl="0" w:tplc="4B20A3B6">
      <w:start w:val="1"/>
      <w:numFmt w:val="decimal"/>
      <w:pStyle w:val="Punktlistanumrerad"/>
      <w:lvlText w:val="%1."/>
      <w:lvlJc w:val="left"/>
      <w:pPr>
        <w:ind w:left="1352" w:hanging="360"/>
      </w:pPr>
    </w:lvl>
    <w:lvl w:ilvl="1" w:tplc="0100A40A">
      <w:start w:val="1"/>
      <w:numFmt w:val="lowerLetter"/>
      <w:lvlText w:val="%2."/>
      <w:lvlJc w:val="left"/>
      <w:pPr>
        <w:ind w:left="1440" w:hanging="360"/>
      </w:pPr>
    </w:lvl>
    <w:lvl w:ilvl="2" w:tplc="9CAA986A">
      <w:start w:val="1"/>
      <w:numFmt w:val="lowerRoman"/>
      <w:lvlText w:val="%3."/>
      <w:lvlJc w:val="right"/>
      <w:pPr>
        <w:ind w:left="2160" w:hanging="180"/>
      </w:pPr>
    </w:lvl>
    <w:lvl w:ilvl="3" w:tplc="C226D484">
      <w:start w:val="1"/>
      <w:numFmt w:val="decimal"/>
      <w:lvlText w:val="%4."/>
      <w:lvlJc w:val="left"/>
      <w:pPr>
        <w:ind w:left="2880" w:hanging="360"/>
      </w:pPr>
    </w:lvl>
    <w:lvl w:ilvl="4" w:tplc="46B057DC">
      <w:start w:val="1"/>
      <w:numFmt w:val="lowerLetter"/>
      <w:lvlText w:val="%5."/>
      <w:lvlJc w:val="left"/>
      <w:pPr>
        <w:ind w:left="3600" w:hanging="360"/>
      </w:pPr>
    </w:lvl>
    <w:lvl w:ilvl="5" w:tplc="E484184C">
      <w:start w:val="1"/>
      <w:numFmt w:val="lowerRoman"/>
      <w:lvlText w:val="%6."/>
      <w:lvlJc w:val="right"/>
      <w:pPr>
        <w:ind w:left="4320" w:hanging="180"/>
      </w:pPr>
    </w:lvl>
    <w:lvl w:ilvl="6" w:tplc="7876D86C">
      <w:start w:val="1"/>
      <w:numFmt w:val="decimal"/>
      <w:lvlText w:val="%7."/>
      <w:lvlJc w:val="left"/>
      <w:pPr>
        <w:ind w:left="5040" w:hanging="360"/>
      </w:pPr>
    </w:lvl>
    <w:lvl w:ilvl="7" w:tplc="59849B68">
      <w:start w:val="1"/>
      <w:numFmt w:val="lowerLetter"/>
      <w:lvlText w:val="%8."/>
      <w:lvlJc w:val="left"/>
      <w:pPr>
        <w:ind w:left="5760" w:hanging="360"/>
      </w:pPr>
    </w:lvl>
    <w:lvl w:ilvl="8" w:tplc="6AAA61D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CC60560"/>
    <w:multiLevelType w:val="multilevel"/>
    <w:tmpl w:val="D5FA653E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2214CCC"/>
    <w:multiLevelType w:val="hybridMultilevel"/>
    <w:tmpl w:val="E034CFFC"/>
    <w:lvl w:ilvl="0" w:tplc="8454EAD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1FE978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482B73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9E8EF14">
      <w:start w:val="1"/>
      <w:numFmt w:val="bullet"/>
      <w:lvlText w:val="-"/>
      <w:lvlJc w:val="left"/>
      <w:pPr>
        <w:ind w:left="2880" w:hanging="360"/>
      </w:pPr>
      <w:rPr>
        <w:rFonts w:ascii="Calibri" w:hAnsi="Calibri" w:hint="default"/>
      </w:rPr>
    </w:lvl>
    <w:lvl w:ilvl="4" w:tplc="9826902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0B447D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4FEE35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42AC72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A2A124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5317D2"/>
    <w:multiLevelType w:val="hybridMultilevel"/>
    <w:tmpl w:val="FAE4A6C8"/>
    <w:lvl w:ilvl="0" w:tplc="9F306930">
      <w:start w:val="1"/>
      <w:numFmt w:val="bullet"/>
      <w:pStyle w:val="Punktlista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22491807">
    <w:abstractNumId w:val="11"/>
  </w:num>
  <w:num w:numId="2" w16cid:durableId="637760016">
    <w:abstractNumId w:val="4"/>
  </w:num>
  <w:num w:numId="3" w16cid:durableId="998115301">
    <w:abstractNumId w:val="1"/>
  </w:num>
  <w:num w:numId="4" w16cid:durableId="391805869">
    <w:abstractNumId w:val="8"/>
  </w:num>
  <w:num w:numId="5" w16cid:durableId="148265106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887853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22683809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453984024">
    <w:abstractNumId w:val="19"/>
  </w:num>
  <w:num w:numId="9" w16cid:durableId="716975460">
    <w:abstractNumId w:val="3"/>
  </w:num>
  <w:num w:numId="10" w16cid:durableId="26727938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4B7F"/>
    <w:rsid w:val="00036447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6B26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40D8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66A5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1E13"/>
    <w:rsid w:val="002D3B21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3998"/>
    <w:rsid w:val="00337F99"/>
    <w:rsid w:val="0034307B"/>
    <w:rsid w:val="00343C53"/>
    <w:rsid w:val="00345EB1"/>
    <w:rsid w:val="00350CC4"/>
    <w:rsid w:val="003544C2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08B4"/>
    <w:rsid w:val="003D099E"/>
    <w:rsid w:val="003D21A2"/>
    <w:rsid w:val="003D29D2"/>
    <w:rsid w:val="003D6B96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1299"/>
    <w:rsid w:val="00443C1E"/>
    <w:rsid w:val="00446255"/>
    <w:rsid w:val="00451935"/>
    <w:rsid w:val="00460ED0"/>
    <w:rsid w:val="00465651"/>
    <w:rsid w:val="00470CE7"/>
    <w:rsid w:val="00470F4F"/>
    <w:rsid w:val="00472482"/>
    <w:rsid w:val="004775DB"/>
    <w:rsid w:val="00480DC7"/>
    <w:rsid w:val="004876F6"/>
    <w:rsid w:val="0049236A"/>
    <w:rsid w:val="00492718"/>
    <w:rsid w:val="004A355D"/>
    <w:rsid w:val="004A4970"/>
    <w:rsid w:val="004B2183"/>
    <w:rsid w:val="004B2A01"/>
    <w:rsid w:val="004B7AAC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76FA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252E"/>
    <w:rsid w:val="007A35D8"/>
    <w:rsid w:val="007A5C6F"/>
    <w:rsid w:val="007B0DBA"/>
    <w:rsid w:val="007CCD83"/>
    <w:rsid w:val="007D1B31"/>
    <w:rsid w:val="007D4241"/>
    <w:rsid w:val="007D4317"/>
    <w:rsid w:val="007D4EA3"/>
    <w:rsid w:val="007F1CFF"/>
    <w:rsid w:val="007F5DD5"/>
    <w:rsid w:val="00814BB9"/>
    <w:rsid w:val="00821A1B"/>
    <w:rsid w:val="008262E9"/>
    <w:rsid w:val="00827E69"/>
    <w:rsid w:val="00835C4D"/>
    <w:rsid w:val="00843F48"/>
    <w:rsid w:val="00847BB4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21AA"/>
    <w:rsid w:val="008C4B27"/>
    <w:rsid w:val="008C7F2A"/>
    <w:rsid w:val="008E36F8"/>
    <w:rsid w:val="008E46B2"/>
    <w:rsid w:val="008E682C"/>
    <w:rsid w:val="008E78A1"/>
    <w:rsid w:val="008F589F"/>
    <w:rsid w:val="00900644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05D3"/>
    <w:rsid w:val="009A371B"/>
    <w:rsid w:val="009A653A"/>
    <w:rsid w:val="009B1F6B"/>
    <w:rsid w:val="009C0D12"/>
    <w:rsid w:val="009C192E"/>
    <w:rsid w:val="009D6819"/>
    <w:rsid w:val="009D6D1C"/>
    <w:rsid w:val="009E0CF9"/>
    <w:rsid w:val="009E531B"/>
    <w:rsid w:val="009E5A78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3231"/>
    <w:rsid w:val="00A407AD"/>
    <w:rsid w:val="00A40923"/>
    <w:rsid w:val="00A41C05"/>
    <w:rsid w:val="00A42426"/>
    <w:rsid w:val="00A514B7"/>
    <w:rsid w:val="00A524C3"/>
    <w:rsid w:val="00A54A0B"/>
    <w:rsid w:val="00A56548"/>
    <w:rsid w:val="00A62281"/>
    <w:rsid w:val="00A65FD4"/>
    <w:rsid w:val="00A81198"/>
    <w:rsid w:val="00A81E48"/>
    <w:rsid w:val="00A82035"/>
    <w:rsid w:val="00A9043A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358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746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3CD9"/>
    <w:rsid w:val="00C85DA1"/>
    <w:rsid w:val="00C9071C"/>
    <w:rsid w:val="00C908FF"/>
    <w:rsid w:val="00C97BD3"/>
    <w:rsid w:val="00CA39EF"/>
    <w:rsid w:val="00CA521F"/>
    <w:rsid w:val="00CB0493"/>
    <w:rsid w:val="00CB0CEA"/>
    <w:rsid w:val="00CB17FF"/>
    <w:rsid w:val="00CB1ED7"/>
    <w:rsid w:val="00CB3D72"/>
    <w:rsid w:val="00CC0C6A"/>
    <w:rsid w:val="00CC167C"/>
    <w:rsid w:val="00CC52D9"/>
    <w:rsid w:val="00CD6647"/>
    <w:rsid w:val="00CE4B73"/>
    <w:rsid w:val="00CF70BB"/>
    <w:rsid w:val="00D074DB"/>
    <w:rsid w:val="00D139CF"/>
    <w:rsid w:val="00D37E7F"/>
    <w:rsid w:val="00D428DC"/>
    <w:rsid w:val="00D47AD7"/>
    <w:rsid w:val="00D51529"/>
    <w:rsid w:val="00D85090"/>
    <w:rsid w:val="00D85218"/>
    <w:rsid w:val="00D915B1"/>
    <w:rsid w:val="00DA299D"/>
    <w:rsid w:val="00DA5D11"/>
    <w:rsid w:val="00DA65C4"/>
    <w:rsid w:val="00DC39F6"/>
    <w:rsid w:val="00DD2BE0"/>
    <w:rsid w:val="00DD6BAF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3087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18C0"/>
    <w:rsid w:val="00ED49C3"/>
    <w:rsid w:val="00ED6CE8"/>
    <w:rsid w:val="00ED7AA6"/>
    <w:rsid w:val="00EE2A56"/>
    <w:rsid w:val="00EE3818"/>
    <w:rsid w:val="00F176E1"/>
    <w:rsid w:val="00F22264"/>
    <w:rsid w:val="00F2564D"/>
    <w:rsid w:val="00F35B05"/>
    <w:rsid w:val="00F413D9"/>
    <w:rsid w:val="00F434A1"/>
    <w:rsid w:val="00F5135F"/>
    <w:rsid w:val="00F51F78"/>
    <w:rsid w:val="00F86F47"/>
    <w:rsid w:val="00F90B64"/>
    <w:rsid w:val="00F93905"/>
    <w:rsid w:val="00FA3702"/>
    <w:rsid w:val="00FB2F0F"/>
    <w:rsid w:val="00FB5086"/>
    <w:rsid w:val="00FB5411"/>
    <w:rsid w:val="00FB6392"/>
    <w:rsid w:val="00FD3C70"/>
    <w:rsid w:val="00FD6820"/>
    <w:rsid w:val="00FE12D8"/>
    <w:rsid w:val="00FF2C27"/>
    <w:rsid w:val="00FF7C02"/>
    <w:rsid w:val="01C89BA0"/>
    <w:rsid w:val="024801E3"/>
    <w:rsid w:val="02A2AE9F"/>
    <w:rsid w:val="02BC2E02"/>
    <w:rsid w:val="03BB2A28"/>
    <w:rsid w:val="03FBD808"/>
    <w:rsid w:val="04150065"/>
    <w:rsid w:val="04383BD8"/>
    <w:rsid w:val="043C5C40"/>
    <w:rsid w:val="04FB1E7F"/>
    <w:rsid w:val="064506CA"/>
    <w:rsid w:val="079A1D9D"/>
    <w:rsid w:val="079A78B3"/>
    <w:rsid w:val="09BD05C8"/>
    <w:rsid w:val="09C02044"/>
    <w:rsid w:val="0A64950E"/>
    <w:rsid w:val="0A6B198C"/>
    <w:rsid w:val="0A6BAD4B"/>
    <w:rsid w:val="0AD9DBCB"/>
    <w:rsid w:val="0ADBA489"/>
    <w:rsid w:val="0BB53220"/>
    <w:rsid w:val="0BB663AE"/>
    <w:rsid w:val="0BC92ED7"/>
    <w:rsid w:val="0C80B475"/>
    <w:rsid w:val="0CCC9F96"/>
    <w:rsid w:val="0ED34008"/>
    <w:rsid w:val="10D33394"/>
    <w:rsid w:val="1163C603"/>
    <w:rsid w:val="124E45D9"/>
    <w:rsid w:val="138EF826"/>
    <w:rsid w:val="140FFC90"/>
    <w:rsid w:val="14ABB8B0"/>
    <w:rsid w:val="1870516F"/>
    <w:rsid w:val="18C18994"/>
    <w:rsid w:val="197DE7A6"/>
    <w:rsid w:val="19B599C4"/>
    <w:rsid w:val="19F25845"/>
    <w:rsid w:val="1AE952FA"/>
    <w:rsid w:val="1B46423E"/>
    <w:rsid w:val="1CE68484"/>
    <w:rsid w:val="1D4FAC0E"/>
    <w:rsid w:val="1DC0CB9E"/>
    <w:rsid w:val="200BA424"/>
    <w:rsid w:val="20B4D134"/>
    <w:rsid w:val="21A5A4CD"/>
    <w:rsid w:val="2256A24F"/>
    <w:rsid w:val="22917A3A"/>
    <w:rsid w:val="242D4A9B"/>
    <w:rsid w:val="247706E7"/>
    <w:rsid w:val="249AE20B"/>
    <w:rsid w:val="25C91AFC"/>
    <w:rsid w:val="25F698C0"/>
    <w:rsid w:val="26047AE9"/>
    <w:rsid w:val="26CDC9F0"/>
    <w:rsid w:val="27C35D99"/>
    <w:rsid w:val="284084EC"/>
    <w:rsid w:val="291A370B"/>
    <w:rsid w:val="2A697FE5"/>
    <w:rsid w:val="2CE48881"/>
    <w:rsid w:val="2D57895E"/>
    <w:rsid w:val="2EA3DF9C"/>
    <w:rsid w:val="2ECAB25B"/>
    <w:rsid w:val="2EFD5A89"/>
    <w:rsid w:val="2F554666"/>
    <w:rsid w:val="2FCD2B07"/>
    <w:rsid w:val="3011A530"/>
    <w:rsid w:val="3103551F"/>
    <w:rsid w:val="31084529"/>
    <w:rsid w:val="32AC2EB0"/>
    <w:rsid w:val="32EA161C"/>
    <w:rsid w:val="3326F95D"/>
    <w:rsid w:val="3384FB21"/>
    <w:rsid w:val="33C46D42"/>
    <w:rsid w:val="342B4322"/>
    <w:rsid w:val="347B0AF5"/>
    <w:rsid w:val="34EC57B1"/>
    <w:rsid w:val="3520CB82"/>
    <w:rsid w:val="352BCE55"/>
    <w:rsid w:val="35716ACB"/>
    <w:rsid w:val="37CAE797"/>
    <w:rsid w:val="387194A1"/>
    <w:rsid w:val="395AE4F0"/>
    <w:rsid w:val="3C0EC885"/>
    <w:rsid w:val="3D908FCF"/>
    <w:rsid w:val="412F2A93"/>
    <w:rsid w:val="414F5B28"/>
    <w:rsid w:val="415A72E2"/>
    <w:rsid w:val="41718C06"/>
    <w:rsid w:val="42383F30"/>
    <w:rsid w:val="426B09BF"/>
    <w:rsid w:val="42764DFD"/>
    <w:rsid w:val="43F6AB64"/>
    <w:rsid w:val="45200D45"/>
    <w:rsid w:val="45683E3B"/>
    <w:rsid w:val="47557FB6"/>
    <w:rsid w:val="4951CB6A"/>
    <w:rsid w:val="4A0F8B6E"/>
    <w:rsid w:val="4A521E58"/>
    <w:rsid w:val="4A561F89"/>
    <w:rsid w:val="4B4F6792"/>
    <w:rsid w:val="4D022C31"/>
    <w:rsid w:val="4D796327"/>
    <w:rsid w:val="4D8F9657"/>
    <w:rsid w:val="4E2F8B63"/>
    <w:rsid w:val="4E509BB4"/>
    <w:rsid w:val="4F019487"/>
    <w:rsid w:val="4F0977A9"/>
    <w:rsid w:val="4FCEB113"/>
    <w:rsid w:val="50268E84"/>
    <w:rsid w:val="51C90F28"/>
    <w:rsid w:val="530B5153"/>
    <w:rsid w:val="53A04222"/>
    <w:rsid w:val="549859C2"/>
    <w:rsid w:val="55241369"/>
    <w:rsid w:val="55960614"/>
    <w:rsid w:val="570F60C7"/>
    <w:rsid w:val="573498FC"/>
    <w:rsid w:val="57E7C5B6"/>
    <w:rsid w:val="584942F4"/>
    <w:rsid w:val="5870B67A"/>
    <w:rsid w:val="59EC6E12"/>
    <w:rsid w:val="5AFB1ECF"/>
    <w:rsid w:val="5B030C55"/>
    <w:rsid w:val="5B1F6678"/>
    <w:rsid w:val="5B81B58A"/>
    <w:rsid w:val="5C44406A"/>
    <w:rsid w:val="5CAEE89D"/>
    <w:rsid w:val="5DA3A7AF"/>
    <w:rsid w:val="5E348BDF"/>
    <w:rsid w:val="6040F3DB"/>
    <w:rsid w:val="616EC8AA"/>
    <w:rsid w:val="61BCB8D7"/>
    <w:rsid w:val="61ED205C"/>
    <w:rsid w:val="628E81BF"/>
    <w:rsid w:val="647B2B65"/>
    <w:rsid w:val="64B7AFC6"/>
    <w:rsid w:val="64DD0813"/>
    <w:rsid w:val="64E6ED5D"/>
    <w:rsid w:val="6508E69F"/>
    <w:rsid w:val="666842CA"/>
    <w:rsid w:val="66DD33A3"/>
    <w:rsid w:val="671DE4B7"/>
    <w:rsid w:val="674F88B1"/>
    <w:rsid w:val="678FD42E"/>
    <w:rsid w:val="680E9777"/>
    <w:rsid w:val="68790404"/>
    <w:rsid w:val="6905A7F3"/>
    <w:rsid w:val="69EB3681"/>
    <w:rsid w:val="6A14D465"/>
    <w:rsid w:val="6AE3C069"/>
    <w:rsid w:val="6B2CF8ED"/>
    <w:rsid w:val="6CB50080"/>
    <w:rsid w:val="6D09E8D6"/>
    <w:rsid w:val="6E50D0E1"/>
    <w:rsid w:val="6FD0B65E"/>
    <w:rsid w:val="70B7B4EE"/>
    <w:rsid w:val="7198979B"/>
    <w:rsid w:val="729EF9D6"/>
    <w:rsid w:val="72A4DBFA"/>
    <w:rsid w:val="730072C7"/>
    <w:rsid w:val="7330B727"/>
    <w:rsid w:val="7439EF3D"/>
    <w:rsid w:val="74C4C1E8"/>
    <w:rsid w:val="75B7071E"/>
    <w:rsid w:val="77367D5C"/>
    <w:rsid w:val="7779E6BB"/>
    <w:rsid w:val="7798EEC4"/>
    <w:rsid w:val="77A8AF05"/>
    <w:rsid w:val="77B0EDDB"/>
    <w:rsid w:val="79C87928"/>
    <w:rsid w:val="7A74D50A"/>
    <w:rsid w:val="7AAC3B45"/>
    <w:rsid w:val="7AD26126"/>
    <w:rsid w:val="7DEAD4F5"/>
    <w:rsid w:val="7E754DAB"/>
    <w:rsid w:val="7FA013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C83CD9"/>
    <w:pPr>
      <w:keepNext/>
      <w:spacing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D85090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D85090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C83CD9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DD6BAF"/>
    <w:pPr>
      <w:keepNext/>
      <w:keepLines/>
      <w:tabs>
        <w:tab w:val="right" w:leader="dot" w:pos="8779"/>
      </w:tabs>
      <w:spacing w:after="0"/>
    </w:pPr>
    <w:rPr>
      <w:rFonts w:ascii="Calibri" w:hAnsi="Calibri" w:cstheme="majorHAnsi"/>
      <w:noProof/>
      <w:sz w:val="22"/>
      <w:szCs w:val="28"/>
    </w:r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D6BAF"/>
    <w:pPr>
      <w:tabs>
        <w:tab w:val="right" w:leader="dot" w:pos="8777"/>
      </w:tabs>
      <w:spacing w:after="0"/>
      <w:ind w:left="1349"/>
    </w:pPr>
    <w:rPr>
      <w:rFonts w:ascii="Calibri" w:hAnsi="Calibri"/>
      <w:sz w:val="22"/>
    </w:rPr>
  </w:style>
  <w:style w:type="paragraph" w:styleId="Innehll3">
    <w:name w:val="toc 3"/>
    <w:basedOn w:val="Normal"/>
    <w:next w:val="Normal"/>
    <w:autoRedefine/>
    <w:uiPriority w:val="39"/>
    <w:unhideWhenUsed/>
    <w:rsid w:val="00DD6BAF"/>
    <w:pPr>
      <w:tabs>
        <w:tab w:val="right" w:leader="dot" w:pos="8777"/>
      </w:tabs>
      <w:spacing w:after="0"/>
      <w:ind w:left="1707"/>
    </w:pPr>
    <w:rPr>
      <w:rFonts w:ascii="Calibri" w:hAnsi="Calibri"/>
      <w:sz w:val="22"/>
    </w:r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3D6B96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F176E1"/>
    <w:pPr>
      <w:numPr>
        <w:numId w:val="8"/>
      </w:numPr>
      <w:tabs>
        <w:tab w:val="left" w:pos="1349"/>
      </w:tabs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D85090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D8509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">
    <w:next w:val="Numreradlista"/>
    <w:rsid w:val="00D85090"/>
    <w:pPr>
      <w:numPr>
        <w:numId w:val="3"/>
      </w:numPr>
      <w:spacing w:after="80"/>
      <w:ind w:left="3033" w:hanging="357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D85090"/>
    <w:pPr>
      <w:tabs>
        <w:tab w:val="num" w:pos="720"/>
      </w:tabs>
      <w:ind w:left="720" w:hanging="720"/>
      <w:contextualSpacing/>
    </w:p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  <w:style w:type="paragraph" w:styleId="Underrubrik">
    <w:name w:val="Subtitle"/>
    <w:basedOn w:val="Normal"/>
    <w:next w:val="Normal"/>
    <w:link w:val="UnderrubrikChar"/>
    <w:qFormat/>
    <w:rsid w:val="00B53585"/>
    <w:pPr>
      <w:numPr>
        <w:ilvl w:val="1"/>
      </w:numPr>
      <w:spacing w:before="120" w:after="20"/>
      <w:ind w:left="992"/>
    </w:pPr>
    <w:rPr>
      <w:rFonts w:asciiTheme="majorHAnsi" w:eastAsiaTheme="minorEastAsia" w:hAnsiTheme="majorHAnsi" w:cstheme="minorBidi"/>
      <w:b/>
      <w:color w:val="000000" w:themeColor="text1"/>
      <w:szCs w:val="22"/>
    </w:rPr>
  </w:style>
  <w:style w:type="character" w:customStyle="1" w:styleId="UnderrubrikChar">
    <w:name w:val="Underrubrik Char"/>
    <w:basedOn w:val="Standardstycketeckensnitt"/>
    <w:link w:val="Underrubrik"/>
    <w:rsid w:val="00B53585"/>
    <w:rPr>
      <w:rFonts w:asciiTheme="majorHAnsi" w:eastAsiaTheme="minorEastAsia" w:hAnsiTheme="majorHAnsi" w:cstheme="minorBidi"/>
      <w:b/>
      <w:color w:val="000000" w:themeColor="text1"/>
      <w:sz w:val="24"/>
      <w:szCs w:val="22"/>
    </w:rPr>
  </w:style>
  <w:style w:type="character" w:styleId="AnvndHyperlnk">
    <w:name w:val="FollowedHyperlink"/>
    <w:basedOn w:val="Standardstycketeckensnitt"/>
    <w:uiPriority w:val="99"/>
    <w:semiHidden/>
    <w:unhideWhenUsed/>
    <w:rsid w:val="00DA5D11"/>
    <w:rPr>
      <w:color w:val="9EA2A2" w:themeColor="followedHyperlink"/>
      <w:u w:val="single"/>
    </w:rPr>
  </w:style>
  <w:style w:type="paragraph" w:customStyle="1" w:styleId="Punktlistanumrerad">
    <w:name w:val="Punktlista numrerad"/>
    <w:qFormat/>
    <w:rsid w:val="003C08B4"/>
    <w:pPr>
      <w:numPr>
        <w:numId w:val="2"/>
      </w:numPr>
      <w:tabs>
        <w:tab w:val="left" w:pos="1349"/>
      </w:tabs>
      <w:overflowPunct w:val="0"/>
      <w:autoSpaceDE w:val="0"/>
      <w:autoSpaceDN w:val="0"/>
      <w:adjustRightInd w:val="0"/>
      <w:spacing w:after="120" w:line="288" w:lineRule="auto"/>
      <w:ind w:left="1349" w:right="868" w:hanging="357"/>
      <w:textAlignment w:val="baseline"/>
    </w:pPr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2D1E1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www.vardhandboken.se/Texter/Transfusion-av-blodkomponenter/Oversikt/" TargetMode="External" Id="rId18" /><Relationship Type="http://schemas.openxmlformats.org/officeDocument/2006/relationships/fontTable" Target="fontTable.xml" Id="rId26" /><Relationship Type="http://schemas.openxmlformats.org/officeDocument/2006/relationships/hyperlink" Target="http://www.socialstyrelsen.se/kunskapsstod-och-regler/regler-och-riktlinjer/foreskrifter-och-allmanna-rad/konsoliderade-foreskrifter/200929-om-transfusion-av-blodkomponenter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socialstyrelsen.se/kunskapsstod-och-regler/regler-och-riktlinjer/foreskrifter-och-allmanna-rad/konsoliderade-foreskrifter/200929-om-transfusion-av-blodkomponenter/" TargetMode="External" Id="rId17" /><Relationship Type="http://schemas.openxmlformats.org/officeDocument/2006/relationships/hyperlink" Target="https://mellanarkiv-offentlig.vgregion.se/alfresco/s/archive/stream/public/v1/source/available/SOFIA/SAS9642-738863596-217/SURROGATE/Akut%20anafylaktisk%20reaktion%20hos%20vuxna%2c%20S%c3%84S.pdf" TargetMode="External" Id="rId25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sas434-1625771523-90/surrogate/Rapport%20vid%20Transfusionskomplikation%2c%20TM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SAS9642-738863596-504/SURROGATE/Central%20ven%c3%b6s%20infart%20(CVI)%20-%20inl%c3%a4ggning%20och%20sk%c3%b6tsel%20vid%20S%c3%84S.pdf" TargetMode="External" Id="rId24" /><Relationship Type="http://schemas.openxmlformats.org/officeDocument/2006/relationships/header" Target="header2.xml" Id="rId15" /><Relationship Type="http://schemas.openxmlformats.org/officeDocument/2006/relationships/hyperlink" Target="https://mellanarkiv-offentlig.vgregion.se/alfresco/s/archive/stream/public/v1/source/available/sofia/sas434-1625771523-90/surrogate/Rapport%20vid%20Transfusionskomplikation%2c%20TM.pdf" TargetMode="External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AS9642-738863596-504/SURROGATE/Central%20ven%c3%b6s%20infart%20(CVI)%20-%20inl%c3%a4ggning%20och%20sk%c3%b6tsel%20vid%20S%c3%84S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://www.vardhandboken.se/Texter/Transfusion-av-blodkomponenter/Oversikt" TargetMode="Externa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17</TotalTime>
  <Pages>6</Pages>
  <Words>1139</Words>
  <Characters>11277</Characters>
  <Application>Microsoft Office Word</Application>
  <DocSecurity>0</DocSecurity>
  <Lines>93</Lines>
  <Paragraphs>24</Paragraphs>
  <ScaleCrop>false</ScaleCrop>
  <Manager/>
  <Company/>
  <LinksUpToDate>false</LinksUpToDate>
  <CharactersWithSpaces>12392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Transfusion av blodkomponenter i hemmiljö, SÄS</dc:title>
  <dc:subject/>
  <dc:creator>patrik.jens.johansson@vgregion.se</dc:creator>
  <keywords/>
  <lastModifiedBy>Karin Åhlin</lastModifiedBy>
  <revision>54</revision>
  <lastPrinted>2016-03-31T10:56:00.0000000Z</lastPrinted>
  <dcterms:created xsi:type="dcterms:W3CDTF">2022-03-28T05:47:00.0000000Z</dcterms:created>
  <dcterms:modified xsi:type="dcterms:W3CDTF">2024-09-05T15:57:00.0000000Z</dcterms:modified>
</coreProperties>
</file>