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A393D" w14:textId="77777777" w:rsidR="00633CBD" w:rsidRPr="004E1A69" w:rsidRDefault="00633CBD" w:rsidP="004E1A69">
      <w:pPr>
        <w:pStyle w:val="Rubrik1"/>
      </w:pPr>
      <w:bookmarkStart w:id="0" w:name="_Toc314219769"/>
      <w:bookmarkStart w:id="1" w:name="_Toc321146591"/>
      <w:r w:rsidRPr="004E1A69">
        <w:t>Positivt blododlingssvar, handläggning vid SÄS</w:t>
      </w:r>
    </w:p>
    <w:p w14:paraId="1332C8F5" w14:textId="77777777" w:rsidR="00633CBD" w:rsidRPr="00633CBD" w:rsidRDefault="00633CBD" w:rsidP="00ED1C04">
      <w:pPr>
        <w:pStyle w:val="Rubrik2"/>
      </w:pPr>
      <w:bookmarkStart w:id="2" w:name="_Toc44673269"/>
      <w:bookmarkStart w:id="3" w:name="_Toc256000000"/>
      <w:bookmarkStart w:id="4" w:name="_Toc256000008"/>
      <w:bookmarkStart w:id="5" w:name="_Toc256000016"/>
      <w:bookmarkStart w:id="6" w:name="_Toc256000024"/>
      <w:bookmarkStart w:id="7" w:name="_Toc256000032"/>
      <w:bookmarkStart w:id="8" w:name="_Toc165964566"/>
      <w:r w:rsidRPr="00633CBD">
        <w:t>Sammanfattning</w:t>
      </w:r>
      <w:bookmarkEnd w:id="0"/>
      <w:bookmarkEnd w:id="2"/>
      <w:bookmarkEnd w:id="3"/>
      <w:bookmarkEnd w:id="4"/>
      <w:bookmarkEnd w:id="5"/>
      <w:bookmarkEnd w:id="6"/>
      <w:bookmarkEnd w:id="7"/>
      <w:bookmarkEnd w:id="8"/>
    </w:p>
    <w:p w14:paraId="1E5412C8" w14:textId="77777777" w:rsidR="00633CBD" w:rsidRDefault="00633CBD" w:rsidP="00ED1C04">
      <w:r w:rsidRPr="00633CBD">
        <w:t>Rutinen beskriver hur positivt blododlingssvar tas om hand, dokumenteras och hur ansvarig läkare blir informerad.</w:t>
      </w:r>
    </w:p>
    <w:p w14:paraId="37D047C6" w14:textId="4FCFE554" w:rsidR="00ED1C04" w:rsidRPr="00633CBD" w:rsidRDefault="0082330A" w:rsidP="0082330A">
      <w:pPr>
        <w:pStyle w:val="Rubrik2"/>
      </w:pPr>
      <w:bookmarkStart w:id="9" w:name="_Toc165964567"/>
      <w:r>
        <w:t>Förändringar sedan föregående version</w:t>
      </w:r>
      <w:bookmarkEnd w:id="9"/>
    </w:p>
    <w:p w14:paraId="5477D71D" w14:textId="4FA40CD9" w:rsidR="00633CBD" w:rsidRPr="004E1A69" w:rsidRDefault="0082330A" w:rsidP="004E1A69">
      <w:r w:rsidRPr="004E1A69">
        <w:t xml:space="preserve">Uppdatering </w:t>
      </w:r>
      <w:r w:rsidR="00DA78F6" w:rsidRPr="004E1A69">
        <w:t>g</w:t>
      </w:r>
      <w:r w:rsidRPr="004E1A69">
        <w:t xml:space="preserve">jord i avsnitt under rubrik </w:t>
      </w:r>
      <w:r w:rsidR="44C2EE60" w:rsidRPr="00371A1F">
        <w:rPr>
          <w:i/>
          <w:iCs/>
        </w:rPr>
        <w:t>Genomförande</w:t>
      </w:r>
      <w:r w:rsidR="44C2EE60" w:rsidRPr="004E1A69">
        <w:t>. Svar kan även tas emot av t</w:t>
      </w:r>
      <w:r w:rsidR="00795DD2">
        <w:t>.</w:t>
      </w:r>
      <w:r w:rsidR="44C2EE60" w:rsidRPr="004E1A69">
        <w:t>ex</w:t>
      </w:r>
      <w:r w:rsidR="00795DD2">
        <w:t>.</w:t>
      </w:r>
      <w:r w:rsidR="44C2EE60" w:rsidRPr="004E1A69">
        <w:t xml:space="preserve"> koordinator och förmedlas till leg</w:t>
      </w:r>
      <w:r w:rsidR="00A074A4">
        <w:t>itimerad</w:t>
      </w:r>
      <w:r w:rsidR="44C2EE60" w:rsidRPr="004E1A69">
        <w:t xml:space="preserve"> s</w:t>
      </w:r>
      <w:r w:rsidR="00795DD2">
        <w:t>juksköterska eller</w:t>
      </w:r>
      <w:r w:rsidR="00371A1F">
        <w:t xml:space="preserve"> </w:t>
      </w:r>
      <w:r w:rsidR="44C2EE60" w:rsidRPr="004E1A69">
        <w:t>leg</w:t>
      </w:r>
      <w:r w:rsidR="00A074A4">
        <w:t>itimerad</w:t>
      </w:r>
      <w:r w:rsidR="44C2EE60" w:rsidRPr="004E1A69">
        <w:t xml:space="preserve"> läk</w:t>
      </w:r>
      <w:r w:rsidR="00795DD2">
        <w:t>are</w:t>
      </w:r>
      <w:r w:rsidR="44C2EE60" w:rsidRPr="004E1A69">
        <w:t>.</w:t>
      </w:r>
    </w:p>
    <w:p w14:paraId="215A8603" w14:textId="3DA3DC20" w:rsidR="00633CBD" w:rsidRPr="004E1A69" w:rsidRDefault="00633CBD" w:rsidP="004E1A69">
      <w:pPr>
        <w:spacing w:before="360" w:after="20"/>
        <w:rPr>
          <w:rFonts w:asciiTheme="majorHAnsi" w:hAnsiTheme="majorHAnsi" w:cstheme="majorHAnsi"/>
          <w:sz w:val="28"/>
          <w:szCs w:val="28"/>
        </w:rPr>
      </w:pPr>
      <w:r w:rsidRPr="004E1A69">
        <w:rPr>
          <w:rFonts w:asciiTheme="majorHAnsi" w:hAnsiTheme="majorHAnsi" w:cstheme="majorHAnsi"/>
          <w:sz w:val="28"/>
          <w:szCs w:val="28"/>
        </w:rPr>
        <w:t>Innehållsförteckning</w:t>
      </w:r>
    </w:p>
    <w:bookmarkStart w:id="10" w:name="_Toc44673270"/>
    <w:bookmarkStart w:id="11" w:name="_Toc256000001"/>
    <w:bookmarkStart w:id="12" w:name="_Toc256000009"/>
    <w:bookmarkStart w:id="13" w:name="_Toc256000017"/>
    <w:bookmarkStart w:id="14" w:name="_Toc256000025"/>
    <w:bookmarkStart w:id="15" w:name="_Toc256000033"/>
    <w:p w14:paraId="2BDA5533" w14:textId="46204BF1" w:rsidR="00CC7D81" w:rsidRDefault="004E1A69">
      <w:pPr>
        <w:pStyle w:val="Innehll1"/>
        <w:rPr>
          <w:rFonts w:asciiTheme="minorHAnsi" w:eastAsiaTheme="minorEastAsia" w:hAnsiTheme="minorHAnsi" w:cstheme="minorBidi"/>
          <w:noProof/>
          <w:kern w:val="2"/>
          <w:sz w:val="22"/>
          <w:szCs w:val="22"/>
          <w14:ligatures w14:val="standardContextual"/>
        </w:rPr>
      </w:pPr>
      <w:r>
        <w:rPr>
          <w:rFonts w:ascii="Arial" w:hAnsi="Arial"/>
          <w:bCs/>
          <w:noProof/>
          <w:color w:val="0000FF"/>
          <w:sz w:val="22"/>
          <w:szCs w:val="32"/>
          <w:u w:val="single"/>
        </w:rPr>
        <w:fldChar w:fldCharType="begin"/>
      </w:r>
      <w:r>
        <w:rPr>
          <w:rFonts w:ascii="Arial" w:hAnsi="Arial"/>
          <w:bCs/>
          <w:noProof/>
          <w:color w:val="0000FF"/>
          <w:sz w:val="22"/>
          <w:szCs w:val="32"/>
          <w:u w:val="single"/>
        </w:rPr>
        <w:instrText xml:space="preserve"> TOC \h \z \t "Rubrik 2;1;Rubrik 3;2;Mellanrubrik VGR;3" </w:instrText>
      </w:r>
      <w:r>
        <w:rPr>
          <w:rFonts w:ascii="Arial" w:hAnsi="Arial"/>
          <w:bCs/>
          <w:noProof/>
          <w:color w:val="0000FF"/>
          <w:sz w:val="22"/>
          <w:szCs w:val="32"/>
          <w:u w:val="single"/>
        </w:rPr>
        <w:fldChar w:fldCharType="separate"/>
      </w:r>
      <w:hyperlink w:anchor="_Toc165964566" w:history="1">
        <w:r w:rsidR="00CC7D81" w:rsidRPr="00F610FA">
          <w:rPr>
            <w:rStyle w:val="Hyperlnk"/>
            <w:rFonts w:eastAsia="MS Gothic"/>
            <w:noProof/>
          </w:rPr>
          <w:t>Sammanfattning</w:t>
        </w:r>
        <w:r w:rsidR="00CC7D81">
          <w:rPr>
            <w:noProof/>
            <w:webHidden/>
          </w:rPr>
          <w:tab/>
        </w:r>
        <w:r w:rsidR="00CC7D81">
          <w:rPr>
            <w:noProof/>
            <w:webHidden/>
          </w:rPr>
          <w:fldChar w:fldCharType="begin"/>
        </w:r>
        <w:r w:rsidR="00CC7D81">
          <w:rPr>
            <w:noProof/>
            <w:webHidden/>
          </w:rPr>
          <w:instrText xml:space="preserve"> PAGEREF _Toc165964566 \h </w:instrText>
        </w:r>
        <w:r w:rsidR="00CC7D81">
          <w:rPr>
            <w:noProof/>
            <w:webHidden/>
          </w:rPr>
        </w:r>
        <w:r w:rsidR="00CC7D81">
          <w:rPr>
            <w:noProof/>
            <w:webHidden/>
          </w:rPr>
          <w:fldChar w:fldCharType="separate"/>
        </w:r>
        <w:r w:rsidR="00CC7D81">
          <w:rPr>
            <w:noProof/>
            <w:webHidden/>
          </w:rPr>
          <w:t>1</w:t>
        </w:r>
        <w:r w:rsidR="00CC7D81">
          <w:rPr>
            <w:noProof/>
            <w:webHidden/>
          </w:rPr>
          <w:fldChar w:fldCharType="end"/>
        </w:r>
      </w:hyperlink>
    </w:p>
    <w:p w14:paraId="72034D15" w14:textId="7AA99C54" w:rsidR="00CC7D81" w:rsidRDefault="00CC7D81">
      <w:pPr>
        <w:pStyle w:val="Innehll1"/>
        <w:rPr>
          <w:rFonts w:asciiTheme="minorHAnsi" w:eastAsiaTheme="minorEastAsia" w:hAnsiTheme="minorHAnsi" w:cstheme="minorBidi"/>
          <w:noProof/>
          <w:kern w:val="2"/>
          <w:sz w:val="22"/>
          <w:szCs w:val="22"/>
          <w14:ligatures w14:val="standardContextual"/>
        </w:rPr>
      </w:pPr>
      <w:hyperlink w:anchor="_Toc165964567" w:history="1">
        <w:r w:rsidRPr="00F610F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_Toc165964567 \h </w:instrText>
        </w:r>
        <w:r>
          <w:rPr>
            <w:noProof/>
            <w:webHidden/>
          </w:rPr>
        </w:r>
        <w:r>
          <w:rPr>
            <w:noProof/>
            <w:webHidden/>
          </w:rPr>
          <w:fldChar w:fldCharType="separate"/>
        </w:r>
        <w:r>
          <w:rPr>
            <w:noProof/>
            <w:webHidden/>
          </w:rPr>
          <w:t>1</w:t>
        </w:r>
        <w:r>
          <w:rPr>
            <w:noProof/>
            <w:webHidden/>
          </w:rPr>
          <w:fldChar w:fldCharType="end"/>
        </w:r>
      </w:hyperlink>
    </w:p>
    <w:p w14:paraId="03B10A61" w14:textId="34BE84FD" w:rsidR="00CC7D81" w:rsidRDefault="00CC7D81">
      <w:pPr>
        <w:pStyle w:val="Innehll1"/>
        <w:rPr>
          <w:rFonts w:asciiTheme="minorHAnsi" w:eastAsiaTheme="minorEastAsia" w:hAnsiTheme="minorHAnsi" w:cstheme="minorBidi"/>
          <w:noProof/>
          <w:kern w:val="2"/>
          <w:sz w:val="22"/>
          <w:szCs w:val="22"/>
          <w14:ligatures w14:val="standardContextual"/>
        </w:rPr>
      </w:pPr>
      <w:hyperlink w:anchor="_Toc165964568" w:history="1">
        <w:r w:rsidRPr="00F610FA">
          <w:rPr>
            <w:rStyle w:val="Hyperlnk"/>
            <w:rFonts w:eastAsia="MS Gothic"/>
            <w:noProof/>
          </w:rPr>
          <w:t>Förutsättningar</w:t>
        </w:r>
        <w:r>
          <w:rPr>
            <w:noProof/>
            <w:webHidden/>
          </w:rPr>
          <w:tab/>
        </w:r>
        <w:r>
          <w:rPr>
            <w:noProof/>
            <w:webHidden/>
          </w:rPr>
          <w:fldChar w:fldCharType="begin"/>
        </w:r>
        <w:r>
          <w:rPr>
            <w:noProof/>
            <w:webHidden/>
          </w:rPr>
          <w:instrText xml:space="preserve"> PAGEREF _Toc165964568 \h </w:instrText>
        </w:r>
        <w:r>
          <w:rPr>
            <w:noProof/>
            <w:webHidden/>
          </w:rPr>
        </w:r>
        <w:r>
          <w:rPr>
            <w:noProof/>
            <w:webHidden/>
          </w:rPr>
          <w:fldChar w:fldCharType="separate"/>
        </w:r>
        <w:r>
          <w:rPr>
            <w:noProof/>
            <w:webHidden/>
          </w:rPr>
          <w:t>1</w:t>
        </w:r>
        <w:r>
          <w:rPr>
            <w:noProof/>
            <w:webHidden/>
          </w:rPr>
          <w:fldChar w:fldCharType="end"/>
        </w:r>
      </w:hyperlink>
    </w:p>
    <w:p w14:paraId="39E7E682" w14:textId="323F61C7" w:rsidR="00CC7D81" w:rsidRDefault="00CC7D81">
      <w:pPr>
        <w:pStyle w:val="Innehll1"/>
        <w:rPr>
          <w:rFonts w:asciiTheme="minorHAnsi" w:eastAsiaTheme="minorEastAsia" w:hAnsiTheme="minorHAnsi" w:cstheme="minorBidi"/>
          <w:noProof/>
          <w:kern w:val="2"/>
          <w:sz w:val="22"/>
          <w:szCs w:val="22"/>
          <w14:ligatures w14:val="standardContextual"/>
        </w:rPr>
      </w:pPr>
      <w:hyperlink w:anchor="_Toc165964569" w:history="1">
        <w:r w:rsidRPr="00F610FA">
          <w:rPr>
            <w:rStyle w:val="Hyperlnk"/>
            <w:rFonts w:eastAsia="MS Gothic"/>
            <w:noProof/>
          </w:rPr>
          <w:t>Genomförande</w:t>
        </w:r>
        <w:r>
          <w:rPr>
            <w:noProof/>
            <w:webHidden/>
          </w:rPr>
          <w:tab/>
        </w:r>
        <w:r>
          <w:rPr>
            <w:noProof/>
            <w:webHidden/>
          </w:rPr>
          <w:fldChar w:fldCharType="begin"/>
        </w:r>
        <w:r>
          <w:rPr>
            <w:noProof/>
            <w:webHidden/>
          </w:rPr>
          <w:instrText xml:space="preserve"> PAGEREF _Toc165964569 \h </w:instrText>
        </w:r>
        <w:r>
          <w:rPr>
            <w:noProof/>
            <w:webHidden/>
          </w:rPr>
        </w:r>
        <w:r>
          <w:rPr>
            <w:noProof/>
            <w:webHidden/>
          </w:rPr>
          <w:fldChar w:fldCharType="separate"/>
        </w:r>
        <w:r>
          <w:rPr>
            <w:noProof/>
            <w:webHidden/>
          </w:rPr>
          <w:t>2</w:t>
        </w:r>
        <w:r>
          <w:rPr>
            <w:noProof/>
            <w:webHidden/>
          </w:rPr>
          <w:fldChar w:fldCharType="end"/>
        </w:r>
      </w:hyperlink>
    </w:p>
    <w:p w14:paraId="1082D6B5" w14:textId="4CB8694C" w:rsidR="00CC7D81" w:rsidRDefault="00CC7D81">
      <w:pPr>
        <w:pStyle w:val="Innehll2"/>
        <w:rPr>
          <w:rFonts w:asciiTheme="minorHAnsi" w:eastAsiaTheme="minorEastAsia" w:hAnsiTheme="minorHAnsi" w:cstheme="minorBidi"/>
          <w:noProof/>
          <w:kern w:val="2"/>
          <w:sz w:val="22"/>
          <w:szCs w:val="22"/>
          <w14:ligatures w14:val="standardContextual"/>
        </w:rPr>
      </w:pPr>
      <w:hyperlink w:anchor="_Toc165964570" w:history="1">
        <w:r w:rsidRPr="00F610FA">
          <w:rPr>
            <w:rStyle w:val="Hyperlnk"/>
            <w:rFonts w:eastAsia="MS Gothic"/>
            <w:noProof/>
          </w:rPr>
          <w:t>Sjuksköterska/läkare som tagit emot telefonsvar</w:t>
        </w:r>
        <w:r>
          <w:rPr>
            <w:noProof/>
            <w:webHidden/>
          </w:rPr>
          <w:tab/>
        </w:r>
        <w:r>
          <w:rPr>
            <w:noProof/>
            <w:webHidden/>
          </w:rPr>
          <w:fldChar w:fldCharType="begin"/>
        </w:r>
        <w:r>
          <w:rPr>
            <w:noProof/>
            <w:webHidden/>
          </w:rPr>
          <w:instrText xml:space="preserve"> PAGEREF _Toc165964570 \h </w:instrText>
        </w:r>
        <w:r>
          <w:rPr>
            <w:noProof/>
            <w:webHidden/>
          </w:rPr>
        </w:r>
        <w:r>
          <w:rPr>
            <w:noProof/>
            <w:webHidden/>
          </w:rPr>
          <w:fldChar w:fldCharType="separate"/>
        </w:r>
        <w:r>
          <w:rPr>
            <w:noProof/>
            <w:webHidden/>
          </w:rPr>
          <w:t>2</w:t>
        </w:r>
        <w:r>
          <w:rPr>
            <w:noProof/>
            <w:webHidden/>
          </w:rPr>
          <w:fldChar w:fldCharType="end"/>
        </w:r>
      </w:hyperlink>
    </w:p>
    <w:p w14:paraId="06738A31" w14:textId="0244C4CD" w:rsidR="00CC7D81" w:rsidRDefault="00CC7D81">
      <w:pPr>
        <w:pStyle w:val="Innehll2"/>
        <w:rPr>
          <w:rFonts w:asciiTheme="minorHAnsi" w:eastAsiaTheme="minorEastAsia" w:hAnsiTheme="minorHAnsi" w:cstheme="minorBidi"/>
          <w:noProof/>
          <w:kern w:val="2"/>
          <w:sz w:val="22"/>
          <w:szCs w:val="22"/>
          <w14:ligatures w14:val="standardContextual"/>
        </w:rPr>
      </w:pPr>
      <w:hyperlink w:anchor="_Toc165964571" w:history="1">
        <w:r w:rsidRPr="00F610FA">
          <w:rPr>
            <w:rStyle w:val="Hyperlnk"/>
            <w:rFonts w:eastAsia="MS Gothic"/>
            <w:noProof/>
          </w:rPr>
          <w:t>Ansvarig läkare som informerats</w:t>
        </w:r>
        <w:r>
          <w:rPr>
            <w:noProof/>
            <w:webHidden/>
          </w:rPr>
          <w:tab/>
        </w:r>
        <w:r>
          <w:rPr>
            <w:noProof/>
            <w:webHidden/>
          </w:rPr>
          <w:fldChar w:fldCharType="begin"/>
        </w:r>
        <w:r>
          <w:rPr>
            <w:noProof/>
            <w:webHidden/>
          </w:rPr>
          <w:instrText xml:space="preserve"> PAGEREF _Toc165964571 \h </w:instrText>
        </w:r>
        <w:r>
          <w:rPr>
            <w:noProof/>
            <w:webHidden/>
          </w:rPr>
        </w:r>
        <w:r>
          <w:rPr>
            <w:noProof/>
            <w:webHidden/>
          </w:rPr>
          <w:fldChar w:fldCharType="separate"/>
        </w:r>
        <w:r>
          <w:rPr>
            <w:noProof/>
            <w:webHidden/>
          </w:rPr>
          <w:t>2</w:t>
        </w:r>
        <w:r>
          <w:rPr>
            <w:noProof/>
            <w:webHidden/>
          </w:rPr>
          <w:fldChar w:fldCharType="end"/>
        </w:r>
      </w:hyperlink>
    </w:p>
    <w:p w14:paraId="19892244" w14:textId="00F4D2BF" w:rsidR="00CC7D81" w:rsidRDefault="00CC7D81">
      <w:pPr>
        <w:pStyle w:val="Innehll2"/>
        <w:rPr>
          <w:rFonts w:asciiTheme="minorHAnsi" w:eastAsiaTheme="minorEastAsia" w:hAnsiTheme="minorHAnsi" w:cstheme="minorBidi"/>
          <w:noProof/>
          <w:kern w:val="2"/>
          <w:sz w:val="22"/>
          <w:szCs w:val="22"/>
          <w14:ligatures w14:val="standardContextual"/>
        </w:rPr>
      </w:pPr>
      <w:hyperlink w:anchor="_Toc165964572" w:history="1">
        <w:r w:rsidRPr="00F610FA">
          <w:rPr>
            <w:rStyle w:val="Hyperlnk"/>
            <w:rFonts w:eastAsia="MS Gothic"/>
            <w:noProof/>
          </w:rPr>
          <w:t>Uppföljning</w:t>
        </w:r>
        <w:r>
          <w:rPr>
            <w:noProof/>
            <w:webHidden/>
          </w:rPr>
          <w:tab/>
        </w:r>
        <w:r>
          <w:rPr>
            <w:noProof/>
            <w:webHidden/>
          </w:rPr>
          <w:fldChar w:fldCharType="begin"/>
        </w:r>
        <w:r>
          <w:rPr>
            <w:noProof/>
            <w:webHidden/>
          </w:rPr>
          <w:instrText xml:space="preserve"> PAGEREF _Toc165964572 \h </w:instrText>
        </w:r>
        <w:r>
          <w:rPr>
            <w:noProof/>
            <w:webHidden/>
          </w:rPr>
        </w:r>
        <w:r>
          <w:rPr>
            <w:noProof/>
            <w:webHidden/>
          </w:rPr>
          <w:fldChar w:fldCharType="separate"/>
        </w:r>
        <w:r>
          <w:rPr>
            <w:noProof/>
            <w:webHidden/>
          </w:rPr>
          <w:t>3</w:t>
        </w:r>
        <w:r>
          <w:rPr>
            <w:noProof/>
            <w:webHidden/>
          </w:rPr>
          <w:fldChar w:fldCharType="end"/>
        </w:r>
      </w:hyperlink>
    </w:p>
    <w:p w14:paraId="3CF4417A" w14:textId="47C24B70" w:rsidR="00CC7D81" w:rsidRDefault="00CC7D81">
      <w:pPr>
        <w:pStyle w:val="Innehll1"/>
        <w:rPr>
          <w:rFonts w:asciiTheme="minorHAnsi" w:eastAsiaTheme="minorEastAsia" w:hAnsiTheme="minorHAnsi" w:cstheme="minorBidi"/>
          <w:noProof/>
          <w:kern w:val="2"/>
          <w:sz w:val="22"/>
          <w:szCs w:val="22"/>
          <w14:ligatures w14:val="standardContextual"/>
        </w:rPr>
      </w:pPr>
      <w:hyperlink w:anchor="_Toc165964573" w:history="1">
        <w:r w:rsidRPr="00F610FA">
          <w:rPr>
            <w:rStyle w:val="Hyperlnk"/>
            <w:rFonts w:eastAsia="MS Gothic"/>
            <w:noProof/>
          </w:rPr>
          <w:t>Dokumentinformation</w:t>
        </w:r>
        <w:r>
          <w:rPr>
            <w:noProof/>
            <w:webHidden/>
          </w:rPr>
          <w:tab/>
        </w:r>
        <w:r>
          <w:rPr>
            <w:noProof/>
            <w:webHidden/>
          </w:rPr>
          <w:fldChar w:fldCharType="begin"/>
        </w:r>
        <w:r>
          <w:rPr>
            <w:noProof/>
            <w:webHidden/>
          </w:rPr>
          <w:instrText xml:space="preserve"> PAGEREF _Toc165964573 \h </w:instrText>
        </w:r>
        <w:r>
          <w:rPr>
            <w:noProof/>
            <w:webHidden/>
          </w:rPr>
        </w:r>
        <w:r>
          <w:rPr>
            <w:noProof/>
            <w:webHidden/>
          </w:rPr>
          <w:fldChar w:fldCharType="separate"/>
        </w:r>
        <w:r>
          <w:rPr>
            <w:noProof/>
            <w:webHidden/>
          </w:rPr>
          <w:t>3</w:t>
        </w:r>
        <w:r>
          <w:rPr>
            <w:noProof/>
            <w:webHidden/>
          </w:rPr>
          <w:fldChar w:fldCharType="end"/>
        </w:r>
      </w:hyperlink>
    </w:p>
    <w:p w14:paraId="0180B6B2" w14:textId="0D03CE6A" w:rsidR="00CC7D81" w:rsidRDefault="00CC7D81">
      <w:pPr>
        <w:pStyle w:val="Innehll1"/>
        <w:rPr>
          <w:rFonts w:asciiTheme="minorHAnsi" w:eastAsiaTheme="minorEastAsia" w:hAnsiTheme="minorHAnsi" w:cstheme="minorBidi"/>
          <w:noProof/>
          <w:kern w:val="2"/>
          <w:sz w:val="22"/>
          <w:szCs w:val="22"/>
          <w14:ligatures w14:val="standardContextual"/>
        </w:rPr>
      </w:pPr>
      <w:hyperlink w:anchor="_Toc165964574" w:history="1">
        <w:r w:rsidRPr="00F610FA">
          <w:rPr>
            <w:rStyle w:val="Hyperlnk"/>
            <w:rFonts w:eastAsia="MS Gothic"/>
            <w:noProof/>
          </w:rPr>
          <w:t>Länkförteckning</w:t>
        </w:r>
        <w:r>
          <w:rPr>
            <w:noProof/>
            <w:webHidden/>
          </w:rPr>
          <w:tab/>
        </w:r>
        <w:r>
          <w:rPr>
            <w:noProof/>
            <w:webHidden/>
          </w:rPr>
          <w:fldChar w:fldCharType="begin"/>
        </w:r>
        <w:r>
          <w:rPr>
            <w:noProof/>
            <w:webHidden/>
          </w:rPr>
          <w:instrText xml:space="preserve"> PAGEREF _Toc165964574 \h </w:instrText>
        </w:r>
        <w:r>
          <w:rPr>
            <w:noProof/>
            <w:webHidden/>
          </w:rPr>
        </w:r>
        <w:r>
          <w:rPr>
            <w:noProof/>
            <w:webHidden/>
          </w:rPr>
          <w:fldChar w:fldCharType="separate"/>
        </w:r>
        <w:r>
          <w:rPr>
            <w:noProof/>
            <w:webHidden/>
          </w:rPr>
          <w:t>3</w:t>
        </w:r>
        <w:r>
          <w:rPr>
            <w:noProof/>
            <w:webHidden/>
          </w:rPr>
          <w:fldChar w:fldCharType="end"/>
        </w:r>
      </w:hyperlink>
    </w:p>
    <w:p w14:paraId="4973A8EC" w14:textId="41ED882E" w:rsidR="00633CBD" w:rsidRPr="00633CBD" w:rsidRDefault="004E1A69" w:rsidP="00267348">
      <w:pPr>
        <w:pStyle w:val="Rubrik2"/>
        <w:spacing w:before="440"/>
      </w:pPr>
      <w:r>
        <w:rPr>
          <w:rFonts w:ascii="Arial" w:eastAsia="Times New Roman" w:hAnsi="Arial" w:cs="Times New Roman"/>
          <w:bCs w:val="0"/>
          <w:noProof/>
          <w:color w:val="0000FF"/>
          <w:sz w:val="22"/>
          <w:szCs w:val="32"/>
          <w:u w:val="single"/>
        </w:rPr>
        <w:fldChar w:fldCharType="end"/>
      </w:r>
      <w:bookmarkStart w:id="16" w:name="_Toc165964568"/>
      <w:r w:rsidR="00633CBD" w:rsidRPr="00633CBD">
        <w:t>Förutsättningar</w:t>
      </w:r>
      <w:bookmarkEnd w:id="10"/>
      <w:bookmarkEnd w:id="11"/>
      <w:bookmarkEnd w:id="12"/>
      <w:bookmarkEnd w:id="13"/>
      <w:bookmarkEnd w:id="14"/>
      <w:bookmarkEnd w:id="15"/>
      <w:bookmarkEnd w:id="16"/>
    </w:p>
    <w:p w14:paraId="75243C59" w14:textId="77777777" w:rsidR="00633CBD" w:rsidRPr="00633CBD" w:rsidRDefault="00633CBD" w:rsidP="00624E02">
      <w:r w:rsidRPr="00633CBD">
        <w:t>Positivt svar på en blododling är alltid ett provsvar av stor vikt som ska bedömas och handläggas skyndsamt. Det är viktigt att ansvarig läkare snabbt meddelas vid positiv blododling då patienter annars riskerar att gå utan eller ha fel antibiotikabehandling. Positiva blododlingar leder också till ökade möjligheter att identifiera allvarliga infektionslokaler, t.ex. endokardit och spondylit, eftersom ett odlingsfynd i blod alltid innebär att ursprunget ska fastställas.</w:t>
      </w:r>
    </w:p>
    <w:p w14:paraId="0A2C21A4" w14:textId="4535050A" w:rsidR="00633CBD" w:rsidRPr="00633CBD" w:rsidRDefault="00633CBD" w:rsidP="00624E02">
      <w:r w:rsidRPr="00633CBD">
        <w:t xml:space="preserve">Mikrobiologiska laboratoriet har som rutin att per telefon ge preliminärsvar på blododlingar när dessa larmat som positiva och </w:t>
      </w:r>
      <w:r w:rsidRPr="00633CBD">
        <w:lastRenderedPageBreak/>
        <w:t>mikroskopigranskats. Ett sådant preliminärsvar kan ofta leda till att antibiotikabehandling sätts in eller justeras.</w:t>
      </w:r>
    </w:p>
    <w:p w14:paraId="5A133511" w14:textId="77777777" w:rsidR="00633CBD" w:rsidRPr="00633CBD" w:rsidRDefault="00633CBD" w:rsidP="00624E02">
      <w:r w:rsidRPr="00633CBD">
        <w:t>Det är provtagande enhet som ansvarar för mottagande och handläggning av positivt blododlingssvar.</w:t>
      </w:r>
    </w:p>
    <w:p w14:paraId="2DA297BC" w14:textId="77777777" w:rsidR="00633CBD" w:rsidRPr="00633CBD" w:rsidRDefault="00633CBD" w:rsidP="00624E02">
      <w:pPr>
        <w:pStyle w:val="Rubrik2"/>
      </w:pPr>
      <w:bookmarkStart w:id="17" w:name="_Toc44673271"/>
      <w:bookmarkStart w:id="18" w:name="_Toc256000002"/>
      <w:bookmarkStart w:id="19" w:name="_Toc256000010"/>
      <w:bookmarkStart w:id="20" w:name="_Toc256000018"/>
      <w:bookmarkStart w:id="21" w:name="_Toc256000026"/>
      <w:bookmarkStart w:id="22" w:name="_Toc256000034"/>
      <w:bookmarkStart w:id="23" w:name="_Toc165964569"/>
      <w:r w:rsidRPr="00633CBD">
        <w:t>Genomförande</w:t>
      </w:r>
      <w:bookmarkEnd w:id="17"/>
      <w:bookmarkEnd w:id="18"/>
      <w:bookmarkEnd w:id="19"/>
      <w:bookmarkEnd w:id="20"/>
      <w:bookmarkEnd w:id="21"/>
      <w:bookmarkEnd w:id="22"/>
      <w:bookmarkEnd w:id="23"/>
    </w:p>
    <w:p w14:paraId="51A3D752" w14:textId="66EB9727" w:rsidR="00633CBD" w:rsidRPr="00633CBD" w:rsidRDefault="00633CBD" w:rsidP="00051A6F">
      <w:r>
        <w:t>När mikrobiolo</w:t>
      </w:r>
      <w:r w:rsidR="00EE7780">
        <w:t>gi</w:t>
      </w:r>
      <w:r>
        <w:t>ska laboratoriet har preliminärbesked om en positiv blododling</w:t>
      </w:r>
      <w:r w:rsidR="002E4C57">
        <w:t>,</w:t>
      </w:r>
      <w:r>
        <w:t xml:space="preserve"> ska besked om det ringas ut till beställande enhet. </w:t>
      </w:r>
    </w:p>
    <w:p w14:paraId="15883E55" w14:textId="7712983E" w:rsidR="00633CBD" w:rsidRPr="00633CBD" w:rsidRDefault="00633CBD" w:rsidP="00051A6F">
      <w:pPr>
        <w:pStyle w:val="Punktlista"/>
      </w:pPr>
      <w:r w:rsidRPr="00633CBD">
        <w:t>Om laboratoriet då får upplysning om att patienten är inlagd på annan avdelning</w:t>
      </w:r>
      <w:r w:rsidR="002E4C57">
        <w:t>,</w:t>
      </w:r>
      <w:r w:rsidRPr="00633CBD">
        <w:t xml:space="preserve"> rings svaret istället ut dit.</w:t>
      </w:r>
    </w:p>
    <w:p w14:paraId="26CBF8AE" w14:textId="7E8F476D" w:rsidR="00633CBD" w:rsidRPr="00633CBD" w:rsidRDefault="00633CBD" w:rsidP="00051A6F">
      <w:pPr>
        <w:pStyle w:val="Punktlista"/>
      </w:pPr>
      <w:r>
        <w:t>Svaret ska tas emot a</w:t>
      </w:r>
      <w:r w:rsidR="38D892F2">
        <w:t>v</w:t>
      </w:r>
      <w:r>
        <w:t xml:space="preserve"> legitimerad sjuksköterska eller legitimerad läkare</w:t>
      </w:r>
      <w:r w:rsidR="28D3CCD3">
        <w:t>, alternativt av annan personal (t</w:t>
      </w:r>
      <w:r w:rsidR="00B0475D">
        <w:t>.</w:t>
      </w:r>
      <w:r w:rsidR="28D3CCD3">
        <w:t>ex</w:t>
      </w:r>
      <w:r w:rsidR="00B0475D">
        <w:t>.</w:t>
      </w:r>
      <w:r w:rsidR="28D3CCD3">
        <w:t xml:space="preserve"> </w:t>
      </w:r>
      <w:r w:rsidR="1E0B0B25">
        <w:t>avdelningskoordinator</w:t>
      </w:r>
      <w:r w:rsidR="28D3CCD3">
        <w:t>) som skyndsamt ska förmedla svaret till leg</w:t>
      </w:r>
      <w:r w:rsidR="00240944">
        <w:t>itimerad</w:t>
      </w:r>
      <w:r w:rsidR="28D3CCD3">
        <w:t xml:space="preserve"> s</w:t>
      </w:r>
      <w:r w:rsidR="00B0475D">
        <w:t xml:space="preserve">juksköterska </w:t>
      </w:r>
      <w:r w:rsidR="28D3CCD3">
        <w:t>el</w:t>
      </w:r>
      <w:r w:rsidR="00B0475D">
        <w:t>ler</w:t>
      </w:r>
      <w:r w:rsidR="28D3CCD3">
        <w:t xml:space="preserve"> leg</w:t>
      </w:r>
      <w:r w:rsidR="00240944">
        <w:t>itimerad</w:t>
      </w:r>
      <w:r w:rsidR="28D3CCD3">
        <w:t xml:space="preserve"> läk</w:t>
      </w:r>
      <w:r w:rsidR="00B0475D">
        <w:t>are</w:t>
      </w:r>
      <w:r w:rsidR="28D3CCD3">
        <w:t>.</w:t>
      </w:r>
    </w:p>
    <w:p w14:paraId="7A0FEEB8" w14:textId="77777777" w:rsidR="00633CBD" w:rsidRPr="00633CBD" w:rsidRDefault="00633CBD" w:rsidP="00051A6F">
      <w:pPr>
        <w:pStyle w:val="Punktlista"/>
      </w:pPr>
      <w:r w:rsidRPr="00633CBD">
        <w:t>Om mikrobiologen inte får tag på någon via telefon på aktuell enhet, ska jour eller bakjour för enheten sökas via växeln (funktionstelefon).</w:t>
      </w:r>
    </w:p>
    <w:p w14:paraId="5045FBEF" w14:textId="77777777" w:rsidR="00633CBD" w:rsidRPr="00633CBD" w:rsidRDefault="00633CBD" w:rsidP="00051A6F">
      <w:pPr>
        <w:pStyle w:val="Punktlista"/>
      </w:pPr>
      <w:r w:rsidRPr="00633CBD">
        <w:t>Om patienten inte längre finns kvar på sjukhus är det den enhet som patienten skrivits ut från som kontaktas. Om ingen tjänstgörande sjuksköterska, jour eller bakjour finns tillgänglig på denna enhet kontaktas infektionsjour.</w:t>
      </w:r>
    </w:p>
    <w:p w14:paraId="27DED9AA" w14:textId="45ABAA73" w:rsidR="00633CBD" w:rsidRPr="00633CBD" w:rsidRDefault="00633CBD" w:rsidP="00305394">
      <w:pPr>
        <w:pStyle w:val="Rubrik3"/>
      </w:pPr>
      <w:bookmarkStart w:id="24" w:name="_Toc44673272"/>
      <w:bookmarkStart w:id="25" w:name="_Toc256000003"/>
      <w:bookmarkStart w:id="26" w:name="_Toc256000011"/>
      <w:bookmarkStart w:id="27" w:name="_Toc256000019"/>
      <w:bookmarkStart w:id="28" w:name="_Toc256000027"/>
      <w:bookmarkStart w:id="29" w:name="_Toc256000035"/>
      <w:bookmarkStart w:id="30" w:name="_Toc165964570"/>
      <w:r w:rsidRPr="11A32813">
        <w:t>Sjuksköterska/läkare som tagit emot telefonsvar</w:t>
      </w:r>
      <w:bookmarkEnd w:id="24"/>
      <w:bookmarkEnd w:id="25"/>
      <w:bookmarkEnd w:id="26"/>
      <w:bookmarkEnd w:id="27"/>
      <w:bookmarkEnd w:id="28"/>
      <w:bookmarkEnd w:id="29"/>
      <w:bookmarkEnd w:id="30"/>
    </w:p>
    <w:p w14:paraId="2B51206E" w14:textId="034C61A1" w:rsidR="00633CBD" w:rsidRPr="00633CBD" w:rsidRDefault="00633CBD" w:rsidP="00305394">
      <w:r>
        <w:t>Den som tar emot telefonsvar får besked om att preliminärsvar finns att läsa i mikrobiologimodulen i Melior och ska</w:t>
      </w:r>
    </w:p>
    <w:p w14:paraId="6255F559" w14:textId="77777777" w:rsidR="00633CBD" w:rsidRPr="00633CBD" w:rsidRDefault="00633CBD" w:rsidP="008D3558">
      <w:pPr>
        <w:pStyle w:val="Punktlista"/>
      </w:pPr>
      <w:r w:rsidRPr="00633CBD">
        <w:t>skyndsamt meddela ansvarig läkare</w:t>
      </w:r>
    </w:p>
    <w:p w14:paraId="16B24BEC" w14:textId="77777777" w:rsidR="00633CBD" w:rsidRPr="00633CBD" w:rsidRDefault="00633CBD" w:rsidP="008D3558">
      <w:pPr>
        <w:pStyle w:val="Punktlista"/>
      </w:pPr>
      <w:r w:rsidRPr="00633CBD">
        <w:t xml:space="preserve">dokumentera i </w:t>
      </w:r>
      <w:r w:rsidRPr="00633CBD">
        <w:rPr>
          <w:i/>
          <w:iCs/>
        </w:rPr>
        <w:t>Planering</w:t>
      </w:r>
      <w:r w:rsidRPr="00633CBD">
        <w:t xml:space="preserve"> i Melior under rubriken </w:t>
      </w:r>
      <w:r w:rsidRPr="00633CBD">
        <w:rPr>
          <w:i/>
          <w:iCs/>
        </w:rPr>
        <w:t>Blododling positiv</w:t>
      </w:r>
    </w:p>
    <w:p w14:paraId="5117687C" w14:textId="787C98E0" w:rsidR="00633CBD" w:rsidRPr="00633CBD" w:rsidRDefault="00633CBD" w:rsidP="008D3558">
      <w:pPr>
        <w:pStyle w:val="Punktlistaunderliggande"/>
      </w:pPr>
      <w:r w:rsidRPr="00633CBD">
        <w:t xml:space="preserve">datum och vad preliminärsvaret visar, alternativt hänvisning till </w:t>
      </w:r>
      <w:r w:rsidR="006B4A43">
        <w:t>m</w:t>
      </w:r>
      <w:r w:rsidRPr="00633CBD">
        <w:t>ikrobiologimodulen via Melior där preliminärsvaret kan ses</w:t>
      </w:r>
    </w:p>
    <w:p w14:paraId="0A104F64" w14:textId="0A4698C2" w:rsidR="00633CBD" w:rsidRPr="00633CBD" w:rsidRDefault="00BA3610" w:rsidP="008D3558">
      <w:pPr>
        <w:pStyle w:val="Punktlistaunderliggande"/>
      </w:pPr>
      <w:r>
        <w:t>skriva</w:t>
      </w:r>
      <w:r w:rsidR="00A37C85">
        <w:t xml:space="preserve"> in</w:t>
      </w:r>
      <w:r>
        <w:t xml:space="preserve"> </w:t>
      </w:r>
      <w:r w:rsidR="00633CBD" w:rsidRPr="00633CBD">
        <w:t>sitt eget namn</w:t>
      </w:r>
    </w:p>
    <w:p w14:paraId="2EC269D9" w14:textId="31A7E8B7" w:rsidR="00633CBD" w:rsidRPr="00633CBD" w:rsidRDefault="00A37C85" w:rsidP="008D3558">
      <w:pPr>
        <w:pStyle w:val="Punktlistaunderliggande"/>
      </w:pPr>
      <w:r>
        <w:t xml:space="preserve">dokumentera </w:t>
      </w:r>
      <w:r w:rsidR="00633CBD" w:rsidRPr="00633CBD">
        <w:t>namn på den läkare som har informerats.</w:t>
      </w:r>
    </w:p>
    <w:p w14:paraId="73637E59" w14:textId="77777777" w:rsidR="00633CBD" w:rsidRPr="00633CBD" w:rsidRDefault="00633CBD" w:rsidP="00ED1C04">
      <w:pPr>
        <w:pStyle w:val="Rubrik3"/>
      </w:pPr>
      <w:bookmarkStart w:id="31" w:name="_Toc44673273"/>
      <w:bookmarkStart w:id="32" w:name="_Toc256000004"/>
      <w:bookmarkStart w:id="33" w:name="_Toc256000012"/>
      <w:bookmarkStart w:id="34" w:name="_Toc256000020"/>
      <w:bookmarkStart w:id="35" w:name="_Toc256000028"/>
      <w:bookmarkStart w:id="36" w:name="_Toc256000036"/>
      <w:bookmarkStart w:id="37" w:name="_Toc165964571"/>
      <w:r w:rsidRPr="00633CBD">
        <w:t>Ansvarig läkare som informerats</w:t>
      </w:r>
      <w:bookmarkEnd w:id="31"/>
      <w:bookmarkEnd w:id="32"/>
      <w:bookmarkEnd w:id="33"/>
      <w:bookmarkEnd w:id="34"/>
      <w:bookmarkEnd w:id="35"/>
      <w:bookmarkEnd w:id="36"/>
      <w:bookmarkEnd w:id="37"/>
    </w:p>
    <w:p w14:paraId="4AF31857" w14:textId="77777777" w:rsidR="00633CBD" w:rsidRPr="00633CBD" w:rsidRDefault="00633CBD" w:rsidP="00A6260F">
      <w:r w:rsidRPr="00633CBD">
        <w:t>Ansvarig läkare är den som har informerats och ska</w:t>
      </w:r>
    </w:p>
    <w:p w14:paraId="6AF98CC2" w14:textId="77777777" w:rsidR="00633CBD" w:rsidRPr="00633CBD" w:rsidRDefault="00633CBD" w:rsidP="00ED1C04">
      <w:pPr>
        <w:pStyle w:val="Punktlista"/>
      </w:pPr>
      <w:r w:rsidRPr="00633CBD">
        <w:t>ta ställning till om åtgärd ska vidtas med anledning av svaret.</w:t>
      </w:r>
    </w:p>
    <w:p w14:paraId="0299CF70" w14:textId="77777777" w:rsidR="00633CBD" w:rsidRPr="00633CBD" w:rsidRDefault="00633CBD" w:rsidP="00ED1C04">
      <w:pPr>
        <w:pStyle w:val="Punktlista"/>
      </w:pPr>
      <w:r w:rsidRPr="00633CBD">
        <w:t>vid behov diskutera med infektionskonsult eller infektionsjour.</w:t>
      </w:r>
    </w:p>
    <w:p w14:paraId="61B7B0F6" w14:textId="5A11A2B8" w:rsidR="00633CBD" w:rsidRPr="00633CBD" w:rsidRDefault="00633CBD" w:rsidP="00A6260F">
      <w:r w:rsidRPr="00633CBD">
        <w:t xml:space="preserve">Vid positiv blododling med </w:t>
      </w:r>
      <w:r w:rsidRPr="00633CBD">
        <w:rPr>
          <w:i/>
        </w:rPr>
        <w:t>Staphylococcus aureus</w:t>
      </w:r>
      <w:r w:rsidRPr="00633CBD">
        <w:t xml:space="preserve"> eller svamp meddelar laboratoriet, förutom provtagande enhet, även infektionsmottagningen där ansvarig konsultläkare värderar fyndet, tar kontakt med </w:t>
      </w:r>
      <w:r w:rsidRPr="00633CBD">
        <w:lastRenderedPageBreak/>
        <w:t>patientansvarig läkare och dokumenterar som konsultanteckning i Melior. Se rutin ”</w:t>
      </w:r>
      <w:hyperlink r:id="rId12" w:history="1">
        <w:r w:rsidR="00267348">
          <w:rPr>
            <w:rStyle w:val="Hyperlnk"/>
          </w:rPr>
          <w:t>Blododling, positiv för Staphylococcus aureus och svamp</w:t>
        </w:r>
      </w:hyperlink>
      <w:r w:rsidRPr="00633CBD">
        <w:t>”</w:t>
      </w:r>
    </w:p>
    <w:p w14:paraId="5F0CACD4" w14:textId="77777777" w:rsidR="00633CBD" w:rsidRPr="00633CBD" w:rsidRDefault="00633CBD" w:rsidP="00A6260F">
      <w:pPr>
        <w:pStyle w:val="Rubrik3"/>
      </w:pPr>
      <w:bookmarkStart w:id="38" w:name="_Toc44673274"/>
      <w:bookmarkStart w:id="39" w:name="_Toc256000005"/>
      <w:bookmarkStart w:id="40" w:name="_Toc256000013"/>
      <w:bookmarkStart w:id="41" w:name="_Toc256000021"/>
      <w:bookmarkStart w:id="42" w:name="_Toc256000029"/>
      <w:bookmarkStart w:id="43" w:name="_Toc256000037"/>
      <w:bookmarkStart w:id="44" w:name="_Toc165964572"/>
      <w:r w:rsidRPr="00633CBD">
        <w:t>Uppföljning</w:t>
      </w:r>
      <w:bookmarkEnd w:id="38"/>
      <w:bookmarkEnd w:id="39"/>
      <w:bookmarkEnd w:id="40"/>
      <w:bookmarkEnd w:id="41"/>
      <w:bookmarkEnd w:id="42"/>
      <w:bookmarkEnd w:id="43"/>
      <w:bookmarkEnd w:id="44"/>
    </w:p>
    <w:p w14:paraId="044F1B3C" w14:textId="77777777" w:rsidR="00633CBD" w:rsidRPr="00633CBD" w:rsidRDefault="00633CBD" w:rsidP="00A6260F">
      <w:r w:rsidRPr="00633CBD">
        <w:t xml:space="preserve">Utdataenheten tar månadsvis fram data på hur stor andel av alla vårdtillfällen med positiv blododling som har en anteckning under rubriken Positiv blododling i </w:t>
      </w:r>
      <w:r w:rsidRPr="00633CBD">
        <w:rPr>
          <w:i/>
        </w:rPr>
        <w:t>Planeringsaktiviteten</w:t>
      </w:r>
      <w:r w:rsidRPr="00633CBD">
        <w:t xml:space="preserve"> i Melior. Resultaten ska redovisas på sjukhusets </w:t>
      </w:r>
      <w:r w:rsidRPr="00633CBD">
        <w:rPr>
          <w:color w:val="262626"/>
        </w:rPr>
        <w:t>webbsida och även återkopplas av chefläkare i samband med ”Alla chefers möte”.</w:t>
      </w:r>
    </w:p>
    <w:p w14:paraId="69D47495" w14:textId="77777777" w:rsidR="00633CBD" w:rsidRPr="00633CBD" w:rsidRDefault="00633CBD" w:rsidP="00A6260F">
      <w:r w:rsidRPr="00633CBD">
        <w:t>Måltal fastställs fortlöpande kvartalsvis efter införandet i samråd mellan chefläkare och ansvarig infektionsläkare.</w:t>
      </w:r>
    </w:p>
    <w:p w14:paraId="16896347" w14:textId="77777777" w:rsidR="00633CBD" w:rsidRPr="00633CBD" w:rsidRDefault="00633CBD" w:rsidP="00A6260F">
      <w:pPr>
        <w:pStyle w:val="Rubrik2"/>
      </w:pPr>
      <w:bookmarkStart w:id="45" w:name="_Toc182366122"/>
      <w:bookmarkStart w:id="46" w:name="_Toc44673275"/>
      <w:bookmarkStart w:id="47" w:name="_Toc256000006"/>
      <w:bookmarkStart w:id="48" w:name="_Toc256000014"/>
      <w:bookmarkStart w:id="49" w:name="_Toc256000022"/>
      <w:bookmarkStart w:id="50" w:name="_Toc256000030"/>
      <w:bookmarkStart w:id="51" w:name="_Toc256000038"/>
      <w:bookmarkStart w:id="52" w:name="_Toc165964573"/>
      <w:r w:rsidRPr="00633CBD">
        <w:t>Dokumentinformation</w:t>
      </w:r>
      <w:bookmarkEnd w:id="45"/>
      <w:bookmarkEnd w:id="46"/>
      <w:bookmarkEnd w:id="47"/>
      <w:bookmarkEnd w:id="48"/>
      <w:bookmarkEnd w:id="49"/>
      <w:bookmarkEnd w:id="50"/>
      <w:bookmarkEnd w:id="51"/>
      <w:bookmarkEnd w:id="52"/>
    </w:p>
    <w:p w14:paraId="2FB26AE5" w14:textId="77777777" w:rsidR="00633CBD" w:rsidRPr="00A6260F" w:rsidRDefault="00633CBD" w:rsidP="00A6260F">
      <w:pPr>
        <w:spacing w:after="0"/>
        <w:rPr>
          <w:b/>
          <w:bCs/>
        </w:rPr>
      </w:pPr>
      <w:r w:rsidRPr="00A6260F">
        <w:rPr>
          <w:b/>
          <w:bCs/>
        </w:rPr>
        <w:t>För innehållet svarar</w:t>
      </w:r>
    </w:p>
    <w:p w14:paraId="6ABB8D55" w14:textId="77777777" w:rsidR="00633CBD" w:rsidRPr="00633CBD" w:rsidRDefault="00633CBD" w:rsidP="00A6260F">
      <w:pPr>
        <w:rPr>
          <w:szCs w:val="20"/>
        </w:rPr>
      </w:pPr>
      <w:r w:rsidRPr="00633CBD">
        <w:rPr>
          <w:szCs w:val="20"/>
        </w:rPr>
        <w:t>Daniel Svensson, överläkare, HIVÖ/infektion, SÄS</w:t>
      </w:r>
    </w:p>
    <w:p w14:paraId="3829F449" w14:textId="4D0084AE" w:rsidR="00633CBD" w:rsidRPr="008F55C5" w:rsidRDefault="00633CBD" w:rsidP="00A6260F">
      <w:pPr>
        <w:spacing w:after="0"/>
      </w:pPr>
      <w:bookmarkStart w:id="53" w:name="_Toc149035757"/>
      <w:bookmarkStart w:id="54" w:name="_Toc149978547"/>
      <w:r w:rsidRPr="00A6260F">
        <w:rPr>
          <w:b/>
          <w:bCs/>
        </w:rPr>
        <w:t>Remissinstanser</w:t>
      </w:r>
      <w:bookmarkEnd w:id="53"/>
      <w:bookmarkEnd w:id="54"/>
      <w:r w:rsidR="00AD1A9D" w:rsidRPr="00A6260F">
        <w:rPr>
          <w:b/>
          <w:bCs/>
        </w:rPr>
        <w:t xml:space="preserve"> </w:t>
      </w:r>
      <w:r w:rsidR="00AD1A9D" w:rsidRPr="008F55C5">
        <w:t>(utgåva 1)</w:t>
      </w:r>
    </w:p>
    <w:p w14:paraId="3C8D5868" w14:textId="77777777" w:rsidR="00633CBD" w:rsidRPr="00633CBD" w:rsidRDefault="00633CBD" w:rsidP="00A6260F">
      <w:pPr>
        <w:rPr>
          <w:szCs w:val="20"/>
        </w:rPr>
      </w:pPr>
      <w:r w:rsidRPr="00633CBD">
        <w:rPr>
          <w:szCs w:val="20"/>
        </w:rPr>
        <w:t>Verksamhetschefer, SÄS</w:t>
      </w:r>
    </w:p>
    <w:p w14:paraId="158556FD" w14:textId="77777777" w:rsidR="00633CBD" w:rsidRPr="00A6260F" w:rsidRDefault="00633CBD" w:rsidP="00A6260F">
      <w:pPr>
        <w:spacing w:after="0"/>
        <w:rPr>
          <w:b/>
          <w:bCs/>
        </w:rPr>
      </w:pPr>
      <w:r w:rsidRPr="00A6260F">
        <w:rPr>
          <w:b/>
          <w:bCs/>
        </w:rPr>
        <w:t>Fastställt av</w:t>
      </w:r>
    </w:p>
    <w:p w14:paraId="3766ED25" w14:textId="30C05998" w:rsidR="00633CBD" w:rsidRPr="00633CBD" w:rsidRDefault="00C66521" w:rsidP="00A6260F">
      <w:pPr>
        <w:rPr>
          <w:szCs w:val="20"/>
        </w:rPr>
      </w:pPr>
      <w:r>
        <w:rPr>
          <w:szCs w:val="20"/>
        </w:rPr>
        <w:t>Jerker Nilson</w:t>
      </w:r>
      <w:r w:rsidR="00633CBD" w:rsidRPr="00633CBD">
        <w:rPr>
          <w:szCs w:val="20"/>
        </w:rPr>
        <w:t>,</w:t>
      </w:r>
      <w:r w:rsidR="00820E2A">
        <w:rPr>
          <w:szCs w:val="20"/>
        </w:rPr>
        <w:t xml:space="preserve"> </w:t>
      </w:r>
      <w:r w:rsidR="00633CBD" w:rsidRPr="00633CBD">
        <w:rPr>
          <w:szCs w:val="20"/>
        </w:rPr>
        <w:t>chefläkare, SÄS</w:t>
      </w:r>
    </w:p>
    <w:p w14:paraId="02A477FE" w14:textId="77777777" w:rsidR="00633CBD" w:rsidRPr="00A6260F" w:rsidRDefault="00633CBD" w:rsidP="00A6260F">
      <w:pPr>
        <w:spacing w:after="0"/>
        <w:rPr>
          <w:b/>
          <w:bCs/>
        </w:rPr>
      </w:pPr>
      <w:r w:rsidRPr="00A6260F">
        <w:rPr>
          <w:b/>
          <w:bCs/>
        </w:rPr>
        <w:t>Nyckelord</w:t>
      </w:r>
    </w:p>
    <w:p w14:paraId="4F439F73" w14:textId="225D731A" w:rsidR="00A6260F" w:rsidRPr="00633CBD" w:rsidRDefault="00633CBD" w:rsidP="00A6260F">
      <w:pPr>
        <w:rPr>
          <w:szCs w:val="20"/>
        </w:rPr>
      </w:pPr>
      <w:r w:rsidRPr="00633CBD">
        <w:rPr>
          <w:szCs w:val="20"/>
        </w:rPr>
        <w:t>positiv blododling, blododling, Staph aureus, staph aureus, Staf</w:t>
      </w:r>
      <w:r w:rsidR="00820E2A">
        <w:rPr>
          <w:szCs w:val="20"/>
        </w:rPr>
        <w:t> </w:t>
      </w:r>
      <w:r w:rsidRPr="00633CBD">
        <w:rPr>
          <w:szCs w:val="20"/>
        </w:rPr>
        <w:t>aureus, staf aureus, Staphylococcus, Stafylokocker, stafylokocker, Stafylococcer, stafylococcer, staffar, provsvar, odlingssvar, odlingsresultat, bakterieodling, blododlingssvar, svarsrapportering, överrapportering av provsvar, jourer, jourläkare, läkemedelsbehandling, antibiotika, medicinering, hjärtsjukdomar</w:t>
      </w:r>
    </w:p>
    <w:p w14:paraId="4659B8FA" w14:textId="77777777" w:rsidR="00633CBD" w:rsidRPr="00633CBD" w:rsidRDefault="00633CBD" w:rsidP="00A6260F">
      <w:pPr>
        <w:pStyle w:val="Rubrik2"/>
      </w:pPr>
      <w:bookmarkStart w:id="55" w:name="_Toc44673276"/>
      <w:bookmarkStart w:id="56" w:name="_Toc256000007"/>
      <w:bookmarkStart w:id="57" w:name="_Toc256000015"/>
      <w:bookmarkStart w:id="58" w:name="_Toc256000023"/>
      <w:bookmarkStart w:id="59" w:name="_Toc256000031"/>
      <w:bookmarkStart w:id="60" w:name="_Toc256000039"/>
      <w:bookmarkStart w:id="61" w:name="_Toc165964574"/>
      <w:r w:rsidRPr="00633CBD">
        <w:t>Länkförteckning</w:t>
      </w:r>
      <w:bookmarkEnd w:id="55"/>
      <w:bookmarkEnd w:id="56"/>
      <w:bookmarkEnd w:id="57"/>
      <w:bookmarkEnd w:id="58"/>
      <w:bookmarkEnd w:id="59"/>
      <w:bookmarkEnd w:id="60"/>
      <w:bookmarkEnd w:id="61"/>
    </w:p>
    <w:p w14:paraId="76B9F95B" w14:textId="6A81B4FB" w:rsidR="00536A5A" w:rsidRPr="00E17CA3" w:rsidRDefault="00633CBD" w:rsidP="00E17CA3">
      <w:pPr>
        <w:pStyle w:val="Punktlista"/>
      </w:pPr>
      <w:r w:rsidRPr="00E17CA3">
        <w:t>Blododling, positiv för Staphylococcus aureus. Sjukhusövergripande rutin, SÄS</w:t>
      </w:r>
      <w:r w:rsidRPr="00E17CA3">
        <w:br/>
      </w:r>
      <w:hyperlink r:id="rId13" w:history="1">
        <w:r w:rsidR="00267348" w:rsidRPr="009231AC">
          <w:rPr>
            <w:rStyle w:val="Hyperlnk"/>
          </w:rPr>
          <w:t>https://hittadokument.vgregion.se/sas</w:t>
        </w:r>
      </w:hyperlink>
      <w:bookmarkEnd w:id="1"/>
    </w:p>
    <w:sectPr w:rsidR="00536A5A" w:rsidRPr="00E17CA3" w:rsidSect="00633CBD">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4F246C9A"/>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CFF2FE18"/>
    <w:lvl w:ilvl="0" w:tplc="0EF406D0">
      <w:start w:val="1"/>
      <w:numFmt w:val="bullet"/>
      <w:pStyle w:val="Punktlistaunderliggande"/>
      <w:lvlText w:val="–"/>
      <w:lvlJc w:val="left"/>
      <w:pPr>
        <w:ind w:left="1636"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06216084">
    <w:abstractNumId w:val="19"/>
  </w:num>
  <w:num w:numId="2" w16cid:durableId="1273585055">
    <w:abstractNumId w:val="16"/>
  </w:num>
  <w:num w:numId="3" w16cid:durableId="518128476">
    <w:abstractNumId w:val="0"/>
  </w:num>
  <w:num w:numId="4" w16cid:durableId="237789937">
    <w:abstractNumId w:val="7"/>
  </w:num>
  <w:num w:numId="5" w16cid:durableId="1262834554">
    <w:abstractNumId w:val="17"/>
  </w:num>
  <w:num w:numId="6" w16cid:durableId="1990283715">
    <w:abstractNumId w:val="3"/>
  </w:num>
  <w:num w:numId="7" w16cid:durableId="663555105">
    <w:abstractNumId w:val="13"/>
  </w:num>
  <w:num w:numId="8" w16cid:durableId="1278754355">
    <w:abstractNumId w:val="10"/>
  </w:num>
  <w:num w:numId="9" w16cid:durableId="1037702884">
    <w:abstractNumId w:val="2"/>
  </w:num>
  <w:num w:numId="10" w16cid:durableId="1953434848">
    <w:abstractNumId w:val="2"/>
  </w:num>
  <w:num w:numId="11" w16cid:durableId="1657414012">
    <w:abstractNumId w:val="4"/>
  </w:num>
  <w:num w:numId="12" w16cid:durableId="1772360955">
    <w:abstractNumId w:val="5"/>
  </w:num>
  <w:num w:numId="13" w16cid:durableId="311720121">
    <w:abstractNumId w:val="15"/>
  </w:num>
  <w:num w:numId="14" w16cid:durableId="1277447520">
    <w:abstractNumId w:val="11"/>
  </w:num>
  <w:num w:numId="15" w16cid:durableId="1334576229">
    <w:abstractNumId w:val="8"/>
  </w:num>
  <w:num w:numId="16" w16cid:durableId="157773589">
    <w:abstractNumId w:val="14"/>
  </w:num>
  <w:num w:numId="17" w16cid:durableId="455946444">
    <w:abstractNumId w:val="6"/>
  </w:num>
  <w:num w:numId="18" w16cid:durableId="324823615">
    <w:abstractNumId w:val="12"/>
  </w:num>
  <w:num w:numId="19" w16cid:durableId="1545096000">
    <w:abstractNumId w:val="18"/>
  </w:num>
  <w:num w:numId="20" w16cid:durableId="71707972">
    <w:abstractNumId w:val="1"/>
  </w:num>
  <w:num w:numId="21" w16cid:durableId="70421560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7C"/>
    <w:rsid w:val="000051D5"/>
    <w:rsid w:val="00006D2A"/>
    <w:rsid w:val="00010D47"/>
    <w:rsid w:val="00016CF0"/>
    <w:rsid w:val="0002435C"/>
    <w:rsid w:val="00030DDD"/>
    <w:rsid w:val="000313BB"/>
    <w:rsid w:val="00033ED5"/>
    <w:rsid w:val="00050500"/>
    <w:rsid w:val="00051A6F"/>
    <w:rsid w:val="0005691C"/>
    <w:rsid w:val="00056ECB"/>
    <w:rsid w:val="00056ED5"/>
    <w:rsid w:val="000655CC"/>
    <w:rsid w:val="000700AE"/>
    <w:rsid w:val="00083F93"/>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0944"/>
    <w:rsid w:val="00250F24"/>
    <w:rsid w:val="002523C5"/>
    <w:rsid w:val="0025380B"/>
    <w:rsid w:val="0025703A"/>
    <w:rsid w:val="00262F3D"/>
    <w:rsid w:val="00263281"/>
    <w:rsid w:val="002651D6"/>
    <w:rsid w:val="0026551F"/>
    <w:rsid w:val="00267348"/>
    <w:rsid w:val="00280A85"/>
    <w:rsid w:val="00284119"/>
    <w:rsid w:val="00290B5C"/>
    <w:rsid w:val="00294791"/>
    <w:rsid w:val="002B0B30"/>
    <w:rsid w:val="002B0C78"/>
    <w:rsid w:val="002C0C02"/>
    <w:rsid w:val="002C1277"/>
    <w:rsid w:val="002C60AD"/>
    <w:rsid w:val="002D0E0E"/>
    <w:rsid w:val="002D6023"/>
    <w:rsid w:val="002E263F"/>
    <w:rsid w:val="002E4C57"/>
    <w:rsid w:val="002E6F81"/>
    <w:rsid w:val="002F08BA"/>
    <w:rsid w:val="002F2CFF"/>
    <w:rsid w:val="002F568B"/>
    <w:rsid w:val="002F7818"/>
    <w:rsid w:val="00305394"/>
    <w:rsid w:val="003066D0"/>
    <w:rsid w:val="00306D1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A1F"/>
    <w:rsid w:val="00371BED"/>
    <w:rsid w:val="00384019"/>
    <w:rsid w:val="003854F1"/>
    <w:rsid w:val="0039118E"/>
    <w:rsid w:val="00397F54"/>
    <w:rsid w:val="003A0D43"/>
    <w:rsid w:val="003B2A4B"/>
    <w:rsid w:val="003C5712"/>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44D5"/>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21"/>
    <w:rsid w:val="004C2559"/>
    <w:rsid w:val="004D7BA3"/>
    <w:rsid w:val="004E1A69"/>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E02"/>
    <w:rsid w:val="00627BEA"/>
    <w:rsid w:val="006319DB"/>
    <w:rsid w:val="00633CBD"/>
    <w:rsid w:val="0065595B"/>
    <w:rsid w:val="00660269"/>
    <w:rsid w:val="00665F89"/>
    <w:rsid w:val="00673C92"/>
    <w:rsid w:val="006753EC"/>
    <w:rsid w:val="006A2789"/>
    <w:rsid w:val="006A4978"/>
    <w:rsid w:val="006A7261"/>
    <w:rsid w:val="006B0D29"/>
    <w:rsid w:val="006B1819"/>
    <w:rsid w:val="006B4A43"/>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DD2"/>
    <w:rsid w:val="007A5C6F"/>
    <w:rsid w:val="007D4241"/>
    <w:rsid w:val="007D4317"/>
    <w:rsid w:val="007D4EA3"/>
    <w:rsid w:val="007F1CFF"/>
    <w:rsid w:val="007F5DD5"/>
    <w:rsid w:val="00820E2A"/>
    <w:rsid w:val="00821A1B"/>
    <w:rsid w:val="0082330A"/>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558"/>
    <w:rsid w:val="008DD73B"/>
    <w:rsid w:val="008E36F8"/>
    <w:rsid w:val="008E46B2"/>
    <w:rsid w:val="008E682C"/>
    <w:rsid w:val="008E78A1"/>
    <w:rsid w:val="008F55C5"/>
    <w:rsid w:val="008F589F"/>
    <w:rsid w:val="00906238"/>
    <w:rsid w:val="00907EF9"/>
    <w:rsid w:val="0091295C"/>
    <w:rsid w:val="00914D58"/>
    <w:rsid w:val="00921F47"/>
    <w:rsid w:val="009228AB"/>
    <w:rsid w:val="009231AC"/>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4A4"/>
    <w:rsid w:val="00A07BEC"/>
    <w:rsid w:val="00A264BE"/>
    <w:rsid w:val="00A272CA"/>
    <w:rsid w:val="00A33051"/>
    <w:rsid w:val="00A37C85"/>
    <w:rsid w:val="00A407AD"/>
    <w:rsid w:val="00A40923"/>
    <w:rsid w:val="00A41C05"/>
    <w:rsid w:val="00A42426"/>
    <w:rsid w:val="00A514B7"/>
    <w:rsid w:val="00A54A0B"/>
    <w:rsid w:val="00A6260F"/>
    <w:rsid w:val="00A65FD4"/>
    <w:rsid w:val="00A81198"/>
    <w:rsid w:val="00A81E48"/>
    <w:rsid w:val="00A82035"/>
    <w:rsid w:val="00A90D77"/>
    <w:rsid w:val="00A92E07"/>
    <w:rsid w:val="00AA0B3A"/>
    <w:rsid w:val="00AA4FC9"/>
    <w:rsid w:val="00AA6EB4"/>
    <w:rsid w:val="00AA767D"/>
    <w:rsid w:val="00AB0CC9"/>
    <w:rsid w:val="00AC3FF6"/>
    <w:rsid w:val="00AD1A9D"/>
    <w:rsid w:val="00AD73EC"/>
    <w:rsid w:val="00AE5BC7"/>
    <w:rsid w:val="00AF5AAF"/>
    <w:rsid w:val="00B046D8"/>
    <w:rsid w:val="00B0475D"/>
    <w:rsid w:val="00B05D85"/>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610"/>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521"/>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D81"/>
    <w:rsid w:val="00CD6647"/>
    <w:rsid w:val="00CE4B73"/>
    <w:rsid w:val="00CF70BB"/>
    <w:rsid w:val="00D074DB"/>
    <w:rsid w:val="00D139CF"/>
    <w:rsid w:val="00D162EE"/>
    <w:rsid w:val="00D37E7F"/>
    <w:rsid w:val="00D47AD7"/>
    <w:rsid w:val="00D51529"/>
    <w:rsid w:val="00D85218"/>
    <w:rsid w:val="00D915B1"/>
    <w:rsid w:val="00DA299D"/>
    <w:rsid w:val="00DA65C4"/>
    <w:rsid w:val="00DA78F6"/>
    <w:rsid w:val="00DD2BE0"/>
    <w:rsid w:val="00DE4447"/>
    <w:rsid w:val="00DE5DA2"/>
    <w:rsid w:val="00DF0033"/>
    <w:rsid w:val="00E026BF"/>
    <w:rsid w:val="00E07B1B"/>
    <w:rsid w:val="00E11853"/>
    <w:rsid w:val="00E17CA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C04"/>
    <w:rsid w:val="00ED49C3"/>
    <w:rsid w:val="00ED6CE8"/>
    <w:rsid w:val="00ED7AA6"/>
    <w:rsid w:val="00EE2A56"/>
    <w:rsid w:val="00EE3818"/>
    <w:rsid w:val="00EE7780"/>
    <w:rsid w:val="00F22264"/>
    <w:rsid w:val="00F2564D"/>
    <w:rsid w:val="00F35B05"/>
    <w:rsid w:val="00F413D9"/>
    <w:rsid w:val="00F5135F"/>
    <w:rsid w:val="00F51F78"/>
    <w:rsid w:val="00F86F47"/>
    <w:rsid w:val="00F90B64"/>
    <w:rsid w:val="00FA296D"/>
    <w:rsid w:val="00FB2F0F"/>
    <w:rsid w:val="00FB5086"/>
    <w:rsid w:val="00FB5411"/>
    <w:rsid w:val="00FB6392"/>
    <w:rsid w:val="00FD3C70"/>
    <w:rsid w:val="00FD6820"/>
    <w:rsid w:val="00FE12D8"/>
    <w:rsid w:val="00FF7C02"/>
    <w:rsid w:val="024801E3"/>
    <w:rsid w:val="100757B2"/>
    <w:rsid w:val="10CEE76C"/>
    <w:rsid w:val="11A32813"/>
    <w:rsid w:val="18E14BAD"/>
    <w:rsid w:val="1E0B0B25"/>
    <w:rsid w:val="25E31BFB"/>
    <w:rsid w:val="28D3CCD3"/>
    <w:rsid w:val="38D892F2"/>
    <w:rsid w:val="3D8C0114"/>
    <w:rsid w:val="44C2EE60"/>
    <w:rsid w:val="4C50F720"/>
    <w:rsid w:val="5D5E289C"/>
    <w:rsid w:val="647B2B65"/>
    <w:rsid w:val="6B2CF8ED"/>
    <w:rsid w:val="729554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E1A69"/>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633CB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633CB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633CB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E1A6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E1A6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E1A69"/>
    <w:pPr>
      <w:tabs>
        <w:tab w:val="right" w:leader="dot" w:pos="8777"/>
      </w:tabs>
      <w:spacing w:after="0"/>
      <w:ind w:left="1276"/>
    </w:pPr>
  </w:style>
  <w:style w:type="paragraph" w:styleId="Innehll3">
    <w:name w:val="toc 3"/>
    <w:basedOn w:val="Normal"/>
    <w:next w:val="Normal"/>
    <w:autoRedefine/>
    <w:uiPriority w:val="39"/>
    <w:unhideWhenUsed/>
    <w:rsid w:val="004E1A69"/>
    <w:pPr>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51A6F"/>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633CB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633CB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633CBD"/>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633CBD"/>
    <w:pPr>
      <w:numPr>
        <w:numId w:val="20"/>
      </w:numPr>
      <w:contextualSpacing/>
    </w:pPr>
  </w:style>
  <w:style w:type="paragraph" w:customStyle="1" w:styleId="Punktlistaunderliggande">
    <w:name w:val="Punktlista underliggande"/>
    <w:qFormat/>
    <w:rsid w:val="003C5712"/>
    <w:pPr>
      <w:numPr>
        <w:numId w:val="21"/>
      </w:numPr>
      <w:tabs>
        <w:tab w:val="right" w:leader="dot" w:pos="8777"/>
      </w:tabs>
      <w:suppressAutoHyphens/>
      <w:overflowPunct w:val="0"/>
      <w:autoSpaceDE w:val="0"/>
      <w:autoSpaceDN w:val="0"/>
      <w:adjustRightInd w:val="0"/>
      <w:spacing w:after="120"/>
      <w:ind w:right="868"/>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31/surrogate/Blododling%2c%20positiv%20f%c3%b6r%20Staphylococcus%20aureus%20och%20svamp.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31/surrogate/Blododling%2c%20positiv%20f%c3%b6r%20Staphylococcus%20aureus%20och%20svamp.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3</Pages>
  <Words>565</Words>
  <Characters>5002</Characters>
  <Application>Microsoft Office Word</Application>
  <DocSecurity>0</DocSecurity>
  <Lines>41</Lines>
  <Paragraphs>11</Paragraphs>
  <ScaleCrop>false</ScaleCrop>
  <Manager/>
  <Company/>
  <LinksUpToDate>false</LinksUpToDate>
  <CharactersWithSpaces>5556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Positivt blododlingssvar, handläggning vid SÄS</dc:title>
  <dc:subject/>
  <dc:creator>patrik.jens.johansson@vgregion.se</dc:creator>
  <keywords/>
  <lastModifiedBy>Karin Åhlin</lastModifiedBy>
  <revision>41</revision>
  <lastPrinted>2016-03-31T10:56:00.0000000Z</lastPrinted>
  <dcterms:created xsi:type="dcterms:W3CDTF">2022-03-28T05:40:00.0000000Z</dcterms:created>
  <dcterms:modified xsi:type="dcterms:W3CDTF">2024-05-07T06:56:00.0000000Z</dcterms:modified>
</coreProperties>
</file>