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6667AC4" w:rsidR="00184167" w:rsidRDefault="001209EC" w:rsidP="009A32ED">
      <w:pPr>
        <w:pStyle w:val="Rubrik1"/>
      </w:pPr>
      <w:r w:rsidRPr="001209EC">
        <w:t>Kontrastundersökning, premedicinering vid risk för anafylaktisk reaktion,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48F8722E" w:rsidR="009A32ED" w:rsidRPr="007A334E" w:rsidRDefault="00A30424" w:rsidP="009A32ED">
      <w:pPr>
        <w:ind w:right="-143"/>
      </w:pPr>
      <w:r>
        <w:t xml:space="preserve">Ny mall, förlängs i två år utan förändringar. 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49C6B9CE" w:rsidR="00B405A1" w:rsidRDefault="001209EC" w:rsidP="001209EC">
      <w:pPr>
        <w:ind w:right="-143"/>
      </w:pPr>
      <w:r w:rsidRPr="001209EC">
        <w:t xml:space="preserve">Rutinen beskriver riskfaktorer för </w:t>
      </w:r>
      <w:proofErr w:type="spellStart"/>
      <w:r w:rsidRPr="001209EC">
        <w:t>anafylaxi</w:t>
      </w:r>
      <w:proofErr w:type="spellEnd"/>
      <w:r w:rsidRPr="001209EC">
        <w:t xml:space="preserve"> vid kontrasttillförsel och vilken premedicinering som ska ges inför undersökning och vilken beredskap som behöver finnas på röntgenavdelningen i händelse av ny anafylaktisk chock. Åtgärder vid anafylaktisk chock beskrivs i riktlinjen ”</w:t>
      </w:r>
      <w:proofErr w:type="spellStart"/>
      <w:r>
        <w:fldChar w:fldCharType="begin"/>
      </w:r>
      <w:r>
        <w:instrText>HYPERLINK "https://mellanarkiv-offentlig.vgregion.se/alfresco/s/archive/stream/public/v1/source/available/SOFIA/SAS9642-738863596-37/SURROGATE/Anafylaxibehandling%20och%20utredning%20hos%20vuxna%20patienter%20inom%20S%c3%84S%20samt%20r%c3%a5d%20om%20uppf%c3%b6ljning.pdf" \t "_blank"</w:instrText>
      </w:r>
      <w:r>
        <w:fldChar w:fldCharType="separate"/>
      </w:r>
      <w:r w:rsidRPr="001209EC">
        <w:rPr>
          <w:rStyle w:val="Hyperlnk"/>
        </w:rPr>
        <w:t>Anafylaxibehandling</w:t>
      </w:r>
      <w:proofErr w:type="spellEnd"/>
      <w:r w:rsidRPr="001209EC">
        <w:rPr>
          <w:rStyle w:val="Hyperlnk"/>
        </w:rPr>
        <w:t xml:space="preserve"> och utredning hos vuxna patienter inom akutsjukvården på SÄS samt råd om uppföljning</w:t>
      </w:r>
      <w:r>
        <w:fldChar w:fldCharType="end"/>
      </w:r>
      <w:r w:rsidRPr="001209EC">
        <w:t>”. </w:t>
      </w:r>
    </w:p>
    <w:p w14:paraId="70B2A54A" w14:textId="77777777" w:rsidR="009A32ED" w:rsidRDefault="009A32ED" w:rsidP="009A32ED">
      <w:pPr>
        <w:pStyle w:val="Rubrik2"/>
        <w:ind w:right="-143"/>
      </w:pPr>
      <w:bookmarkStart w:id="6" w:name="_Toc100327187"/>
      <w:bookmarkStart w:id="7" w:name="_Toc181866760"/>
      <w:bookmarkEnd w:id="5"/>
      <w:r>
        <w:t>Förutsättningar</w:t>
      </w:r>
      <w:bookmarkEnd w:id="6"/>
      <w:bookmarkEnd w:id="7"/>
    </w:p>
    <w:p w14:paraId="1BCB9A64" w14:textId="77777777" w:rsidR="001209EC" w:rsidRPr="001209EC" w:rsidRDefault="001209EC" w:rsidP="001209EC">
      <w:pPr>
        <w:ind w:right="-143"/>
      </w:pPr>
      <w:r w:rsidRPr="001209EC">
        <w:t>Riskfaktorer </w:t>
      </w:r>
    </w:p>
    <w:p w14:paraId="6CEEAA58" w14:textId="77777777" w:rsidR="001209EC" w:rsidRPr="001209EC" w:rsidRDefault="001209EC" w:rsidP="00A30424">
      <w:pPr>
        <w:pStyle w:val="Liststycke"/>
        <w:numPr>
          <w:ilvl w:val="0"/>
          <w:numId w:val="5"/>
        </w:numPr>
      </w:pPr>
      <w:r w:rsidRPr="001209EC">
        <w:t xml:space="preserve">Tidigare </w:t>
      </w:r>
      <w:proofErr w:type="spellStart"/>
      <w:r w:rsidRPr="001209EC">
        <w:t>anafylaxireaktion</w:t>
      </w:r>
      <w:proofErr w:type="spellEnd"/>
      <w:r w:rsidRPr="001209EC">
        <w:t xml:space="preserve"> utlöst av samma kontrastmedelstyp (</w:t>
      </w:r>
      <w:proofErr w:type="gramStart"/>
      <w:r w:rsidRPr="001209EC">
        <w:t>5-11</w:t>
      </w:r>
      <w:proofErr w:type="gramEnd"/>
      <w:r w:rsidRPr="001209EC">
        <w:t xml:space="preserve"> ggr ökad risk) </w:t>
      </w:r>
    </w:p>
    <w:p w14:paraId="1B09DEC4" w14:textId="77777777" w:rsidR="001209EC" w:rsidRPr="001209EC" w:rsidRDefault="001209EC" w:rsidP="00A30424">
      <w:pPr>
        <w:pStyle w:val="Liststycke"/>
        <w:numPr>
          <w:ilvl w:val="0"/>
          <w:numId w:val="5"/>
        </w:numPr>
      </w:pPr>
      <w:r w:rsidRPr="001209EC">
        <w:t>Astma (4 ggr ökad risk) </w:t>
      </w:r>
    </w:p>
    <w:p w14:paraId="64B3D526" w14:textId="77777777" w:rsidR="001209EC" w:rsidRPr="001209EC" w:rsidRDefault="001209EC" w:rsidP="00A30424">
      <w:pPr>
        <w:pStyle w:val="Liststycke"/>
        <w:numPr>
          <w:ilvl w:val="0"/>
          <w:numId w:val="5"/>
        </w:numPr>
      </w:pPr>
      <w:r w:rsidRPr="001209EC">
        <w:t xml:space="preserve">Tidigare </w:t>
      </w:r>
      <w:proofErr w:type="spellStart"/>
      <w:r w:rsidRPr="001209EC">
        <w:t>anafylaxireaktion</w:t>
      </w:r>
      <w:proofErr w:type="spellEnd"/>
      <w:r w:rsidRPr="001209EC">
        <w:t xml:space="preserve"> mot annat ämne (oavsett typ) än kontrastmedel (2 ggr ökad risk) </w:t>
      </w:r>
    </w:p>
    <w:p w14:paraId="62050BBD" w14:textId="77777777" w:rsidR="001209EC" w:rsidRPr="001209EC" w:rsidRDefault="001209EC" w:rsidP="00A30424">
      <w:pPr>
        <w:pStyle w:val="Liststycke"/>
        <w:numPr>
          <w:ilvl w:val="0"/>
          <w:numId w:val="5"/>
        </w:numPr>
      </w:pPr>
      <w:r w:rsidRPr="001209EC">
        <w:t>Multiallergi oavsett typ av allergen (2 ggr ökad risk) </w:t>
      </w:r>
    </w:p>
    <w:p w14:paraId="76A031F1" w14:textId="77777777" w:rsidR="001209EC" w:rsidRPr="001209EC" w:rsidRDefault="001209EC" w:rsidP="00A30424">
      <w:pPr>
        <w:pStyle w:val="Liststycke"/>
        <w:numPr>
          <w:ilvl w:val="0"/>
          <w:numId w:val="5"/>
        </w:numPr>
      </w:pPr>
      <w:proofErr w:type="spellStart"/>
      <w:r w:rsidRPr="001209EC">
        <w:t>Mastocytos</w:t>
      </w:r>
      <w:proofErr w:type="spellEnd"/>
      <w:r w:rsidRPr="001209EC">
        <w:t xml:space="preserve">, en ovanlig sjukdom med hög risk för </w:t>
      </w:r>
      <w:proofErr w:type="spellStart"/>
      <w:r w:rsidRPr="001209EC">
        <w:t>anafylaxi</w:t>
      </w:r>
      <w:proofErr w:type="spellEnd"/>
      <w:r w:rsidRPr="001209EC">
        <w:t> </w:t>
      </w:r>
    </w:p>
    <w:p w14:paraId="7AA8D40C" w14:textId="77777777" w:rsidR="001209EC" w:rsidRPr="001209EC" w:rsidRDefault="001209EC" w:rsidP="001209EC">
      <w:pPr>
        <w:ind w:right="-143"/>
      </w:pPr>
      <w:r w:rsidRPr="001209EC">
        <w:rPr>
          <w:b/>
          <w:bCs/>
        </w:rPr>
        <w:t>Observera att:</w:t>
      </w:r>
      <w:r w:rsidRPr="001209EC">
        <w:t> </w:t>
      </w:r>
    </w:p>
    <w:p w14:paraId="39DBC6F9" w14:textId="77777777" w:rsidR="001209EC" w:rsidRPr="001209EC" w:rsidRDefault="001209EC" w:rsidP="00A30424">
      <w:pPr>
        <w:pStyle w:val="Liststycke"/>
        <w:numPr>
          <w:ilvl w:val="0"/>
          <w:numId w:val="6"/>
        </w:numPr>
      </w:pPr>
      <w:r w:rsidRPr="001209EC">
        <w:lastRenderedPageBreak/>
        <w:t>En icke anafylaktisk (isolerad) överkänslighetsreaktion inte ökar risken för ny reaktion </w:t>
      </w:r>
    </w:p>
    <w:p w14:paraId="3F6D069D" w14:textId="77777777" w:rsidR="001209EC" w:rsidRPr="001209EC" w:rsidRDefault="001209EC" w:rsidP="00A30424">
      <w:pPr>
        <w:pStyle w:val="Liststycke"/>
        <w:numPr>
          <w:ilvl w:val="0"/>
          <w:numId w:val="6"/>
        </w:numPr>
      </w:pPr>
      <w:proofErr w:type="spellStart"/>
      <w:r w:rsidRPr="001209EC">
        <w:t>Jodallergi</w:t>
      </w:r>
      <w:proofErr w:type="spellEnd"/>
      <w:r w:rsidRPr="001209EC">
        <w:t xml:space="preserve"> existerar inte annat än som kontakteksem </w:t>
      </w:r>
    </w:p>
    <w:p w14:paraId="54A38BCD" w14:textId="77777777" w:rsidR="001209EC" w:rsidRPr="001209EC" w:rsidRDefault="001209EC" w:rsidP="00A30424">
      <w:pPr>
        <w:pStyle w:val="Liststycke"/>
        <w:numPr>
          <w:ilvl w:val="0"/>
          <w:numId w:val="6"/>
        </w:numPr>
      </w:pPr>
      <w:r w:rsidRPr="001209EC">
        <w:t>Senreaktion på kontrastmedel inte ökar risken för akut reaktion och vice versa </w:t>
      </w:r>
    </w:p>
    <w:p w14:paraId="21371E5A" w14:textId="77777777" w:rsidR="001209EC" w:rsidRPr="001209EC" w:rsidRDefault="001209EC" w:rsidP="00A30424">
      <w:pPr>
        <w:pStyle w:val="Liststycke"/>
        <w:numPr>
          <w:ilvl w:val="0"/>
          <w:numId w:val="6"/>
        </w:numPr>
      </w:pPr>
      <w:r w:rsidRPr="001209EC">
        <w:t>Om kontrastmedel tillförts via latexkateter kan en överkänslighetsreaktion vara betingad av latexmaterialet, vilket specifikt kan diagnostiseras då det är en äkta IgE-förmedlad allergi. 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8" w:name="_Toc100327192"/>
      <w:bookmarkStart w:id="9" w:name="_Toc181866761"/>
      <w:r w:rsidRPr="00065A6B">
        <w:rPr>
          <w:color w:val="auto"/>
        </w:rPr>
        <w:t>Utförande</w:t>
      </w:r>
      <w:bookmarkEnd w:id="8"/>
      <w:bookmarkEnd w:id="9"/>
    </w:p>
    <w:p w14:paraId="52C121CF" w14:textId="77777777" w:rsidR="001209EC" w:rsidRPr="001209EC" w:rsidRDefault="001209EC" w:rsidP="001209EC">
      <w:pPr>
        <w:ind w:right="-143"/>
      </w:pPr>
      <w:r w:rsidRPr="001209EC">
        <w:t>Åtgärder och profylax vid riskfaktor </w:t>
      </w:r>
    </w:p>
    <w:p w14:paraId="563AE807" w14:textId="77777777" w:rsidR="001209EC" w:rsidRPr="001209EC" w:rsidRDefault="001209EC" w:rsidP="00A30424">
      <w:pPr>
        <w:pStyle w:val="Liststycke"/>
        <w:numPr>
          <w:ilvl w:val="0"/>
          <w:numId w:val="7"/>
        </w:numPr>
      </w:pPr>
      <w:r w:rsidRPr="001209EC">
        <w:t>Många patienter med tidigare kontrastmedelsreaktion reagerar inte vid förnyad injektion. </w:t>
      </w:r>
    </w:p>
    <w:p w14:paraId="2CE4289D" w14:textId="77777777" w:rsidR="001209EC" w:rsidRPr="001209EC" w:rsidRDefault="001209EC" w:rsidP="00A30424">
      <w:pPr>
        <w:pStyle w:val="Liststycke"/>
        <w:numPr>
          <w:ilvl w:val="0"/>
          <w:numId w:val="7"/>
        </w:numPr>
      </w:pPr>
      <w:r w:rsidRPr="001209EC">
        <w:t xml:space="preserve">Ingen åtgärd krävs om tidigare kontrastmedelsreaktion var av icke anafylaktisk karaktär, dvs. isolerat symtom som </w:t>
      </w:r>
      <w:proofErr w:type="gramStart"/>
      <w:r w:rsidRPr="001209EC">
        <w:t>t.ex.</w:t>
      </w:r>
      <w:proofErr w:type="gramEnd"/>
      <w:r w:rsidRPr="001209EC">
        <w:t xml:space="preserve"> </w:t>
      </w:r>
      <w:proofErr w:type="spellStart"/>
      <w:r w:rsidRPr="001209EC">
        <w:t>urtikaria</w:t>
      </w:r>
      <w:proofErr w:type="spellEnd"/>
      <w:r w:rsidRPr="001209EC">
        <w:t xml:space="preserve"> eller illamående/kräkning. </w:t>
      </w:r>
    </w:p>
    <w:p w14:paraId="47F6E13B" w14:textId="77777777" w:rsidR="001209EC" w:rsidRPr="001209EC" w:rsidRDefault="001209EC" w:rsidP="00A30424">
      <w:pPr>
        <w:pStyle w:val="Liststycke"/>
        <w:numPr>
          <w:ilvl w:val="0"/>
          <w:numId w:val="7"/>
        </w:numPr>
      </w:pPr>
      <w:r w:rsidRPr="001209EC">
        <w:t>Astmatiker bör uppmanas att ta med sitt inhalationspreparat och gärna ta en dos före undersökningen. </w:t>
      </w:r>
    </w:p>
    <w:p w14:paraId="652B783C" w14:textId="77777777" w:rsidR="001209EC" w:rsidRPr="001209EC" w:rsidRDefault="001209EC" w:rsidP="001209EC">
      <w:pPr>
        <w:pStyle w:val="MellanrubrikVGR"/>
      </w:pPr>
      <w:r w:rsidRPr="001209EC">
        <w:t xml:space="preserve">Vid tidigare </w:t>
      </w:r>
      <w:proofErr w:type="spellStart"/>
      <w:r w:rsidRPr="001209EC">
        <w:t>anafylaxireaktion</w:t>
      </w:r>
      <w:proofErr w:type="spellEnd"/>
      <w:r w:rsidRPr="001209EC">
        <w:t xml:space="preserve"> på kontrastmedel </w:t>
      </w:r>
    </w:p>
    <w:p w14:paraId="4FB093E7" w14:textId="77777777" w:rsidR="001209EC" w:rsidRPr="001209EC" w:rsidRDefault="001209EC" w:rsidP="001209EC">
      <w:pPr>
        <w:ind w:right="-143"/>
      </w:pPr>
      <w:r w:rsidRPr="001209EC">
        <w:t>Överväg i första hand undersökning som inte kräver kontrastmedel. </w:t>
      </w:r>
    </w:p>
    <w:p w14:paraId="4426D34B" w14:textId="77777777" w:rsidR="001209EC" w:rsidRPr="001209EC" w:rsidRDefault="001209EC" w:rsidP="001209EC">
      <w:pPr>
        <w:ind w:right="-143"/>
      </w:pPr>
      <w:r w:rsidRPr="001209EC">
        <w:t>Om undersökning anses nödvändig: </w:t>
      </w:r>
    </w:p>
    <w:p w14:paraId="2084BDF0" w14:textId="77777777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r w:rsidRPr="001209EC">
        <w:t xml:space="preserve">Byt till annat kontrastmedel än det som patienten reagerat mot, men kom ihåg att korsreaktioner kan förekomma mellan samma typ av kontrastmedel, dock ej mellan </w:t>
      </w:r>
      <w:proofErr w:type="gramStart"/>
      <w:r w:rsidRPr="001209EC">
        <w:t>t.ex.</w:t>
      </w:r>
      <w:proofErr w:type="gramEnd"/>
      <w:r w:rsidRPr="001209EC">
        <w:t xml:space="preserve"> jod- och gadoliniumkontrastmedel. </w:t>
      </w:r>
    </w:p>
    <w:p w14:paraId="1F7763ED" w14:textId="77777777" w:rsidR="001209EC" w:rsidRPr="001209EC" w:rsidRDefault="001209EC" w:rsidP="001209EC">
      <w:pPr>
        <w:pStyle w:val="MellanrubrikVGR"/>
      </w:pPr>
      <w:r w:rsidRPr="001209EC">
        <w:t>Premedicinering </w:t>
      </w:r>
    </w:p>
    <w:p w14:paraId="4241365E" w14:textId="77777777" w:rsidR="001209EC" w:rsidRPr="001209EC" w:rsidRDefault="001209EC" w:rsidP="001209EC">
      <w:pPr>
        <w:ind w:right="-143"/>
      </w:pPr>
      <w:r w:rsidRPr="001209EC">
        <w:t>Ordineras av remitterande läkare. </w:t>
      </w:r>
    </w:p>
    <w:p w14:paraId="5ACF819F" w14:textId="77777777" w:rsidR="001209EC" w:rsidRPr="001209EC" w:rsidRDefault="001209EC" w:rsidP="001209EC">
      <w:pPr>
        <w:pStyle w:val="MellanrubrikVGR"/>
      </w:pPr>
      <w:proofErr w:type="spellStart"/>
      <w:r w:rsidRPr="001209EC">
        <w:t>Elektiva</w:t>
      </w:r>
      <w:proofErr w:type="spellEnd"/>
      <w:r w:rsidRPr="001209EC">
        <w:t xml:space="preserve"> fall </w:t>
      </w:r>
    </w:p>
    <w:p w14:paraId="65ACA9EB" w14:textId="77777777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r w:rsidRPr="001209EC">
        <w:t>12 timmar och 2 timmar före kontrastinjektion ges: </w:t>
      </w:r>
    </w:p>
    <w:p w14:paraId="2BFF918F" w14:textId="77777777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proofErr w:type="spellStart"/>
      <w:r w:rsidRPr="001209EC">
        <w:t>Tabl</w:t>
      </w:r>
      <w:proofErr w:type="spellEnd"/>
      <w:r w:rsidRPr="001209EC">
        <w:t xml:space="preserve">. </w:t>
      </w:r>
      <w:proofErr w:type="spellStart"/>
      <w:r w:rsidRPr="001209EC">
        <w:t>prednisolon</w:t>
      </w:r>
      <w:proofErr w:type="spellEnd"/>
      <w:r w:rsidRPr="001209EC">
        <w:t xml:space="preserve"> (≥6 år 50 mg; &lt;6 år 30 mg) alternativt </w:t>
      </w:r>
      <w:proofErr w:type="spellStart"/>
      <w:r w:rsidRPr="001209EC">
        <w:t>tabl</w:t>
      </w:r>
      <w:proofErr w:type="spellEnd"/>
      <w:r w:rsidRPr="001209EC">
        <w:t>. betametason (</w:t>
      </w:r>
      <w:proofErr w:type="gramStart"/>
      <w:r w:rsidRPr="001209EC">
        <w:t>t.ex.</w:t>
      </w:r>
      <w:proofErr w:type="gramEnd"/>
      <w:r w:rsidRPr="001209EC">
        <w:t xml:space="preserve"> </w:t>
      </w:r>
      <w:proofErr w:type="spellStart"/>
      <w:r w:rsidRPr="001209EC">
        <w:t>Betapred</w:t>
      </w:r>
      <w:proofErr w:type="spellEnd"/>
      <w:r w:rsidRPr="001209EC">
        <w:t>) (≥6 år 5 mg; &lt;6 år 3 mg) och </w:t>
      </w:r>
    </w:p>
    <w:p w14:paraId="067FF817" w14:textId="77777777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proofErr w:type="spellStart"/>
      <w:r w:rsidRPr="001209EC">
        <w:lastRenderedPageBreak/>
        <w:t>Tabl</w:t>
      </w:r>
      <w:proofErr w:type="spellEnd"/>
      <w:r w:rsidRPr="001209EC">
        <w:t xml:space="preserve">. </w:t>
      </w:r>
      <w:proofErr w:type="spellStart"/>
      <w:r w:rsidRPr="001209EC">
        <w:t>desloratadin</w:t>
      </w:r>
      <w:proofErr w:type="spellEnd"/>
      <w:r w:rsidRPr="001209EC">
        <w:t xml:space="preserve"> (≥12 år 10 mg; </w:t>
      </w:r>
      <w:proofErr w:type="gramStart"/>
      <w:r w:rsidRPr="001209EC">
        <w:t>6-12</w:t>
      </w:r>
      <w:proofErr w:type="gramEnd"/>
      <w:r w:rsidRPr="001209EC">
        <w:t xml:space="preserve"> år 5 mg; &lt;6 år 2,5 mg) eller annat icke sederande antihistamin i dubbel dos.  </w:t>
      </w:r>
    </w:p>
    <w:p w14:paraId="765D355C" w14:textId="77777777" w:rsidR="001209EC" w:rsidRPr="001209EC" w:rsidRDefault="001209EC" w:rsidP="001209EC">
      <w:pPr>
        <w:pStyle w:val="MellanrubrikVGR"/>
      </w:pPr>
      <w:r w:rsidRPr="001209EC">
        <w:t>Akuta fall </w:t>
      </w:r>
    </w:p>
    <w:p w14:paraId="70D514A9" w14:textId="77777777" w:rsidR="001209EC" w:rsidRDefault="001209EC" w:rsidP="001209EC">
      <w:pPr>
        <w:ind w:right="-143"/>
      </w:pPr>
      <w:r w:rsidRPr="001209EC">
        <w:t>Ge hydrokortison (</w:t>
      </w:r>
      <w:proofErr w:type="spellStart"/>
      <w:r w:rsidRPr="001209EC">
        <w:t>Solu-Cortef</w:t>
      </w:r>
      <w:proofErr w:type="spellEnd"/>
      <w:r w:rsidRPr="001209EC">
        <w:t xml:space="preserve">) </w:t>
      </w:r>
      <w:proofErr w:type="spellStart"/>
      <w:r w:rsidRPr="001209EC">
        <w:t>i.v</w:t>
      </w:r>
      <w:proofErr w:type="spellEnd"/>
      <w:r w:rsidRPr="001209EC">
        <w:t>. (≥6 år 200 mg; &lt;6 år 100 mg) eller betametason (</w:t>
      </w:r>
      <w:proofErr w:type="spellStart"/>
      <w:r w:rsidRPr="001209EC">
        <w:t>Betapred</w:t>
      </w:r>
      <w:proofErr w:type="spellEnd"/>
      <w:r w:rsidRPr="001209EC">
        <w:t xml:space="preserve">) </w:t>
      </w:r>
      <w:proofErr w:type="spellStart"/>
      <w:r w:rsidRPr="001209EC">
        <w:t>i.v</w:t>
      </w:r>
      <w:proofErr w:type="spellEnd"/>
      <w:r w:rsidRPr="001209EC">
        <w:t xml:space="preserve">. (≥6 år 8 mg; &lt;6 år 4 mg) så snart man beslutat att utföra en undersökning och om man får vänta ges ytterligare injektion var 4:e timme fram till undersökningen. 1 timme före undersökningen ges dessutom </w:t>
      </w:r>
      <w:proofErr w:type="spellStart"/>
      <w:r w:rsidRPr="001209EC">
        <w:t>tabl</w:t>
      </w:r>
      <w:proofErr w:type="spellEnd"/>
      <w:r w:rsidRPr="001209EC">
        <w:t xml:space="preserve">. </w:t>
      </w:r>
      <w:proofErr w:type="spellStart"/>
      <w:r w:rsidRPr="001209EC">
        <w:t>desloratadin</w:t>
      </w:r>
      <w:proofErr w:type="spellEnd"/>
      <w:r w:rsidRPr="001209EC">
        <w:t xml:space="preserve"> (≥12 år 10 mg; </w:t>
      </w:r>
      <w:proofErr w:type="gramStart"/>
      <w:r w:rsidRPr="001209EC">
        <w:t>6-12</w:t>
      </w:r>
      <w:proofErr w:type="gramEnd"/>
      <w:r w:rsidRPr="001209EC">
        <w:t xml:space="preserve"> år 5 mg; &lt;6 år 2,5 mg) eller annat icke sederande antihistamin i dubbel dos. </w:t>
      </w:r>
    </w:p>
    <w:p w14:paraId="499F0B97" w14:textId="77777777" w:rsidR="001209EC" w:rsidRPr="001209EC" w:rsidRDefault="001209EC" w:rsidP="001209EC">
      <w:pPr>
        <w:pStyle w:val="MellanrubrikVGR"/>
      </w:pPr>
      <w:r w:rsidRPr="001209EC">
        <w:t>Övriga förberedelser på röntgenavdelningen</w:t>
      </w:r>
      <w:r w:rsidRPr="001209EC">
        <w:tab/>
      </w:r>
      <w:r w:rsidRPr="001209EC">
        <w:tab/>
        <w:t> </w:t>
      </w:r>
    </w:p>
    <w:p w14:paraId="758C7F9C" w14:textId="77777777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r w:rsidRPr="001209EC">
        <w:t xml:space="preserve">Röntgenpersonal kontrollerar att akutbricka med adrenalin, syrgas, andningsmask/andningsblåsa, sug, </w:t>
      </w:r>
      <w:proofErr w:type="spellStart"/>
      <w:r w:rsidRPr="001209EC">
        <w:t>nebulisator</w:t>
      </w:r>
      <w:proofErr w:type="spellEnd"/>
      <w:r w:rsidRPr="001209EC">
        <w:t xml:space="preserve"> och defibrillator finns på plats, fungerar och kan hanteras. </w:t>
      </w:r>
    </w:p>
    <w:p w14:paraId="2A08891F" w14:textId="77777777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r w:rsidRPr="001209EC">
        <w:t>Läkare som kan ordinera och ge behandling ska finnas tillgänglig på plats på avdelningen. </w:t>
      </w:r>
    </w:p>
    <w:p w14:paraId="24813112" w14:textId="77777777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r w:rsidRPr="001209EC">
        <w:t xml:space="preserve">Behåll </w:t>
      </w:r>
      <w:proofErr w:type="spellStart"/>
      <w:r w:rsidRPr="001209EC">
        <w:t>i.v</w:t>
      </w:r>
      <w:proofErr w:type="spellEnd"/>
      <w:r w:rsidRPr="001209EC">
        <w:t>. infart och övervaka patienten minst 30 min efter kontrastmedelstillförseln. </w:t>
      </w:r>
    </w:p>
    <w:p w14:paraId="0B444BF8" w14:textId="77777777" w:rsidR="001209EC" w:rsidRPr="001209EC" w:rsidRDefault="001209EC" w:rsidP="001209EC">
      <w:pPr>
        <w:pStyle w:val="MellanrubrikVGR"/>
      </w:pPr>
      <w:r w:rsidRPr="001209EC">
        <w:t>Fall som kräver särskild hantering </w:t>
      </w:r>
    </w:p>
    <w:p w14:paraId="5623270F" w14:textId="77777777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r w:rsidRPr="001209EC">
        <w:t xml:space="preserve">Vid undersökning av patient med tidigare allvarlig/livshotande kontrastmedelsreaktion bör narkospersonal närvara vid undersökningen. Remittent diskuterar patienten med röntgen och med narkos. Röntgen </w:t>
      </w:r>
      <w:proofErr w:type="spellStart"/>
      <w:r w:rsidRPr="001209EC">
        <w:t>sambokar</w:t>
      </w:r>
      <w:proofErr w:type="spellEnd"/>
      <w:r w:rsidRPr="001209EC">
        <w:t xml:space="preserve"> med narkos efter överenskommelse. </w:t>
      </w:r>
    </w:p>
    <w:p w14:paraId="1D9E4C9C" w14:textId="77777777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r w:rsidRPr="001209EC">
        <w:t xml:space="preserve">Åtgärder vid anamnes på </w:t>
      </w:r>
      <w:proofErr w:type="spellStart"/>
      <w:r w:rsidRPr="001209EC">
        <w:t>anafylaxireaktion</w:t>
      </w:r>
      <w:proofErr w:type="spellEnd"/>
      <w:r w:rsidRPr="001209EC">
        <w:t xml:space="preserve"> mot andra ämnen än kontrastmedel måste avgöras i det individuella fallet. </w:t>
      </w:r>
    </w:p>
    <w:p w14:paraId="2AD9A7D6" w14:textId="12BB0325" w:rsidR="001209EC" w:rsidRPr="001209EC" w:rsidRDefault="001209EC" w:rsidP="00A30424">
      <w:pPr>
        <w:pStyle w:val="Liststycke"/>
        <w:numPr>
          <w:ilvl w:val="0"/>
          <w:numId w:val="8"/>
        </w:numPr>
        <w:ind w:right="-143"/>
      </w:pPr>
      <w:proofErr w:type="spellStart"/>
      <w:r w:rsidRPr="001209EC">
        <w:t>Mastocytos</w:t>
      </w:r>
      <w:proofErr w:type="spellEnd"/>
      <w:r w:rsidRPr="001209EC">
        <w:t>, diskutera med remittent om kontrastmedel överhuvudtaget ska ges. </w:t>
      </w:r>
    </w:p>
    <w:p w14:paraId="55F2C9B3" w14:textId="77777777" w:rsidR="009A32ED" w:rsidRDefault="009A32ED" w:rsidP="001209EC">
      <w:pPr>
        <w:pStyle w:val="Rubrik3"/>
      </w:pPr>
      <w:r>
        <w:t>Uppföljning</w:t>
      </w:r>
    </w:p>
    <w:p w14:paraId="1C657772" w14:textId="77777777" w:rsidR="001209EC" w:rsidRDefault="001209EC" w:rsidP="001209EC">
      <w:pPr>
        <w:rPr>
          <w:bCs/>
        </w:rPr>
      </w:pPr>
      <w:bookmarkStart w:id="10" w:name="_Toc100327193"/>
      <w:bookmarkStart w:id="11" w:name="_Toc181866762"/>
      <w:r w:rsidRPr="001209EC">
        <w:t>Rutiner följer nationella riktlinjer från Svenskförening för medicinsk radiologi. Uppdateras årligen.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2" w:name="_Toc100327194"/>
      <w:bookmarkStart w:id="13" w:name="_Toc181866763"/>
      <w:bookmarkEnd w:id="10"/>
      <w:bookmarkEnd w:id="11"/>
      <w:r w:rsidRPr="000D04ED">
        <w:lastRenderedPageBreak/>
        <w:t>Arbetsgrupp</w:t>
      </w:r>
      <w:bookmarkEnd w:id="12"/>
      <w:bookmarkEnd w:id="13"/>
      <w:r>
        <w:t xml:space="preserve"> </w:t>
      </w:r>
    </w:p>
    <w:p w14:paraId="1025DF38" w14:textId="77777777" w:rsidR="001209EC" w:rsidRPr="001209EC" w:rsidRDefault="001209EC" w:rsidP="001209EC">
      <w:pPr>
        <w:ind w:right="-143"/>
      </w:pPr>
      <w:r w:rsidRPr="001209EC">
        <w:rPr>
          <w:b/>
          <w:bCs/>
        </w:rPr>
        <w:t>För innehållet svarar</w:t>
      </w:r>
      <w:r w:rsidRPr="001209EC">
        <w:t> </w:t>
      </w:r>
    </w:p>
    <w:p w14:paraId="17F125C3" w14:textId="04C9933E" w:rsidR="001209EC" w:rsidRPr="001209EC" w:rsidRDefault="005E7766" w:rsidP="001209EC">
      <w:pPr>
        <w:ind w:right="-143"/>
      </w:pPr>
      <w:r>
        <w:t>Mal</w:t>
      </w:r>
      <w:r w:rsidR="00754FED">
        <w:t xml:space="preserve">in Tobin </w:t>
      </w:r>
      <w:proofErr w:type="spellStart"/>
      <w:r w:rsidR="00754FED">
        <w:t>Zielinski</w:t>
      </w:r>
      <w:proofErr w:type="spellEnd"/>
      <w:r w:rsidR="00754FED">
        <w:t>,</w:t>
      </w:r>
      <w:r w:rsidR="001209EC" w:rsidRPr="001209EC">
        <w:t xml:space="preserve"> specialistläkare, VO Bild- och funktionsmedicin och medicinsk service/radiologi, SÄS </w:t>
      </w:r>
    </w:p>
    <w:p w14:paraId="19426915" w14:textId="77777777" w:rsidR="001209EC" w:rsidRPr="001209EC" w:rsidRDefault="001209EC" w:rsidP="001209EC">
      <w:pPr>
        <w:ind w:right="-143"/>
      </w:pPr>
      <w:r w:rsidRPr="001209EC">
        <w:rPr>
          <w:b/>
          <w:bCs/>
        </w:rPr>
        <w:t>Remissinstanser</w:t>
      </w:r>
      <w:r w:rsidRPr="001209EC">
        <w:t> </w:t>
      </w:r>
    </w:p>
    <w:p w14:paraId="23C609CC" w14:textId="77777777" w:rsidR="001209EC" w:rsidRPr="001209EC" w:rsidRDefault="001209EC" w:rsidP="001209EC">
      <w:pPr>
        <w:ind w:right="-143"/>
      </w:pPr>
      <w:r w:rsidRPr="001209EC">
        <w:t>Verksamhetschefer, SÄS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4" w:name="_Toc100327195"/>
      <w:bookmarkStart w:id="15" w:name="_Toc181866764"/>
      <w:r w:rsidRPr="000D04ED">
        <w:t>Källförteckning</w:t>
      </w:r>
      <w:bookmarkEnd w:id="14"/>
      <w:bookmarkEnd w:id="15"/>
    </w:p>
    <w:p w14:paraId="232AC742" w14:textId="17AD4AC1" w:rsidR="001209EC" w:rsidRDefault="001209EC" w:rsidP="00A30424">
      <w:pPr>
        <w:pStyle w:val="Liststycke"/>
        <w:numPr>
          <w:ilvl w:val="0"/>
          <w:numId w:val="4"/>
        </w:numPr>
        <w:ind w:right="-143"/>
      </w:pPr>
      <w:r w:rsidRPr="001209EC">
        <w:t>Nationella riktlinjer upprättade av Svensk Förening för Medicinsk Radiologi </w:t>
      </w:r>
      <w:r w:rsidRPr="001209EC">
        <w:br/>
      </w:r>
      <w:hyperlink r:id="rId11" w:tgtFrame="_blank" w:history="1">
        <w:r w:rsidRPr="001209EC">
          <w:rPr>
            <w:rStyle w:val="Hyperlnk"/>
          </w:rPr>
          <w:t>www.sfmr.se/sidor/kontrastmedel/</w:t>
        </w:r>
      </w:hyperlink>
      <w:r w:rsidRPr="001209EC">
        <w:t> </w:t>
      </w:r>
    </w:p>
    <w:p w14:paraId="40AA233F" w14:textId="6502C33F" w:rsidR="009C6C0C" w:rsidRDefault="009C6C0C" w:rsidP="009A32ED">
      <w:pPr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84A65F" w14:textId="77777777" w:rsidR="007610A1" w:rsidRDefault="007610A1">
      <w:r>
        <w:separator/>
      </w:r>
    </w:p>
  </w:endnote>
  <w:endnote w:type="continuationSeparator" w:id="0">
    <w:p w14:paraId="45060A0E" w14:textId="77777777" w:rsidR="007610A1" w:rsidRDefault="007610A1">
      <w:r>
        <w:continuationSeparator/>
      </w:r>
    </w:p>
  </w:endnote>
  <w:endnote w:type="continuationNotice" w:id="1">
    <w:p w14:paraId="4379677A" w14:textId="77777777" w:rsidR="007610A1" w:rsidRDefault="007610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58A4E" w14:textId="77777777" w:rsidR="007610A1" w:rsidRDefault="007610A1"/>
  </w:footnote>
  <w:footnote w:type="continuationSeparator" w:id="0">
    <w:p w14:paraId="5C2E6413" w14:textId="77777777" w:rsidR="007610A1" w:rsidRDefault="007610A1">
      <w:r>
        <w:continuationSeparator/>
      </w:r>
    </w:p>
  </w:footnote>
  <w:footnote w:type="continuationNotice" w:id="1">
    <w:p w14:paraId="005B91C6" w14:textId="77777777" w:rsidR="007610A1" w:rsidRDefault="007610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3D7FDB"/>
    <w:multiLevelType w:val="hybridMultilevel"/>
    <w:tmpl w:val="A49096F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1F9252E3"/>
    <w:multiLevelType w:val="hybridMultilevel"/>
    <w:tmpl w:val="110EAC0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300451A5"/>
    <w:multiLevelType w:val="hybridMultilevel"/>
    <w:tmpl w:val="F590318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4EAE3B16"/>
    <w:multiLevelType w:val="hybridMultilevel"/>
    <w:tmpl w:val="F634B378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7EF24FD"/>
    <w:multiLevelType w:val="hybridMultilevel"/>
    <w:tmpl w:val="4938470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861477783">
    <w:abstractNumId w:val="1"/>
  </w:num>
  <w:num w:numId="2" w16cid:durableId="57095060">
    <w:abstractNumId w:val="6"/>
  </w:num>
  <w:num w:numId="3" w16cid:durableId="36130748">
    <w:abstractNumId w:val="4"/>
  </w:num>
  <w:num w:numId="4" w16cid:durableId="447283423">
    <w:abstractNumId w:val="0"/>
  </w:num>
  <w:num w:numId="5" w16cid:durableId="285086364">
    <w:abstractNumId w:val="3"/>
  </w:num>
  <w:num w:numId="6" w16cid:durableId="1613323402">
    <w:abstractNumId w:val="7"/>
  </w:num>
  <w:num w:numId="7" w16cid:durableId="147092928">
    <w:abstractNumId w:val="2"/>
  </w:num>
  <w:num w:numId="8" w16cid:durableId="574825465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09E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36082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142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76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54FED"/>
    <w:rsid w:val="00760038"/>
    <w:rsid w:val="007610A1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4D1F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087"/>
    <w:rsid w:val="00971D93"/>
    <w:rsid w:val="009A07DC"/>
    <w:rsid w:val="009A32ED"/>
    <w:rsid w:val="009B1F6B"/>
    <w:rsid w:val="009C0D12"/>
    <w:rsid w:val="009C192E"/>
    <w:rsid w:val="009C2E3E"/>
    <w:rsid w:val="009C6C0C"/>
    <w:rsid w:val="009D06BB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424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6775D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209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35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78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52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81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0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909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46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57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25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99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1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01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00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1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9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29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42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51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8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42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72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59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36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6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1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74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93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45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20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31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03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19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16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7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35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6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1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5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70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6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1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9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23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0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41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46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2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13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4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13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9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79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7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3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10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8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7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1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44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12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88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25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27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23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93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93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56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4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75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3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0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67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52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5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://www.sfmr.se/sidor/kontrastmedel/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606</Words>
  <Characters>3927</Characters>
  <Application>Microsoft Office Word</Application>
  <DocSecurity>0</DocSecurity>
  <Lines>100</Lines>
  <Paragraphs>63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4470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Kontrastundersökning, premedicinering vid risk för anafylaktisk reaktion, SÄS</dc:title>
  <dc:subject/>
  <dc:creator/>
  <keywords/>
  <lastModifiedBy/>
  <revision>1</revision>
  <dcterms:created xsi:type="dcterms:W3CDTF">2025-07-02T10:28:00.0000000Z</dcterms:created>
  <dcterms:modified xsi:type="dcterms:W3CDTF">2025-12-04T10:58:00.0000000Z</dcterms:modified>
</coreProperties>
</file>