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6667AC4" w:rsidR="00184167" w:rsidRDefault="001209EC" w:rsidP="009A32ED">
      <w:pPr>
        <w:pStyle w:val="Rubrik1"/>
      </w:pPr>
      <w:r w:rsidRPr="001209EC">
        <w:t>Kontrastundersökning, premedicinering vid risk för anafylaktisk reaktion,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77777777" w:rsidR="009A32ED" w:rsidRPr="007A334E" w:rsidRDefault="009A32ED" w:rsidP="009A32ED">
      <w:pPr>
        <w:ind w:right="-143"/>
      </w:pPr>
      <w:r w:rsidRPr="001209EC">
        <w:rPr>
          <w:highlight w:val="yellow"/>
        </w:rPr>
        <w:t>Beskriv förändringar jämfört med förra versionen eller ange om det är ett nytt dokument</w:t>
      </w:r>
      <w:r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49C6B9CE" w:rsidR="00B405A1" w:rsidRDefault="001209EC" w:rsidP="001209EC">
      <w:pPr>
        <w:ind w:right="-143"/>
      </w:pPr>
      <w:r w:rsidRPr="001209EC">
        <w:t>Rutinen beskriver riskfaktorer för anafylaxi vid kontrasttillförsel och vilken premedicinering som ska ges inför undersökning och vilken beredskap som behöver finnas på röntgenavdelningen i händelse av ny anafylaktisk chock. Åtgärder vid anafylaktisk chock beskrivs i riktlinjen ”</w:t>
      </w:r>
      <w:hyperlink r:id="rId7" w:tgtFrame="_blank" w:history="1">
        <w:r w:rsidRPr="001209EC">
          <w:rPr>
            <w:rStyle w:val="Hyperlnk"/>
          </w:rPr>
          <w:t>Anafylaxibehandling och utredning hos vuxna patienter inom akutsjukvården på SÄS samt råd om uppföljning</w:t>
        </w:r>
      </w:hyperlink>
      <w:r w:rsidRPr="001209EC">
        <w:t>”. 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1BCB9A64" w14:textId="77777777" w:rsidR="001209EC" w:rsidRPr="001209EC" w:rsidRDefault="001209EC" w:rsidP="001209EC">
      <w:pPr>
        <w:ind w:right="-143"/>
      </w:pPr>
      <w:r w:rsidRPr="001209EC">
        <w:t>Riskfaktorer </w:t>
      </w:r>
    </w:p>
    <w:p w14:paraId="6CEEAA58" w14:textId="77777777" w:rsidR="001209EC" w:rsidRPr="001209EC" w:rsidRDefault="001209EC" w:rsidP="001209EC">
      <w:pPr>
        <w:pStyle w:val="Liststycke"/>
        <w:numPr>
          <w:ilvl w:val="0"/>
          <w:numId w:val="43"/>
        </w:numPr>
      </w:pPr>
      <w:r w:rsidRPr="001209EC">
        <w:t>Tidigare anafylaxireaktion utlöst av samma kontrastmedelstyp (5-11 ggr ökad risk) </w:t>
      </w:r>
    </w:p>
    <w:p w14:paraId="1B09DEC4" w14:textId="77777777" w:rsidR="001209EC" w:rsidRPr="001209EC" w:rsidRDefault="001209EC" w:rsidP="001209EC">
      <w:pPr>
        <w:pStyle w:val="Liststycke"/>
        <w:numPr>
          <w:ilvl w:val="0"/>
          <w:numId w:val="43"/>
        </w:numPr>
      </w:pPr>
      <w:r w:rsidRPr="001209EC">
        <w:t>Astma (4 ggr ökad risk) </w:t>
      </w:r>
    </w:p>
    <w:p w14:paraId="64B3D526" w14:textId="77777777" w:rsidR="001209EC" w:rsidRPr="001209EC" w:rsidRDefault="001209EC" w:rsidP="001209EC">
      <w:pPr>
        <w:pStyle w:val="Liststycke"/>
        <w:numPr>
          <w:ilvl w:val="0"/>
          <w:numId w:val="43"/>
        </w:numPr>
      </w:pPr>
      <w:r w:rsidRPr="001209EC">
        <w:t>Tidigare anafylaxireaktion mot annat ämne (oavsett typ) än kontrastmedel (2 ggr ökad risk) </w:t>
      </w:r>
    </w:p>
    <w:p w14:paraId="62050BBD" w14:textId="77777777" w:rsidR="001209EC" w:rsidRPr="001209EC" w:rsidRDefault="001209EC" w:rsidP="001209EC">
      <w:pPr>
        <w:pStyle w:val="Liststycke"/>
        <w:numPr>
          <w:ilvl w:val="0"/>
          <w:numId w:val="43"/>
        </w:numPr>
      </w:pPr>
      <w:r w:rsidRPr="001209EC">
        <w:t>Multiallergi oavsett typ av allergen (2 ggr ökad risk) </w:t>
      </w:r>
    </w:p>
    <w:p w14:paraId="76A031F1" w14:textId="77777777" w:rsidR="001209EC" w:rsidRPr="001209EC" w:rsidRDefault="001209EC" w:rsidP="001209EC">
      <w:pPr>
        <w:pStyle w:val="Liststycke"/>
        <w:numPr>
          <w:ilvl w:val="0"/>
          <w:numId w:val="43"/>
        </w:numPr>
      </w:pPr>
      <w:r w:rsidRPr="001209EC">
        <w:t>Mastocytos, en ovanlig sjukdom med hög risk för anafylaxi </w:t>
      </w:r>
    </w:p>
    <w:p w14:paraId="7AA8D40C" w14:textId="77777777" w:rsidR="001209EC" w:rsidRPr="001209EC" w:rsidRDefault="001209EC" w:rsidP="001209EC">
      <w:pPr>
        <w:ind w:right="-143"/>
      </w:pPr>
      <w:r w:rsidRPr="001209EC">
        <w:rPr>
          <w:b/>
          <w:bCs/>
        </w:rPr>
        <w:t>Observera att:</w:t>
      </w:r>
      <w:r w:rsidRPr="001209EC">
        <w:t> </w:t>
      </w:r>
    </w:p>
    <w:p w14:paraId="39DBC6F9" w14:textId="77777777" w:rsidR="001209EC" w:rsidRPr="001209EC" w:rsidRDefault="001209EC" w:rsidP="001209EC">
      <w:pPr>
        <w:pStyle w:val="Liststycke"/>
        <w:numPr>
          <w:ilvl w:val="0"/>
          <w:numId w:val="44"/>
        </w:numPr>
      </w:pPr>
      <w:r w:rsidRPr="001209EC">
        <w:lastRenderedPageBreak/>
        <w:t>En icke anafylaktisk (isolerad) överkänslighetsreaktion inte ökar risken för ny reaktion </w:t>
      </w:r>
    </w:p>
    <w:p w14:paraId="3F6D069D" w14:textId="77777777" w:rsidR="001209EC" w:rsidRPr="001209EC" w:rsidRDefault="001209EC" w:rsidP="001209EC">
      <w:pPr>
        <w:pStyle w:val="Liststycke"/>
        <w:numPr>
          <w:ilvl w:val="0"/>
          <w:numId w:val="44"/>
        </w:numPr>
      </w:pPr>
      <w:r w:rsidRPr="001209EC">
        <w:t>Jodallergi existerar inte annat än som kontakteksem </w:t>
      </w:r>
    </w:p>
    <w:p w14:paraId="54A38BCD" w14:textId="77777777" w:rsidR="001209EC" w:rsidRPr="001209EC" w:rsidRDefault="001209EC" w:rsidP="001209EC">
      <w:pPr>
        <w:pStyle w:val="Liststycke"/>
        <w:numPr>
          <w:ilvl w:val="0"/>
          <w:numId w:val="44"/>
        </w:numPr>
      </w:pPr>
      <w:r w:rsidRPr="001209EC">
        <w:t>Senreaktion på kontrastmedel inte ökar risken för akut reaktion och vice versa </w:t>
      </w:r>
    </w:p>
    <w:p w14:paraId="21371E5A" w14:textId="77777777" w:rsidR="001209EC" w:rsidRPr="001209EC" w:rsidRDefault="001209EC" w:rsidP="001209EC">
      <w:pPr>
        <w:pStyle w:val="Liststycke"/>
        <w:numPr>
          <w:ilvl w:val="0"/>
          <w:numId w:val="44"/>
        </w:numPr>
      </w:pPr>
      <w:r w:rsidRPr="001209EC">
        <w:t>Om kontrastmedel tillförts via latexkateter kan en överkänslighetsreaktion vara betingad av latexmaterialet, vilket specifikt kan diagnostiseras då det är en äkta IgE-förmedlad allergi.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52C121CF" w14:textId="77777777" w:rsidR="001209EC" w:rsidRPr="001209EC" w:rsidRDefault="001209EC" w:rsidP="001209EC">
      <w:pPr>
        <w:ind w:right="-143"/>
      </w:pPr>
      <w:r w:rsidRPr="001209EC">
        <w:t>Åtgärder och profylax vid riskfaktor </w:t>
      </w:r>
    </w:p>
    <w:p w14:paraId="563AE807" w14:textId="77777777" w:rsidR="001209EC" w:rsidRPr="001209EC" w:rsidRDefault="001209EC" w:rsidP="001209EC">
      <w:pPr>
        <w:pStyle w:val="Liststycke"/>
        <w:numPr>
          <w:ilvl w:val="0"/>
          <w:numId w:val="45"/>
        </w:numPr>
      </w:pPr>
      <w:r w:rsidRPr="001209EC">
        <w:t>Många patienter med tidigare kontrastmedelsreaktion reagerar inte vid förnyad injektion. </w:t>
      </w:r>
    </w:p>
    <w:p w14:paraId="2CE4289D" w14:textId="77777777" w:rsidR="001209EC" w:rsidRPr="001209EC" w:rsidRDefault="001209EC" w:rsidP="001209EC">
      <w:pPr>
        <w:pStyle w:val="Liststycke"/>
        <w:numPr>
          <w:ilvl w:val="0"/>
          <w:numId w:val="45"/>
        </w:numPr>
      </w:pPr>
      <w:r w:rsidRPr="001209EC">
        <w:t>Ingen åtgärd krävs om tidigare kontrastmedelsreaktion var av icke anafylaktisk karaktär, dvs. isolerat symtom som t.ex. urtikaria eller illamående/kräkning. </w:t>
      </w:r>
    </w:p>
    <w:p w14:paraId="47F6E13B" w14:textId="77777777" w:rsidR="001209EC" w:rsidRPr="001209EC" w:rsidRDefault="001209EC" w:rsidP="001209EC">
      <w:pPr>
        <w:pStyle w:val="Liststycke"/>
        <w:numPr>
          <w:ilvl w:val="0"/>
          <w:numId w:val="45"/>
        </w:numPr>
      </w:pPr>
      <w:r w:rsidRPr="001209EC">
        <w:t>Astmatiker bör uppmanas att ta med sitt inhalationspreparat och gärna ta en dos före undersökningen. </w:t>
      </w:r>
    </w:p>
    <w:p w14:paraId="652B783C" w14:textId="77777777" w:rsidR="001209EC" w:rsidRPr="001209EC" w:rsidRDefault="001209EC" w:rsidP="001209EC">
      <w:pPr>
        <w:pStyle w:val="MellanrubrikVGR"/>
      </w:pPr>
      <w:r w:rsidRPr="001209EC">
        <w:t>Vid tidigare anafylaxireaktion på kontrastmedel </w:t>
      </w:r>
    </w:p>
    <w:p w14:paraId="4FB093E7" w14:textId="77777777" w:rsidR="001209EC" w:rsidRPr="001209EC" w:rsidRDefault="001209EC" w:rsidP="001209EC">
      <w:pPr>
        <w:ind w:right="-143"/>
      </w:pPr>
      <w:r w:rsidRPr="001209EC">
        <w:t>Överväg i första hand undersökning som inte kräver kontrastmedel. </w:t>
      </w:r>
    </w:p>
    <w:p w14:paraId="4426D34B" w14:textId="77777777" w:rsidR="001209EC" w:rsidRPr="001209EC" w:rsidRDefault="001209EC" w:rsidP="001209EC">
      <w:pPr>
        <w:ind w:right="-143"/>
      </w:pPr>
      <w:r w:rsidRPr="001209EC">
        <w:t>Om undersökning anses nödvändig: </w:t>
      </w:r>
    </w:p>
    <w:p w14:paraId="2084BDF0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Byt till annat kontrastmedel än det som patienten reagerat mot, men kom ihåg att korsreaktioner kan förekomma mellan samma typ av kontrastmedel, dock ej mellan t.ex. jod- och gadoliniumkontrastmedel. </w:t>
      </w:r>
    </w:p>
    <w:p w14:paraId="1F7763ED" w14:textId="77777777" w:rsidR="001209EC" w:rsidRPr="001209EC" w:rsidRDefault="001209EC" w:rsidP="001209EC">
      <w:pPr>
        <w:pStyle w:val="MellanrubrikVGR"/>
      </w:pPr>
      <w:r w:rsidRPr="001209EC">
        <w:t>Premedicinering </w:t>
      </w:r>
    </w:p>
    <w:p w14:paraId="4241365E" w14:textId="77777777" w:rsidR="001209EC" w:rsidRPr="001209EC" w:rsidRDefault="001209EC" w:rsidP="001209EC">
      <w:pPr>
        <w:ind w:right="-143"/>
      </w:pPr>
      <w:r w:rsidRPr="001209EC">
        <w:t>Ordineras av remitterande läkare. </w:t>
      </w:r>
    </w:p>
    <w:p w14:paraId="5ACF819F" w14:textId="77777777" w:rsidR="001209EC" w:rsidRPr="001209EC" w:rsidRDefault="001209EC" w:rsidP="001209EC">
      <w:pPr>
        <w:pStyle w:val="MellanrubrikVGR"/>
      </w:pPr>
      <w:r w:rsidRPr="001209EC">
        <w:t>Elektiva fall </w:t>
      </w:r>
    </w:p>
    <w:p w14:paraId="65ACA9EB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12 timmar och 2 timmar före kontrastinjektion ges: </w:t>
      </w:r>
    </w:p>
    <w:p w14:paraId="2BFF918F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Tabl. prednisolon (≥6 år 50 mg; &lt;6 år 30 mg) alternativt tabl. betametason (t.ex. Betapred) (≥6 år 5 mg; &lt;6 år 3 mg) och </w:t>
      </w:r>
    </w:p>
    <w:p w14:paraId="067FF817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lastRenderedPageBreak/>
        <w:t>Tabl. desloratadin (≥12 år 10 mg; 6-12 år 5 mg; &lt;6 år 2,5 mg) eller annat icke sederande antihistamin i dubbel dos.  </w:t>
      </w:r>
    </w:p>
    <w:p w14:paraId="765D355C" w14:textId="77777777" w:rsidR="001209EC" w:rsidRPr="001209EC" w:rsidRDefault="001209EC" w:rsidP="001209EC">
      <w:pPr>
        <w:pStyle w:val="MellanrubrikVGR"/>
      </w:pPr>
      <w:r w:rsidRPr="001209EC">
        <w:t>Akuta fall </w:t>
      </w:r>
    </w:p>
    <w:p w14:paraId="70D514A9" w14:textId="77777777" w:rsidR="001209EC" w:rsidRDefault="001209EC" w:rsidP="001209EC">
      <w:pPr>
        <w:ind w:right="-143"/>
      </w:pPr>
      <w:r w:rsidRPr="001209EC">
        <w:t>Ge hydrokortison (Solu-Cortef) i.v. (≥6 år 200 mg; &lt;6 år 100 mg) eller betametason (Betapred) i.v. (≥6 år 8 mg; &lt;6 år 4 mg) så snart man beslutat att utföra en undersökning och om man får vänta ges ytterligare injektion var 4:e timme fram till undersökningen. 1 timme före undersökningen ges dessutom tabl. desloratadin (≥12 år 10 mg; 6-12 år 5 mg; &lt;6 år 2,5 mg) eller annat icke sederande antihistamin i dubbel dos. </w:t>
      </w:r>
    </w:p>
    <w:p w14:paraId="499F0B97" w14:textId="77777777" w:rsidR="001209EC" w:rsidRPr="001209EC" w:rsidRDefault="001209EC" w:rsidP="001209EC">
      <w:pPr>
        <w:pStyle w:val="MellanrubrikVGR"/>
      </w:pPr>
      <w:r w:rsidRPr="001209EC">
        <w:t>Övriga förberedelser på röntgenavdelningen</w:t>
      </w:r>
      <w:r w:rsidRPr="001209EC">
        <w:tab/>
      </w:r>
      <w:r w:rsidRPr="001209EC">
        <w:tab/>
        <w:t> </w:t>
      </w:r>
    </w:p>
    <w:p w14:paraId="758C7F9C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Röntgenpersonal kontrollerar att akutbricka med adrenalin, syrgas, andningsmask/andningsblåsa, sug, nebulisator och defibrillator finns på plats, fungerar och kan hanteras. </w:t>
      </w:r>
    </w:p>
    <w:p w14:paraId="2A08891F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Läkare som kan ordinera och ge behandling ska finnas tillgänglig på plats på avdelningen. </w:t>
      </w:r>
    </w:p>
    <w:p w14:paraId="24813112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Behåll i.v. infart och övervaka patienten minst 30 min efter kontrastmedelstillförseln. </w:t>
      </w:r>
    </w:p>
    <w:p w14:paraId="0B444BF8" w14:textId="77777777" w:rsidR="001209EC" w:rsidRPr="001209EC" w:rsidRDefault="001209EC" w:rsidP="001209EC">
      <w:pPr>
        <w:pStyle w:val="MellanrubrikVGR"/>
      </w:pPr>
      <w:r w:rsidRPr="001209EC">
        <w:t>Fall som kräver särskild hantering </w:t>
      </w:r>
    </w:p>
    <w:p w14:paraId="5623270F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Vid undersökning av patient med tidigare allvarlig/livshotande kontrastmedelsreaktion bör narkospersonal närvara vid undersökningen. Remittent diskuterar patienten med röntgen och med narkos. Röntgen sambokar med narkos efter överenskommelse. </w:t>
      </w:r>
    </w:p>
    <w:p w14:paraId="1D9E4C9C" w14:textId="77777777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Åtgärder vid anamnes på anafylaxireaktion mot andra ämnen än kontrastmedel måste avgöras i det individuella fallet. </w:t>
      </w:r>
    </w:p>
    <w:p w14:paraId="2AD9A7D6" w14:textId="12BB0325" w:rsidR="001209EC" w:rsidRPr="001209EC" w:rsidRDefault="001209EC" w:rsidP="001209EC">
      <w:pPr>
        <w:pStyle w:val="Liststycke"/>
        <w:numPr>
          <w:ilvl w:val="0"/>
          <w:numId w:val="46"/>
        </w:numPr>
        <w:ind w:right="-143"/>
      </w:pPr>
      <w:r w:rsidRPr="001209EC">
        <w:t>Mastocytos, diskutera med remittent om kontrastmedel överhuvudtaget ska ges. </w:t>
      </w:r>
    </w:p>
    <w:p w14:paraId="55F2C9B3" w14:textId="77777777" w:rsidR="009A32ED" w:rsidRDefault="009A32ED" w:rsidP="001209EC">
      <w:pPr>
        <w:pStyle w:val="Rubrik3"/>
      </w:pPr>
      <w:r>
        <w:t>Uppföljning</w:t>
      </w:r>
    </w:p>
    <w:p w14:paraId="1C657772" w14:textId="77777777" w:rsidR="001209EC" w:rsidRDefault="001209EC" w:rsidP="001209EC">
      <w:pPr>
        <w:rPr>
          <w:bCs/>
        </w:rPr>
      </w:pPr>
      <w:bookmarkStart w:id="10" w:name="_Toc100327193"/>
      <w:bookmarkStart w:id="11" w:name="_Toc181866762"/>
      <w:r w:rsidRPr="001209EC">
        <w:t>Rutiner följer nationella riktlinjer från Svenskförening för medicinsk radiologi. Uppdateras årligen.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2" w:name="_Toc100327194"/>
      <w:bookmarkStart w:id="13" w:name="_Toc181866763"/>
      <w:bookmarkEnd w:id="10"/>
      <w:bookmarkEnd w:id="11"/>
      <w:r w:rsidRPr="000D04ED">
        <w:lastRenderedPageBreak/>
        <w:t>Arbetsgrupp</w:t>
      </w:r>
      <w:bookmarkEnd w:id="12"/>
      <w:bookmarkEnd w:id="13"/>
      <w:r>
        <w:t xml:space="preserve"> </w:t>
      </w:r>
    </w:p>
    <w:p w14:paraId="1025DF38" w14:textId="77777777" w:rsidR="001209EC" w:rsidRPr="001209EC" w:rsidRDefault="001209EC" w:rsidP="001209EC">
      <w:pPr>
        <w:ind w:right="-143"/>
      </w:pPr>
      <w:r w:rsidRPr="001209EC">
        <w:rPr>
          <w:b/>
          <w:bCs/>
        </w:rPr>
        <w:t>För innehållet svarar</w:t>
      </w:r>
      <w:r w:rsidRPr="001209EC">
        <w:t> </w:t>
      </w:r>
    </w:p>
    <w:p w14:paraId="17F125C3" w14:textId="77777777" w:rsidR="001209EC" w:rsidRPr="001209EC" w:rsidRDefault="001209EC" w:rsidP="001209EC">
      <w:pPr>
        <w:ind w:right="-143"/>
      </w:pPr>
      <w:r w:rsidRPr="001209EC">
        <w:t>Matilda Segernäs, specialistläkare, VO Bild- och funktionsmedicin och medicinsk service/radiologi, SÄS </w:t>
      </w:r>
    </w:p>
    <w:p w14:paraId="19426915" w14:textId="77777777" w:rsidR="001209EC" w:rsidRPr="001209EC" w:rsidRDefault="001209EC" w:rsidP="001209EC">
      <w:pPr>
        <w:ind w:right="-143"/>
      </w:pPr>
      <w:r w:rsidRPr="001209EC">
        <w:rPr>
          <w:b/>
          <w:bCs/>
        </w:rPr>
        <w:t>Remissinstanser</w:t>
      </w:r>
      <w:r w:rsidRPr="001209EC">
        <w:t> </w:t>
      </w:r>
    </w:p>
    <w:p w14:paraId="23C609CC" w14:textId="77777777" w:rsidR="001209EC" w:rsidRPr="001209EC" w:rsidRDefault="001209EC" w:rsidP="001209EC">
      <w:pPr>
        <w:ind w:right="-143"/>
      </w:pPr>
      <w:r w:rsidRPr="001209EC">
        <w:t>Verksamhetschefer, SÄS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4" w:name="_Toc100327195"/>
      <w:bookmarkStart w:id="15" w:name="_Toc181866764"/>
      <w:r w:rsidRPr="000D04ED">
        <w:t>Källförteckning</w:t>
      </w:r>
      <w:bookmarkEnd w:id="14"/>
      <w:bookmarkEnd w:id="15"/>
    </w:p>
    <w:p w14:paraId="232AC742" w14:textId="17AD4AC1" w:rsidR="001209EC" w:rsidRDefault="001209EC" w:rsidP="001209EC">
      <w:pPr>
        <w:pStyle w:val="Liststycke"/>
        <w:numPr>
          <w:ilvl w:val="0"/>
          <w:numId w:val="42"/>
        </w:numPr>
        <w:ind w:right="-143"/>
      </w:pPr>
      <w:r w:rsidRPr="001209EC">
        <w:t>Nationella riktlinjer upprättade av Svensk Förening för Medicinsk Radiologi </w:t>
      </w:r>
      <w:r w:rsidRPr="001209EC">
        <w:br/>
      </w:r>
      <w:hyperlink r:id="rId8" w:tgtFrame="_blank" w:history="1">
        <w:r w:rsidRPr="001209EC">
          <w:rPr>
            <w:rStyle w:val="Hyperlnk"/>
          </w:rPr>
          <w:t>www.sfmr.se/sidor/kontrastmedel/</w:t>
        </w:r>
      </w:hyperlink>
      <w:r w:rsidRPr="001209EC">
        <w:t> </w:t>
      </w:r>
    </w:p>
    <w:p w14:paraId="40AA233F" w14:textId="6502C33F" w:rsidR="009C6C0C" w:rsidRDefault="009C6C0C" w:rsidP="009A32ED">
      <w:pPr>
        <w:ind w:right="-143"/>
      </w:pPr>
    </w:p>
    <w:sectPr w:rsidR="009C6C0C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2221E" w14:textId="77777777" w:rsidR="00971087" w:rsidRDefault="00971087">
      <w:r>
        <w:separator/>
      </w:r>
    </w:p>
  </w:endnote>
  <w:endnote w:type="continuationSeparator" w:id="0">
    <w:p w14:paraId="7A5A64C3" w14:textId="77777777" w:rsidR="00971087" w:rsidRDefault="00971087">
      <w:r>
        <w:continuationSeparator/>
      </w:r>
    </w:p>
  </w:endnote>
  <w:endnote w:type="continuationNotice" w:id="1">
    <w:p w14:paraId="243DAC7A" w14:textId="77777777" w:rsidR="00971087" w:rsidRDefault="009710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4C2FB" w14:textId="77777777" w:rsidR="00971087" w:rsidRDefault="00971087"/>
  </w:footnote>
  <w:footnote w:type="continuationSeparator" w:id="0">
    <w:p w14:paraId="39150075" w14:textId="77777777" w:rsidR="00971087" w:rsidRDefault="00971087">
      <w:r>
        <w:continuationSeparator/>
      </w:r>
    </w:p>
  </w:footnote>
  <w:footnote w:type="continuationNotice" w:id="1">
    <w:p w14:paraId="465B479D" w14:textId="77777777" w:rsidR="00971087" w:rsidRDefault="0097108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07EEF"/>
    <w:multiLevelType w:val="multilevel"/>
    <w:tmpl w:val="D1705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3AB5F61"/>
    <w:multiLevelType w:val="multilevel"/>
    <w:tmpl w:val="BEB81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D802256"/>
    <w:multiLevelType w:val="multilevel"/>
    <w:tmpl w:val="DF6A7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001D8D"/>
    <w:multiLevelType w:val="multilevel"/>
    <w:tmpl w:val="E3A02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30F4B12"/>
    <w:multiLevelType w:val="multilevel"/>
    <w:tmpl w:val="809A3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65B5753"/>
    <w:multiLevelType w:val="multilevel"/>
    <w:tmpl w:val="CBCCD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93D7FDB"/>
    <w:multiLevelType w:val="hybridMultilevel"/>
    <w:tmpl w:val="A49096F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1C4654A0"/>
    <w:multiLevelType w:val="multilevel"/>
    <w:tmpl w:val="8904D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1F9252E3"/>
    <w:multiLevelType w:val="hybridMultilevel"/>
    <w:tmpl w:val="110EAC0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1FB1016F"/>
    <w:multiLevelType w:val="multilevel"/>
    <w:tmpl w:val="36C47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0FF14EB"/>
    <w:multiLevelType w:val="multilevel"/>
    <w:tmpl w:val="562AE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1457F73"/>
    <w:multiLevelType w:val="multilevel"/>
    <w:tmpl w:val="63F8A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36F1581"/>
    <w:multiLevelType w:val="multilevel"/>
    <w:tmpl w:val="40985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385705F"/>
    <w:multiLevelType w:val="multilevel"/>
    <w:tmpl w:val="91A2A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26E95F69"/>
    <w:multiLevelType w:val="multilevel"/>
    <w:tmpl w:val="32F65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C3F1AE5"/>
    <w:multiLevelType w:val="multilevel"/>
    <w:tmpl w:val="D1705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00451A5"/>
    <w:multiLevelType w:val="hybridMultilevel"/>
    <w:tmpl w:val="F590318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34513F2E"/>
    <w:multiLevelType w:val="multilevel"/>
    <w:tmpl w:val="33EC5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67A1A3A"/>
    <w:multiLevelType w:val="multilevel"/>
    <w:tmpl w:val="D2024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4A27DC"/>
    <w:multiLevelType w:val="multilevel"/>
    <w:tmpl w:val="9CD29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4EAE3B16"/>
    <w:multiLevelType w:val="hybridMultilevel"/>
    <w:tmpl w:val="F634B378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F827F99"/>
    <w:multiLevelType w:val="multilevel"/>
    <w:tmpl w:val="B1B86D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1254C4C"/>
    <w:multiLevelType w:val="multilevel"/>
    <w:tmpl w:val="D1705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55334A02"/>
    <w:multiLevelType w:val="multilevel"/>
    <w:tmpl w:val="09204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7372D64"/>
    <w:multiLevelType w:val="multilevel"/>
    <w:tmpl w:val="D1705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57EF24FD"/>
    <w:multiLevelType w:val="hybridMultilevel"/>
    <w:tmpl w:val="4938470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5EF243E9"/>
    <w:multiLevelType w:val="multilevel"/>
    <w:tmpl w:val="0FC66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7A79368A"/>
    <w:multiLevelType w:val="multilevel"/>
    <w:tmpl w:val="27683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B2E6D3F"/>
    <w:multiLevelType w:val="multilevel"/>
    <w:tmpl w:val="D2CC7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7" w15:restartNumberingAfterBreak="0">
    <w:nsid w:val="7FB511F7"/>
    <w:multiLevelType w:val="multilevel"/>
    <w:tmpl w:val="DA466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FBA4659"/>
    <w:multiLevelType w:val="multilevel"/>
    <w:tmpl w:val="D1705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09921896">
    <w:abstractNumId w:val="46"/>
  </w:num>
  <w:num w:numId="2" w16cid:durableId="1367871050">
    <w:abstractNumId w:val="39"/>
  </w:num>
  <w:num w:numId="3" w16cid:durableId="164058872">
    <w:abstractNumId w:val="0"/>
  </w:num>
  <w:num w:numId="4" w16cid:durableId="861477783">
    <w:abstractNumId w:val="14"/>
  </w:num>
  <w:num w:numId="5" w16cid:durableId="1280868239">
    <w:abstractNumId w:val="42"/>
  </w:num>
  <w:num w:numId="6" w16cid:durableId="444931515">
    <w:abstractNumId w:val="4"/>
  </w:num>
  <w:num w:numId="7" w16cid:durableId="739910959">
    <w:abstractNumId w:val="30"/>
  </w:num>
  <w:num w:numId="8" w16cid:durableId="391579451">
    <w:abstractNumId w:val="27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9"/>
  </w:num>
  <w:num w:numId="13" w16cid:durableId="57095060">
    <w:abstractNumId w:val="36"/>
  </w:num>
  <w:num w:numId="14" w16cid:durableId="36130748">
    <w:abstractNumId w:val="28"/>
  </w:num>
  <w:num w:numId="15" w16cid:durableId="560679449">
    <w:abstractNumId w:val="15"/>
  </w:num>
  <w:num w:numId="16" w16cid:durableId="1420566503">
    <w:abstractNumId w:val="35"/>
  </w:num>
  <w:num w:numId="17" w16cid:durableId="256527698">
    <w:abstractNumId w:val="10"/>
  </w:num>
  <w:num w:numId="18" w16cid:durableId="1090539201">
    <w:abstractNumId w:val="29"/>
  </w:num>
  <w:num w:numId="19" w16cid:durableId="1846439597">
    <w:abstractNumId w:val="45"/>
  </w:num>
  <w:num w:numId="20" w16cid:durableId="853543698">
    <w:abstractNumId w:val="6"/>
  </w:num>
  <w:num w:numId="21" w16cid:durableId="2026057478">
    <w:abstractNumId w:val="17"/>
  </w:num>
  <w:num w:numId="22" w16cid:durableId="1810248033">
    <w:abstractNumId w:val="22"/>
  </w:num>
  <w:num w:numId="23" w16cid:durableId="282350372">
    <w:abstractNumId w:val="7"/>
  </w:num>
  <w:num w:numId="24" w16cid:durableId="342972239">
    <w:abstractNumId w:val="31"/>
  </w:num>
  <w:num w:numId="25" w16cid:durableId="2097942083">
    <w:abstractNumId w:val="47"/>
  </w:num>
  <w:num w:numId="26" w16cid:durableId="1025012014">
    <w:abstractNumId w:val="25"/>
  </w:num>
  <w:num w:numId="27" w16cid:durableId="1214581981">
    <w:abstractNumId w:val="41"/>
  </w:num>
  <w:num w:numId="28" w16cid:durableId="2120757410">
    <w:abstractNumId w:val="33"/>
  </w:num>
  <w:num w:numId="29" w16cid:durableId="1390299594">
    <w:abstractNumId w:val="3"/>
  </w:num>
  <w:num w:numId="30" w16cid:durableId="1903709941">
    <w:abstractNumId w:val="19"/>
  </w:num>
  <w:num w:numId="31" w16cid:durableId="1314598203">
    <w:abstractNumId w:val="20"/>
  </w:num>
  <w:num w:numId="32" w16cid:durableId="1635211285">
    <w:abstractNumId w:val="26"/>
  </w:num>
  <w:num w:numId="33" w16cid:durableId="859776820">
    <w:abstractNumId w:val="21"/>
  </w:num>
  <w:num w:numId="34" w16cid:durableId="1353335118">
    <w:abstractNumId w:val="18"/>
  </w:num>
  <w:num w:numId="35" w16cid:durableId="1479029487">
    <w:abstractNumId w:val="2"/>
  </w:num>
  <w:num w:numId="36" w16cid:durableId="164367378">
    <w:abstractNumId w:val="8"/>
  </w:num>
  <w:num w:numId="37" w16cid:durableId="1836678397">
    <w:abstractNumId w:val="44"/>
  </w:num>
  <w:num w:numId="38" w16cid:durableId="811866028">
    <w:abstractNumId w:val="43"/>
  </w:num>
  <w:num w:numId="39" w16cid:durableId="742602779">
    <w:abstractNumId w:val="11"/>
  </w:num>
  <w:num w:numId="40" w16cid:durableId="705721788">
    <w:abstractNumId w:val="37"/>
  </w:num>
  <w:num w:numId="41" w16cid:durableId="1066024971">
    <w:abstractNumId w:val="13"/>
  </w:num>
  <w:num w:numId="42" w16cid:durableId="447283423">
    <w:abstractNumId w:val="12"/>
  </w:num>
  <w:num w:numId="43" w16cid:durableId="285086364">
    <w:abstractNumId w:val="24"/>
  </w:num>
  <w:num w:numId="44" w16cid:durableId="1613323402">
    <w:abstractNumId w:val="40"/>
  </w:num>
  <w:num w:numId="45" w16cid:durableId="147092928">
    <w:abstractNumId w:val="16"/>
  </w:num>
  <w:num w:numId="46" w16cid:durableId="574825465">
    <w:abstractNumId w:val="32"/>
  </w:num>
  <w:num w:numId="47" w16cid:durableId="409348140">
    <w:abstractNumId w:val="38"/>
  </w:num>
  <w:num w:numId="48" w16cid:durableId="1155146734">
    <w:abstractNumId w:val="23"/>
  </w:num>
  <w:num w:numId="49" w16cid:durableId="89935705">
    <w:abstractNumId w:val="34"/>
  </w:num>
  <w:num w:numId="50" w16cid:durableId="1134372035">
    <w:abstractNumId w:val="48"/>
  </w:num>
  <w:num w:numId="51" w16cid:durableId="1714112460">
    <w:abstractNumId w:val="36"/>
  </w:num>
  <w:num w:numId="52" w16cid:durableId="46538100">
    <w:abstractNumId w:val="36"/>
  </w:num>
  <w:num w:numId="53" w16cid:durableId="1011906694">
    <w:abstractNumId w:val="36"/>
  </w:num>
  <w:num w:numId="54" w16cid:durableId="371534862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09E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142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087"/>
    <w:rsid w:val="00971D93"/>
    <w:rsid w:val="009A07DC"/>
    <w:rsid w:val="009A32ED"/>
    <w:rsid w:val="009B1F6B"/>
    <w:rsid w:val="009C0D12"/>
    <w:rsid w:val="009C192E"/>
    <w:rsid w:val="009C2E3E"/>
    <w:rsid w:val="009C6C0C"/>
    <w:rsid w:val="009D06B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6775D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209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35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78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2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81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0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90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46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7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5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99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1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01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00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1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9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29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4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1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42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72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36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6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74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45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20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31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03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9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16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7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35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6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1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0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6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9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3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0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41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6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13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13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9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79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7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3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10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7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1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4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2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8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25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7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23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93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93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75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3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0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52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sfmr.se/sidor/kontrastmedel/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42-738863596-37/SURROGATE/Anafylaxibehandling%20och%20utredning%20hos%20vuxna%20patienter%20inom%20S%c3%84S%20samt%20r%c3%a5d%20om%20uppf%c3%b6ljning.pdf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725</Words>
  <Characters>3845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4561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Kontrastundersökning, premedicinering vid risk för anafylaktisk reaktion, SÄS</dc:title>
  <dc:subject/>
  <dc:creator/>
  <keywords/>
  <lastModifiedBy/>
  <revision>1</revision>
  <dcterms:created xsi:type="dcterms:W3CDTF">2025-07-02T10:28:00.0000000Z</dcterms:created>
  <dcterms:modified xsi:type="dcterms:W3CDTF">2025-07-02T10:38:00.0000000Z</dcterms:modified>
</coreProperties>
</file>