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AB2AB4" w14:textId="77777777" w:rsidR="00D159C5" w:rsidRPr="00D159C5" w:rsidRDefault="00D159C5" w:rsidP="00E05704">
      <w:pPr>
        <w:pStyle w:val="Rubrik1"/>
      </w:pPr>
      <w:bookmarkStart w:id="0" w:name="_Toc314219769"/>
      <w:bookmarkStart w:id="1" w:name="_Toc321146591"/>
      <w:proofErr w:type="spellStart"/>
      <w:r w:rsidRPr="00D159C5">
        <w:t>Blow</w:t>
      </w:r>
      <w:proofErr w:type="spellEnd"/>
      <w:r w:rsidRPr="00D159C5">
        <w:t xml:space="preserve"> </w:t>
      </w:r>
      <w:proofErr w:type="spellStart"/>
      <w:r w:rsidRPr="00D159C5">
        <w:t>out</w:t>
      </w:r>
      <w:proofErr w:type="spellEnd"/>
      <w:r w:rsidRPr="00D159C5">
        <w:t>-blödning inom huvud-halsområdet</w:t>
      </w:r>
    </w:p>
    <w:p w14:paraId="6A920E09" w14:textId="77777777" w:rsidR="00D159C5" w:rsidRPr="00D159C5" w:rsidRDefault="00D159C5" w:rsidP="00E05704">
      <w:pPr>
        <w:pStyle w:val="Rubrik2"/>
      </w:pPr>
      <w:bookmarkStart w:id="2" w:name="_Toc451342884"/>
      <w:bookmarkStart w:id="3" w:name="_Toc256000000"/>
      <w:bookmarkStart w:id="4" w:name="_Toc256000008"/>
      <w:bookmarkStart w:id="5" w:name="_Toc452376973"/>
      <w:bookmarkStart w:id="6" w:name="_Toc256000016"/>
      <w:bookmarkStart w:id="7" w:name="_Toc256000024"/>
      <w:bookmarkStart w:id="8" w:name="_Toc256000032"/>
      <w:bookmarkStart w:id="9" w:name="_Toc256000040"/>
      <w:bookmarkStart w:id="10" w:name="_Toc256000048"/>
      <w:bookmarkStart w:id="11" w:name="_Toc256000056"/>
      <w:bookmarkStart w:id="12" w:name="_Toc256000064"/>
      <w:bookmarkStart w:id="13" w:name="_Toc256000072"/>
      <w:bookmarkStart w:id="14" w:name="_Toc98345418"/>
      <w:bookmarkStart w:id="15" w:name="_Toc256000080"/>
      <w:bookmarkStart w:id="16" w:name="_Toc153898819"/>
      <w:r w:rsidRPr="00D159C5">
        <w:t>Sammanfattning</w:t>
      </w:r>
      <w:bookmarkEnd w:id="0"/>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00315686" w14:textId="77777777" w:rsidR="00D159C5" w:rsidRPr="00D159C5" w:rsidRDefault="00D159C5" w:rsidP="00E05704">
      <w:r w:rsidRPr="00D159C5">
        <w:t xml:space="preserve">Patienter med malign tumörväxt inom ÖNH-området riskerar </w:t>
      </w:r>
      <w:proofErr w:type="spellStart"/>
      <w:r w:rsidRPr="00D159C5">
        <w:t>tumörut</w:t>
      </w:r>
      <w:proofErr w:type="spellEnd"/>
      <w:r w:rsidRPr="00D159C5">
        <w:t>-bredning mot närliggande kärl med risk för blödning utåt eller in i munhåla, svalg och luftvägar. Detta, som inom öron-näs-halsspecialiteten kommit att benämnas ”</w:t>
      </w:r>
      <w:proofErr w:type="spellStart"/>
      <w:r w:rsidRPr="00D159C5">
        <w:t>blow</w:t>
      </w:r>
      <w:proofErr w:type="spellEnd"/>
      <w:r w:rsidRPr="00D159C5">
        <w:t xml:space="preserve"> </w:t>
      </w:r>
      <w:proofErr w:type="spellStart"/>
      <w:r w:rsidRPr="00D159C5">
        <w:t>out</w:t>
      </w:r>
      <w:proofErr w:type="spellEnd"/>
      <w:r w:rsidRPr="00D159C5">
        <w:t>”-blödning, drabbar i allmänhet patient i palliativt skede. Det är förhållandevis ovanligt men rutiner behövs för att hantera detta obehagliga och ångestskapande tillstånd [1].</w:t>
      </w:r>
    </w:p>
    <w:p w14:paraId="7FD111B1" w14:textId="77777777" w:rsidR="00D159C5" w:rsidRDefault="00D159C5" w:rsidP="00E05704">
      <w:r w:rsidRPr="00D159C5">
        <w:t xml:space="preserve">Slutlig letal blödning kan ibland föregås av några dagars mindre blödning men kommer ofta utan förvarning. För patient med aggressiv tumörväxt i palliativ fas måste därför alltid övervägas risk för </w:t>
      </w:r>
      <w:proofErr w:type="spellStart"/>
      <w:r w:rsidRPr="00D159C5">
        <w:t>blow</w:t>
      </w:r>
      <w:proofErr w:type="spellEnd"/>
      <w:r w:rsidRPr="00D159C5">
        <w:t xml:space="preserve"> </w:t>
      </w:r>
      <w:proofErr w:type="spellStart"/>
      <w:r w:rsidRPr="00D159C5">
        <w:t>out</w:t>
      </w:r>
      <w:proofErr w:type="spellEnd"/>
      <w:r w:rsidRPr="00D159C5">
        <w:t>-blödning.</w:t>
      </w:r>
    </w:p>
    <w:p w14:paraId="0375CE87" w14:textId="69B6FCFD" w:rsidR="00E05704" w:rsidRPr="00D159C5" w:rsidRDefault="00E05704" w:rsidP="00E05704">
      <w:pPr>
        <w:pStyle w:val="Rubrik2"/>
      </w:pPr>
      <w:bookmarkStart w:id="17" w:name="_Toc153898820"/>
      <w:r>
        <w:t>Förändringar sedan föregående version</w:t>
      </w:r>
      <w:bookmarkEnd w:id="17"/>
    </w:p>
    <w:p w14:paraId="12A0AA4B" w14:textId="4EA19CE9" w:rsidR="00D159C5" w:rsidRPr="00D159C5" w:rsidRDefault="00F53FC4" w:rsidP="00E05704">
      <w:r>
        <w:t>Uppdaterat hänvisning till varningar och begränsning av vårdinsats;</w:t>
      </w:r>
      <w:r w:rsidR="00E05704">
        <w:t xml:space="preserve"> giltighetstiden förlängd.</w:t>
      </w:r>
    </w:p>
    <w:p w14:paraId="38B1ABD4" w14:textId="77777777" w:rsidR="00D159C5" w:rsidRPr="003D5C62" w:rsidRDefault="00D159C5" w:rsidP="003D5C62">
      <w:pPr>
        <w:spacing w:before="360" w:after="40"/>
        <w:rPr>
          <w:rFonts w:asciiTheme="majorHAnsi" w:hAnsiTheme="majorHAnsi" w:cstheme="majorHAnsi"/>
          <w:sz w:val="28"/>
          <w:szCs w:val="28"/>
        </w:rPr>
      </w:pPr>
      <w:r w:rsidRPr="003D5C62">
        <w:rPr>
          <w:rFonts w:asciiTheme="majorHAnsi" w:hAnsiTheme="majorHAnsi" w:cstheme="majorHAnsi"/>
          <w:sz w:val="28"/>
          <w:szCs w:val="28"/>
        </w:rPr>
        <w:t>Innehållsförteckning</w:t>
      </w:r>
    </w:p>
    <w:p w14:paraId="325EA6ED" w14:textId="72C0FCA8" w:rsidR="00C11DD7" w:rsidRDefault="009F3121">
      <w:pPr>
        <w:pStyle w:val="Innehll1"/>
        <w:rPr>
          <w:rFonts w:asciiTheme="minorHAnsi" w:eastAsiaTheme="minorEastAsia" w:hAnsiTheme="minorHAnsi"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53898819" w:history="1">
        <w:r w:rsidR="00C11DD7" w:rsidRPr="009028EE">
          <w:rPr>
            <w:rStyle w:val="Hyperlnk"/>
            <w:rFonts w:eastAsia="MS Gothic"/>
            <w:noProof/>
          </w:rPr>
          <w:t>Sammanfattning</w:t>
        </w:r>
        <w:r w:rsidR="00C11DD7">
          <w:rPr>
            <w:noProof/>
            <w:webHidden/>
          </w:rPr>
          <w:tab/>
        </w:r>
        <w:r w:rsidR="00C11DD7">
          <w:rPr>
            <w:noProof/>
            <w:webHidden/>
          </w:rPr>
          <w:fldChar w:fldCharType="begin"/>
        </w:r>
        <w:r w:rsidR="00C11DD7">
          <w:rPr>
            <w:noProof/>
            <w:webHidden/>
          </w:rPr>
          <w:instrText xml:space="preserve"> PAGEREF _Toc153898819 \h </w:instrText>
        </w:r>
        <w:r w:rsidR="00C11DD7">
          <w:rPr>
            <w:noProof/>
            <w:webHidden/>
          </w:rPr>
        </w:r>
        <w:r w:rsidR="00C11DD7">
          <w:rPr>
            <w:noProof/>
            <w:webHidden/>
          </w:rPr>
          <w:fldChar w:fldCharType="separate"/>
        </w:r>
        <w:r w:rsidR="00C11DD7">
          <w:rPr>
            <w:noProof/>
            <w:webHidden/>
          </w:rPr>
          <w:t>1</w:t>
        </w:r>
        <w:r w:rsidR="00C11DD7">
          <w:rPr>
            <w:noProof/>
            <w:webHidden/>
          </w:rPr>
          <w:fldChar w:fldCharType="end"/>
        </w:r>
      </w:hyperlink>
    </w:p>
    <w:p w14:paraId="74369FA5" w14:textId="63B35C39" w:rsidR="00C11DD7" w:rsidRDefault="00000000">
      <w:pPr>
        <w:pStyle w:val="Innehll1"/>
        <w:rPr>
          <w:rFonts w:asciiTheme="minorHAnsi" w:eastAsiaTheme="minorEastAsia" w:hAnsiTheme="minorHAnsi" w:cstheme="minorBidi"/>
          <w:noProof/>
          <w:sz w:val="22"/>
          <w:szCs w:val="22"/>
        </w:rPr>
      </w:pPr>
      <w:hyperlink w:anchor="_Toc153898820" w:history="1">
        <w:r w:rsidR="00C11DD7" w:rsidRPr="009028EE">
          <w:rPr>
            <w:rStyle w:val="Hyperlnk"/>
            <w:rFonts w:eastAsia="MS Gothic"/>
            <w:noProof/>
          </w:rPr>
          <w:t>Förändringar sedan föregående version</w:t>
        </w:r>
        <w:r w:rsidR="00C11DD7">
          <w:rPr>
            <w:noProof/>
            <w:webHidden/>
          </w:rPr>
          <w:tab/>
        </w:r>
        <w:r w:rsidR="00C11DD7">
          <w:rPr>
            <w:noProof/>
            <w:webHidden/>
          </w:rPr>
          <w:fldChar w:fldCharType="begin"/>
        </w:r>
        <w:r w:rsidR="00C11DD7">
          <w:rPr>
            <w:noProof/>
            <w:webHidden/>
          </w:rPr>
          <w:instrText xml:space="preserve"> PAGEREF _Toc153898820 \h </w:instrText>
        </w:r>
        <w:r w:rsidR="00C11DD7">
          <w:rPr>
            <w:noProof/>
            <w:webHidden/>
          </w:rPr>
        </w:r>
        <w:r w:rsidR="00C11DD7">
          <w:rPr>
            <w:noProof/>
            <w:webHidden/>
          </w:rPr>
          <w:fldChar w:fldCharType="separate"/>
        </w:r>
        <w:r w:rsidR="00C11DD7">
          <w:rPr>
            <w:noProof/>
            <w:webHidden/>
          </w:rPr>
          <w:t>1</w:t>
        </w:r>
        <w:r w:rsidR="00C11DD7">
          <w:rPr>
            <w:noProof/>
            <w:webHidden/>
          </w:rPr>
          <w:fldChar w:fldCharType="end"/>
        </w:r>
      </w:hyperlink>
    </w:p>
    <w:p w14:paraId="6E977D11" w14:textId="7D0A2A3F" w:rsidR="00C11DD7" w:rsidRDefault="00000000">
      <w:pPr>
        <w:pStyle w:val="Innehll1"/>
        <w:rPr>
          <w:rFonts w:asciiTheme="minorHAnsi" w:eastAsiaTheme="minorEastAsia" w:hAnsiTheme="minorHAnsi" w:cstheme="minorBidi"/>
          <w:noProof/>
          <w:sz w:val="22"/>
          <w:szCs w:val="22"/>
        </w:rPr>
      </w:pPr>
      <w:hyperlink w:anchor="_Toc153898821" w:history="1">
        <w:r w:rsidR="00C11DD7" w:rsidRPr="009028EE">
          <w:rPr>
            <w:rStyle w:val="Hyperlnk"/>
            <w:rFonts w:eastAsia="MS Gothic"/>
            <w:noProof/>
          </w:rPr>
          <w:t>Förutsättningar</w:t>
        </w:r>
        <w:r w:rsidR="00C11DD7">
          <w:rPr>
            <w:noProof/>
            <w:webHidden/>
          </w:rPr>
          <w:tab/>
        </w:r>
        <w:r w:rsidR="00C11DD7">
          <w:rPr>
            <w:noProof/>
            <w:webHidden/>
          </w:rPr>
          <w:fldChar w:fldCharType="begin"/>
        </w:r>
        <w:r w:rsidR="00C11DD7">
          <w:rPr>
            <w:noProof/>
            <w:webHidden/>
          </w:rPr>
          <w:instrText xml:space="preserve"> PAGEREF _Toc153898821 \h </w:instrText>
        </w:r>
        <w:r w:rsidR="00C11DD7">
          <w:rPr>
            <w:noProof/>
            <w:webHidden/>
          </w:rPr>
        </w:r>
        <w:r w:rsidR="00C11DD7">
          <w:rPr>
            <w:noProof/>
            <w:webHidden/>
          </w:rPr>
          <w:fldChar w:fldCharType="separate"/>
        </w:r>
        <w:r w:rsidR="00C11DD7">
          <w:rPr>
            <w:noProof/>
            <w:webHidden/>
          </w:rPr>
          <w:t>1</w:t>
        </w:r>
        <w:r w:rsidR="00C11DD7">
          <w:rPr>
            <w:noProof/>
            <w:webHidden/>
          </w:rPr>
          <w:fldChar w:fldCharType="end"/>
        </w:r>
      </w:hyperlink>
    </w:p>
    <w:p w14:paraId="44A5E664" w14:textId="2EF57243" w:rsidR="00C11DD7" w:rsidRDefault="00000000">
      <w:pPr>
        <w:pStyle w:val="Innehll1"/>
        <w:rPr>
          <w:rFonts w:asciiTheme="minorHAnsi" w:eastAsiaTheme="minorEastAsia" w:hAnsiTheme="minorHAnsi" w:cstheme="minorBidi"/>
          <w:noProof/>
          <w:sz w:val="22"/>
          <w:szCs w:val="22"/>
        </w:rPr>
      </w:pPr>
      <w:hyperlink w:anchor="_Toc153898822" w:history="1">
        <w:r w:rsidR="00C11DD7" w:rsidRPr="009028EE">
          <w:rPr>
            <w:rStyle w:val="Hyperlnk"/>
            <w:rFonts w:eastAsia="MS Gothic"/>
            <w:noProof/>
          </w:rPr>
          <w:t>Genomförande</w:t>
        </w:r>
        <w:r w:rsidR="00C11DD7">
          <w:rPr>
            <w:noProof/>
            <w:webHidden/>
          </w:rPr>
          <w:tab/>
        </w:r>
        <w:r w:rsidR="00C11DD7">
          <w:rPr>
            <w:noProof/>
            <w:webHidden/>
          </w:rPr>
          <w:fldChar w:fldCharType="begin"/>
        </w:r>
        <w:r w:rsidR="00C11DD7">
          <w:rPr>
            <w:noProof/>
            <w:webHidden/>
          </w:rPr>
          <w:instrText xml:space="preserve"> PAGEREF _Toc153898822 \h </w:instrText>
        </w:r>
        <w:r w:rsidR="00C11DD7">
          <w:rPr>
            <w:noProof/>
            <w:webHidden/>
          </w:rPr>
        </w:r>
        <w:r w:rsidR="00C11DD7">
          <w:rPr>
            <w:noProof/>
            <w:webHidden/>
          </w:rPr>
          <w:fldChar w:fldCharType="separate"/>
        </w:r>
        <w:r w:rsidR="00C11DD7">
          <w:rPr>
            <w:noProof/>
            <w:webHidden/>
          </w:rPr>
          <w:t>2</w:t>
        </w:r>
        <w:r w:rsidR="00C11DD7">
          <w:rPr>
            <w:noProof/>
            <w:webHidden/>
          </w:rPr>
          <w:fldChar w:fldCharType="end"/>
        </w:r>
      </w:hyperlink>
    </w:p>
    <w:p w14:paraId="2B8475DA" w14:textId="6754834B" w:rsidR="00C11DD7" w:rsidRDefault="00000000">
      <w:pPr>
        <w:pStyle w:val="Innehll2"/>
        <w:rPr>
          <w:rFonts w:asciiTheme="minorHAnsi" w:eastAsiaTheme="minorEastAsia" w:hAnsiTheme="minorHAnsi" w:cstheme="minorBidi"/>
          <w:noProof/>
          <w:sz w:val="22"/>
          <w:szCs w:val="22"/>
        </w:rPr>
      </w:pPr>
      <w:hyperlink w:anchor="_Toc153898823" w:history="1">
        <w:r w:rsidR="00C11DD7" w:rsidRPr="009028EE">
          <w:rPr>
            <w:rStyle w:val="Hyperlnk"/>
            <w:rFonts w:eastAsia="MS Gothic"/>
            <w:noProof/>
          </w:rPr>
          <w:t>Förberedelser för patient i riskzonen</w:t>
        </w:r>
        <w:r w:rsidR="00C11DD7">
          <w:rPr>
            <w:noProof/>
            <w:webHidden/>
          </w:rPr>
          <w:tab/>
        </w:r>
        <w:r w:rsidR="00C11DD7">
          <w:rPr>
            <w:noProof/>
            <w:webHidden/>
          </w:rPr>
          <w:fldChar w:fldCharType="begin"/>
        </w:r>
        <w:r w:rsidR="00C11DD7">
          <w:rPr>
            <w:noProof/>
            <w:webHidden/>
          </w:rPr>
          <w:instrText xml:space="preserve"> PAGEREF _Toc153898823 \h </w:instrText>
        </w:r>
        <w:r w:rsidR="00C11DD7">
          <w:rPr>
            <w:noProof/>
            <w:webHidden/>
          </w:rPr>
        </w:r>
        <w:r w:rsidR="00C11DD7">
          <w:rPr>
            <w:noProof/>
            <w:webHidden/>
          </w:rPr>
          <w:fldChar w:fldCharType="separate"/>
        </w:r>
        <w:r w:rsidR="00C11DD7">
          <w:rPr>
            <w:noProof/>
            <w:webHidden/>
          </w:rPr>
          <w:t>2</w:t>
        </w:r>
        <w:r w:rsidR="00C11DD7">
          <w:rPr>
            <w:noProof/>
            <w:webHidden/>
          </w:rPr>
          <w:fldChar w:fldCharType="end"/>
        </w:r>
      </w:hyperlink>
    </w:p>
    <w:p w14:paraId="13A9F8C6" w14:textId="7FC43690" w:rsidR="00C11DD7" w:rsidRDefault="00000000">
      <w:pPr>
        <w:pStyle w:val="Innehll3"/>
        <w:rPr>
          <w:rFonts w:asciiTheme="minorHAnsi" w:eastAsiaTheme="minorEastAsia" w:hAnsiTheme="minorHAnsi" w:cstheme="minorBidi"/>
          <w:noProof/>
          <w:sz w:val="22"/>
          <w:szCs w:val="22"/>
        </w:rPr>
      </w:pPr>
      <w:hyperlink w:anchor="_Toc153898824" w:history="1">
        <w:r w:rsidR="00C11DD7" w:rsidRPr="009028EE">
          <w:rPr>
            <w:rStyle w:val="Hyperlnk"/>
            <w:rFonts w:eastAsia="MS Gothic"/>
            <w:noProof/>
          </w:rPr>
          <w:t>Information till patient/närstående</w:t>
        </w:r>
        <w:r w:rsidR="00C11DD7">
          <w:rPr>
            <w:noProof/>
            <w:webHidden/>
          </w:rPr>
          <w:tab/>
        </w:r>
        <w:r w:rsidR="00C11DD7">
          <w:rPr>
            <w:noProof/>
            <w:webHidden/>
          </w:rPr>
          <w:fldChar w:fldCharType="begin"/>
        </w:r>
        <w:r w:rsidR="00C11DD7">
          <w:rPr>
            <w:noProof/>
            <w:webHidden/>
          </w:rPr>
          <w:instrText xml:space="preserve"> PAGEREF _Toc153898824 \h </w:instrText>
        </w:r>
        <w:r w:rsidR="00C11DD7">
          <w:rPr>
            <w:noProof/>
            <w:webHidden/>
          </w:rPr>
        </w:r>
        <w:r w:rsidR="00C11DD7">
          <w:rPr>
            <w:noProof/>
            <w:webHidden/>
          </w:rPr>
          <w:fldChar w:fldCharType="separate"/>
        </w:r>
        <w:r w:rsidR="00C11DD7">
          <w:rPr>
            <w:noProof/>
            <w:webHidden/>
          </w:rPr>
          <w:t>2</w:t>
        </w:r>
        <w:r w:rsidR="00C11DD7">
          <w:rPr>
            <w:noProof/>
            <w:webHidden/>
          </w:rPr>
          <w:fldChar w:fldCharType="end"/>
        </w:r>
      </w:hyperlink>
    </w:p>
    <w:p w14:paraId="7AB98FD4" w14:textId="1BE2A33F" w:rsidR="00C11DD7" w:rsidRDefault="00000000">
      <w:pPr>
        <w:pStyle w:val="Innehll3"/>
        <w:rPr>
          <w:rFonts w:asciiTheme="minorHAnsi" w:eastAsiaTheme="minorEastAsia" w:hAnsiTheme="minorHAnsi" w:cstheme="minorBidi"/>
          <w:noProof/>
          <w:sz w:val="22"/>
          <w:szCs w:val="22"/>
        </w:rPr>
      </w:pPr>
      <w:hyperlink w:anchor="_Toc153898825" w:history="1">
        <w:r w:rsidR="00C11DD7" w:rsidRPr="009028EE">
          <w:rPr>
            <w:rStyle w:val="Hyperlnk"/>
            <w:rFonts w:eastAsia="MS Gothic"/>
            <w:noProof/>
          </w:rPr>
          <w:t>Ordinationer och behandling</w:t>
        </w:r>
        <w:r w:rsidR="00C11DD7">
          <w:rPr>
            <w:noProof/>
            <w:webHidden/>
          </w:rPr>
          <w:tab/>
        </w:r>
        <w:r w:rsidR="00C11DD7">
          <w:rPr>
            <w:noProof/>
            <w:webHidden/>
          </w:rPr>
          <w:fldChar w:fldCharType="begin"/>
        </w:r>
        <w:r w:rsidR="00C11DD7">
          <w:rPr>
            <w:noProof/>
            <w:webHidden/>
          </w:rPr>
          <w:instrText xml:space="preserve"> PAGEREF _Toc153898825 \h </w:instrText>
        </w:r>
        <w:r w:rsidR="00C11DD7">
          <w:rPr>
            <w:noProof/>
            <w:webHidden/>
          </w:rPr>
        </w:r>
        <w:r w:rsidR="00C11DD7">
          <w:rPr>
            <w:noProof/>
            <w:webHidden/>
          </w:rPr>
          <w:fldChar w:fldCharType="separate"/>
        </w:r>
        <w:r w:rsidR="00C11DD7">
          <w:rPr>
            <w:noProof/>
            <w:webHidden/>
          </w:rPr>
          <w:t>2</w:t>
        </w:r>
        <w:r w:rsidR="00C11DD7">
          <w:rPr>
            <w:noProof/>
            <w:webHidden/>
          </w:rPr>
          <w:fldChar w:fldCharType="end"/>
        </w:r>
      </w:hyperlink>
    </w:p>
    <w:p w14:paraId="3BCFB84B" w14:textId="7FFC71CF" w:rsidR="00C11DD7" w:rsidRDefault="00000000">
      <w:pPr>
        <w:pStyle w:val="Innehll1"/>
        <w:rPr>
          <w:rFonts w:asciiTheme="minorHAnsi" w:eastAsiaTheme="minorEastAsia" w:hAnsiTheme="minorHAnsi" w:cstheme="minorBidi"/>
          <w:noProof/>
          <w:sz w:val="22"/>
          <w:szCs w:val="22"/>
        </w:rPr>
      </w:pPr>
      <w:hyperlink w:anchor="_Toc153898826" w:history="1">
        <w:r w:rsidR="00C11DD7" w:rsidRPr="009028EE">
          <w:rPr>
            <w:rStyle w:val="Hyperlnk"/>
            <w:rFonts w:eastAsia="MS Gothic"/>
            <w:noProof/>
          </w:rPr>
          <w:t>Dokumentinformation</w:t>
        </w:r>
        <w:r w:rsidR="00C11DD7">
          <w:rPr>
            <w:noProof/>
            <w:webHidden/>
          </w:rPr>
          <w:tab/>
        </w:r>
        <w:r w:rsidR="00C11DD7">
          <w:rPr>
            <w:noProof/>
            <w:webHidden/>
          </w:rPr>
          <w:fldChar w:fldCharType="begin"/>
        </w:r>
        <w:r w:rsidR="00C11DD7">
          <w:rPr>
            <w:noProof/>
            <w:webHidden/>
          </w:rPr>
          <w:instrText xml:space="preserve"> PAGEREF _Toc153898826 \h </w:instrText>
        </w:r>
        <w:r w:rsidR="00C11DD7">
          <w:rPr>
            <w:noProof/>
            <w:webHidden/>
          </w:rPr>
        </w:r>
        <w:r w:rsidR="00C11DD7">
          <w:rPr>
            <w:noProof/>
            <w:webHidden/>
          </w:rPr>
          <w:fldChar w:fldCharType="separate"/>
        </w:r>
        <w:r w:rsidR="00C11DD7">
          <w:rPr>
            <w:noProof/>
            <w:webHidden/>
          </w:rPr>
          <w:t>3</w:t>
        </w:r>
        <w:r w:rsidR="00C11DD7">
          <w:rPr>
            <w:noProof/>
            <w:webHidden/>
          </w:rPr>
          <w:fldChar w:fldCharType="end"/>
        </w:r>
      </w:hyperlink>
    </w:p>
    <w:p w14:paraId="2ADDEDE3" w14:textId="682FD4F8" w:rsidR="00C11DD7" w:rsidRDefault="00000000">
      <w:pPr>
        <w:pStyle w:val="Innehll1"/>
        <w:rPr>
          <w:rFonts w:asciiTheme="minorHAnsi" w:eastAsiaTheme="minorEastAsia" w:hAnsiTheme="minorHAnsi" w:cstheme="minorBidi"/>
          <w:noProof/>
          <w:sz w:val="22"/>
          <w:szCs w:val="22"/>
        </w:rPr>
      </w:pPr>
      <w:hyperlink w:anchor="_Toc153898827" w:history="1">
        <w:r w:rsidR="00C11DD7" w:rsidRPr="009028EE">
          <w:rPr>
            <w:rStyle w:val="Hyperlnk"/>
            <w:rFonts w:eastAsia="MS Gothic"/>
            <w:noProof/>
          </w:rPr>
          <w:t>Referens-/länkförteckning</w:t>
        </w:r>
        <w:r w:rsidR="00C11DD7">
          <w:rPr>
            <w:noProof/>
            <w:webHidden/>
          </w:rPr>
          <w:tab/>
        </w:r>
        <w:r w:rsidR="00C11DD7">
          <w:rPr>
            <w:noProof/>
            <w:webHidden/>
          </w:rPr>
          <w:fldChar w:fldCharType="begin"/>
        </w:r>
        <w:r w:rsidR="00C11DD7">
          <w:rPr>
            <w:noProof/>
            <w:webHidden/>
          </w:rPr>
          <w:instrText xml:space="preserve"> PAGEREF _Toc153898827 \h </w:instrText>
        </w:r>
        <w:r w:rsidR="00C11DD7">
          <w:rPr>
            <w:noProof/>
            <w:webHidden/>
          </w:rPr>
        </w:r>
        <w:r w:rsidR="00C11DD7">
          <w:rPr>
            <w:noProof/>
            <w:webHidden/>
          </w:rPr>
          <w:fldChar w:fldCharType="separate"/>
        </w:r>
        <w:r w:rsidR="00C11DD7">
          <w:rPr>
            <w:noProof/>
            <w:webHidden/>
          </w:rPr>
          <w:t>3</w:t>
        </w:r>
        <w:r w:rsidR="00C11DD7">
          <w:rPr>
            <w:noProof/>
            <w:webHidden/>
          </w:rPr>
          <w:fldChar w:fldCharType="end"/>
        </w:r>
      </w:hyperlink>
    </w:p>
    <w:p w14:paraId="614399E6" w14:textId="1EFBF2BC" w:rsidR="00D159C5" w:rsidRPr="00C11DD7" w:rsidRDefault="009F3121" w:rsidP="00C11DD7">
      <w:pPr>
        <w:pStyle w:val="Rubrik2"/>
        <w:spacing w:before="360"/>
      </w:pPr>
      <w:r>
        <w:rPr>
          <w:noProof/>
          <w:color w:val="0000FF"/>
          <w:sz w:val="22"/>
          <w:szCs w:val="32"/>
          <w:u w:val="single"/>
        </w:rPr>
        <w:fldChar w:fldCharType="end"/>
      </w:r>
      <w:bookmarkStart w:id="18" w:name="_Toc451342885"/>
      <w:bookmarkStart w:id="19" w:name="_Toc256000001"/>
      <w:bookmarkStart w:id="20" w:name="_Toc256000009"/>
      <w:bookmarkStart w:id="21" w:name="_Toc452376974"/>
      <w:bookmarkStart w:id="22" w:name="_Toc256000017"/>
      <w:bookmarkStart w:id="23" w:name="_Toc256000025"/>
      <w:bookmarkStart w:id="24" w:name="_Toc256000033"/>
      <w:bookmarkStart w:id="25" w:name="_Toc256000041"/>
      <w:bookmarkStart w:id="26" w:name="_Toc256000049"/>
      <w:bookmarkStart w:id="27" w:name="_Toc256000057"/>
      <w:bookmarkStart w:id="28" w:name="_Toc256000065"/>
      <w:bookmarkStart w:id="29" w:name="_Toc256000073"/>
      <w:bookmarkStart w:id="30" w:name="_Toc98345419"/>
      <w:bookmarkStart w:id="31" w:name="_Toc256000081"/>
      <w:bookmarkStart w:id="32" w:name="_Toc153898821"/>
      <w:r w:rsidR="00D159C5" w:rsidRPr="00C11DD7">
        <w:t>Förutsättningar</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7973F860" w14:textId="1C244239" w:rsidR="00D159C5" w:rsidRPr="00D159C5" w:rsidRDefault="00D159C5" w:rsidP="003D5C62">
      <w:r w:rsidRPr="00D159C5">
        <w:t xml:space="preserve">Rutinen beskriver det praktiska handhavandet av och symtomlindring för patient med </w:t>
      </w:r>
      <w:proofErr w:type="spellStart"/>
      <w:r w:rsidRPr="00D159C5">
        <w:t>malignitet</w:t>
      </w:r>
      <w:proofErr w:type="spellEnd"/>
      <w:r w:rsidRPr="00D159C5">
        <w:t xml:space="preserve"> inom huvud-halsområdet, som på grund av </w:t>
      </w:r>
      <w:proofErr w:type="spellStart"/>
      <w:r w:rsidRPr="00D159C5">
        <w:t>malignitetens</w:t>
      </w:r>
      <w:proofErr w:type="spellEnd"/>
      <w:r w:rsidRPr="00D159C5">
        <w:t xml:space="preserve"> växtsätt riskerar en terminal, massiv och letal blödning, </w:t>
      </w:r>
      <w:r w:rsidRPr="00D159C5">
        <w:lastRenderedPageBreak/>
        <w:t xml:space="preserve">men hos </w:t>
      </w:r>
      <w:proofErr w:type="gramStart"/>
      <w:r w:rsidRPr="00D159C5">
        <w:t>vilken ytterligare interventioner</w:t>
      </w:r>
      <w:proofErr w:type="gramEnd"/>
      <w:r w:rsidRPr="00D159C5">
        <w:t xml:space="preserve"> såsom </w:t>
      </w:r>
      <w:proofErr w:type="spellStart"/>
      <w:r w:rsidRPr="00D159C5">
        <w:t>embolisering</w:t>
      </w:r>
      <w:proofErr w:type="spellEnd"/>
      <w:r w:rsidRPr="00D159C5">
        <w:t xml:space="preserve"> inte bedöms vara indicerad.</w:t>
      </w:r>
    </w:p>
    <w:p w14:paraId="710C6353" w14:textId="77777777" w:rsidR="00D159C5" w:rsidRPr="00D159C5" w:rsidRDefault="00D159C5" w:rsidP="003D5C62">
      <w:r w:rsidRPr="00D159C5">
        <w:t xml:space="preserve">Om patienten </w:t>
      </w:r>
      <w:proofErr w:type="spellStart"/>
      <w:r w:rsidRPr="00D159C5">
        <w:t>störtblöder</w:t>
      </w:r>
      <w:proofErr w:type="spellEnd"/>
      <w:r w:rsidRPr="00D159C5">
        <w:t xml:space="preserve"> och är vid medvetande är det akuta tillståndet dramatiskt. Patienten är kraftigt ångestfylld och ibland motoriskt orolig. Förloppet är vanligtvis mycket hastigt men kan också pågå i någon timme. Patienten avlider slutligen i sin </w:t>
      </w:r>
      <w:proofErr w:type="spellStart"/>
      <w:r w:rsidRPr="00D159C5">
        <w:t>obotbara</w:t>
      </w:r>
      <w:proofErr w:type="spellEnd"/>
      <w:r w:rsidRPr="00D159C5">
        <w:t xml:space="preserve"> blödning.</w:t>
      </w:r>
    </w:p>
    <w:p w14:paraId="034B4916" w14:textId="77777777" w:rsidR="00D159C5" w:rsidRPr="00D159C5" w:rsidRDefault="00D159C5" w:rsidP="003D5C62">
      <w:r w:rsidRPr="00D159C5">
        <w:t>Enligt hälso- och sjukvårdslagen har vi skyldighet att lindra när vi inte längre kan bota. Att avstå från att ordinera och ge en hög dos av ångestlindrande medicin vore att betrakta som en försummelse [2].</w:t>
      </w:r>
    </w:p>
    <w:p w14:paraId="7A3F940D" w14:textId="77777777" w:rsidR="00D159C5" w:rsidRPr="00D159C5" w:rsidRDefault="00D159C5" w:rsidP="004E1562">
      <w:pPr>
        <w:pStyle w:val="Rubrik2"/>
      </w:pPr>
      <w:bookmarkStart w:id="33" w:name="_Toc451342886"/>
      <w:bookmarkStart w:id="34" w:name="_Toc256000002"/>
      <w:bookmarkStart w:id="35" w:name="_Toc256000010"/>
      <w:bookmarkStart w:id="36" w:name="_Toc452376975"/>
      <w:bookmarkStart w:id="37" w:name="_Toc256000018"/>
      <w:bookmarkStart w:id="38" w:name="_Toc256000026"/>
      <w:bookmarkStart w:id="39" w:name="_Toc256000034"/>
      <w:bookmarkStart w:id="40" w:name="_Toc256000042"/>
      <w:bookmarkStart w:id="41" w:name="_Toc256000050"/>
      <w:bookmarkStart w:id="42" w:name="_Toc256000058"/>
      <w:bookmarkStart w:id="43" w:name="_Toc256000066"/>
      <w:bookmarkStart w:id="44" w:name="_Toc256000074"/>
      <w:bookmarkStart w:id="45" w:name="_Toc98345420"/>
      <w:bookmarkStart w:id="46" w:name="_Toc256000082"/>
      <w:bookmarkStart w:id="47" w:name="_Toc153898822"/>
      <w:r w:rsidRPr="00D159C5">
        <w:t>Genomförande</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741FA65E" w14:textId="77777777" w:rsidR="00D159C5" w:rsidRPr="00D159C5" w:rsidRDefault="00D159C5" w:rsidP="004E1562">
      <w:r w:rsidRPr="00D159C5">
        <w:t>Akuta åtgärder vid dödlig, okontrollerbar blödning:</w:t>
      </w:r>
    </w:p>
    <w:p w14:paraId="7D3E476D" w14:textId="77777777" w:rsidR="00D159C5" w:rsidRPr="00D159C5" w:rsidRDefault="00D159C5" w:rsidP="004E1562">
      <w:pPr>
        <w:pStyle w:val="Punktlista"/>
      </w:pPr>
      <w:r w:rsidRPr="00D159C5">
        <w:t xml:space="preserve">Ge </w:t>
      </w:r>
      <w:proofErr w:type="gramStart"/>
      <w:r w:rsidRPr="00D159C5">
        <w:t>1-5</w:t>
      </w:r>
      <w:proofErr w:type="gramEnd"/>
      <w:r w:rsidRPr="00D159C5">
        <w:t xml:space="preserve"> mg </w:t>
      </w:r>
      <w:proofErr w:type="spellStart"/>
      <w:r w:rsidRPr="00D159C5">
        <w:t>midazolam</w:t>
      </w:r>
      <w:proofErr w:type="spellEnd"/>
      <w:r w:rsidRPr="00D159C5">
        <w:t xml:space="preserve"> iv under 30 sek. Avvakta 5 min, utvärdera effekten. Vid tveksamhet huruvida blödningen är letal eller inte, ge 1 mg.</w:t>
      </w:r>
    </w:p>
    <w:p w14:paraId="5947145C" w14:textId="77777777" w:rsidR="00D159C5" w:rsidRPr="00D159C5" w:rsidRDefault="00D159C5" w:rsidP="004E1562">
      <w:pPr>
        <w:pStyle w:val="Punktlista"/>
      </w:pPr>
      <w:r w:rsidRPr="00D159C5">
        <w:t xml:space="preserve">Maximal effekt uppnås efter </w:t>
      </w:r>
      <w:proofErr w:type="gramStart"/>
      <w:r w:rsidRPr="00D159C5">
        <w:t>5-10</w:t>
      </w:r>
      <w:proofErr w:type="gramEnd"/>
      <w:r w:rsidRPr="00D159C5">
        <w:t xml:space="preserve"> minuter.</w:t>
      </w:r>
    </w:p>
    <w:p w14:paraId="16E4FFB1" w14:textId="77777777" w:rsidR="00D159C5" w:rsidRPr="00D159C5" w:rsidRDefault="00D159C5" w:rsidP="004E1562">
      <w:pPr>
        <w:pStyle w:val="Punktlista"/>
      </w:pPr>
      <w:r w:rsidRPr="00D159C5">
        <w:t>Upprepa vid behov tills ångesten lindrats eller patienten sover.</w:t>
      </w:r>
    </w:p>
    <w:p w14:paraId="6A31DCD9" w14:textId="77777777" w:rsidR="00D159C5" w:rsidRPr="00D159C5" w:rsidRDefault="00D159C5" w:rsidP="004E1562">
      <w:pPr>
        <w:pStyle w:val="Punktlista"/>
      </w:pPr>
      <w:r w:rsidRPr="00D159C5">
        <w:t>Täck över kraftigt blödande patient med gröna dukar. Släck ned starkt ljus.</w:t>
      </w:r>
    </w:p>
    <w:p w14:paraId="15F26FD7" w14:textId="77777777" w:rsidR="00D159C5" w:rsidRPr="00D159C5" w:rsidRDefault="00D159C5" w:rsidP="004E1562">
      <w:pPr>
        <w:pStyle w:val="Rubrik3"/>
      </w:pPr>
      <w:bookmarkStart w:id="48" w:name="_Toc451342887"/>
      <w:bookmarkStart w:id="49" w:name="_Toc256000003"/>
      <w:bookmarkStart w:id="50" w:name="_Toc256000011"/>
      <w:bookmarkStart w:id="51" w:name="_Toc452376976"/>
      <w:bookmarkStart w:id="52" w:name="_Toc256000019"/>
      <w:bookmarkStart w:id="53" w:name="_Toc256000027"/>
      <w:bookmarkStart w:id="54" w:name="_Toc256000035"/>
      <w:bookmarkStart w:id="55" w:name="_Toc256000043"/>
      <w:bookmarkStart w:id="56" w:name="_Toc256000051"/>
      <w:bookmarkStart w:id="57" w:name="_Toc256000059"/>
      <w:bookmarkStart w:id="58" w:name="_Toc256000067"/>
      <w:bookmarkStart w:id="59" w:name="_Toc256000075"/>
      <w:bookmarkStart w:id="60" w:name="_Toc98345421"/>
      <w:bookmarkStart w:id="61" w:name="_Toc256000083"/>
      <w:bookmarkStart w:id="62" w:name="_Toc153898823"/>
      <w:r w:rsidRPr="00D159C5">
        <w:t>Förberedelser för patient i riskzonen</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10B93A04" w14:textId="77777777" w:rsidR="00D159C5" w:rsidRPr="00D159C5" w:rsidRDefault="00D159C5" w:rsidP="004E1562">
      <w:pPr>
        <w:pStyle w:val="MellanrubrikVGR"/>
        <w:spacing w:before="120"/>
      </w:pPr>
      <w:bookmarkStart w:id="63" w:name="_Toc451342888"/>
      <w:bookmarkStart w:id="64" w:name="_Toc256000004"/>
      <w:bookmarkStart w:id="65" w:name="_Toc256000012"/>
      <w:bookmarkStart w:id="66" w:name="_Toc452376977"/>
      <w:bookmarkStart w:id="67" w:name="_Toc256000020"/>
      <w:bookmarkStart w:id="68" w:name="_Toc256000028"/>
      <w:bookmarkStart w:id="69" w:name="_Toc256000036"/>
      <w:bookmarkStart w:id="70" w:name="_Toc256000044"/>
      <w:bookmarkStart w:id="71" w:name="_Toc256000052"/>
      <w:bookmarkStart w:id="72" w:name="_Toc256000060"/>
      <w:bookmarkStart w:id="73" w:name="_Toc256000068"/>
      <w:bookmarkStart w:id="74" w:name="_Toc256000076"/>
      <w:bookmarkStart w:id="75" w:name="_Toc98345422"/>
      <w:bookmarkStart w:id="76" w:name="_Toc256000084"/>
      <w:bookmarkStart w:id="77" w:name="_Toc153898824"/>
      <w:r w:rsidRPr="00D159C5">
        <w:t>Information till patient/närstående</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2CF353B1" w14:textId="40CF88BC" w:rsidR="00D159C5" w:rsidRPr="00D159C5" w:rsidRDefault="00D159C5" w:rsidP="11EFB722">
      <w:r>
        <w:t>Informera patient och närstående om risken och att vi har ett standard-förfarande i dessa situationer. Dokumentera att informationen lämnats. Lämna om möjligt informationen tillsammans med sköterskan som sedan kommer att få följdfrågor av patienten. Dokumentera patientens vilja och eventuella begränsningar av vårdinsats, se</w:t>
      </w:r>
      <w:r w:rsidR="796FDE6E">
        <w:t xml:space="preserve"> </w:t>
      </w:r>
      <w:r w:rsidR="009C1EB2">
        <w:t xml:space="preserve">rutinen </w:t>
      </w:r>
      <w:hyperlink r:id="rId12" w:history="1">
        <w:r w:rsidR="00425A33" w:rsidRPr="003626D2">
          <w:rPr>
            <w:rStyle w:val="Hyperlnk"/>
          </w:rPr>
          <w:t>Varningar och begränsning av vårdinsats i Melior</w:t>
        </w:r>
      </w:hyperlink>
      <w:r w:rsidR="003626D2">
        <w:t xml:space="preserve"> </w:t>
      </w:r>
      <w:r>
        <w:t>[3].</w:t>
      </w:r>
    </w:p>
    <w:p w14:paraId="0DDE7589" w14:textId="77777777" w:rsidR="00D159C5" w:rsidRPr="00D159C5" w:rsidRDefault="00D159C5" w:rsidP="004E1562">
      <w:pPr>
        <w:pStyle w:val="MellanrubrikVGR"/>
      </w:pPr>
      <w:bookmarkStart w:id="78" w:name="_Toc451342889"/>
      <w:bookmarkStart w:id="79" w:name="_Toc256000005"/>
      <w:bookmarkStart w:id="80" w:name="_Toc256000013"/>
      <w:bookmarkStart w:id="81" w:name="_Toc452376978"/>
      <w:bookmarkStart w:id="82" w:name="_Toc256000021"/>
      <w:bookmarkStart w:id="83" w:name="_Toc256000029"/>
      <w:bookmarkStart w:id="84" w:name="_Toc256000037"/>
      <w:bookmarkStart w:id="85" w:name="_Toc256000045"/>
      <w:bookmarkStart w:id="86" w:name="_Toc256000053"/>
      <w:bookmarkStart w:id="87" w:name="_Toc256000061"/>
      <w:bookmarkStart w:id="88" w:name="_Toc256000069"/>
      <w:bookmarkStart w:id="89" w:name="_Toc256000077"/>
      <w:bookmarkStart w:id="90" w:name="_Toc98345423"/>
      <w:bookmarkStart w:id="91" w:name="_Toc256000085"/>
      <w:bookmarkStart w:id="92" w:name="_Toc153898825"/>
      <w:r w:rsidRPr="00D159C5">
        <w:t>Ordinationer och behandling</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2A4FC025" w14:textId="77777777" w:rsidR="00D159C5" w:rsidRPr="00D159C5" w:rsidRDefault="00D159C5" w:rsidP="00406002">
      <w:pPr>
        <w:pStyle w:val="Underrubrik"/>
        <w:rPr>
          <w:b w:val="0"/>
        </w:rPr>
      </w:pPr>
      <w:r w:rsidRPr="00D159C5">
        <w:t>Läkare</w:t>
      </w:r>
    </w:p>
    <w:p w14:paraId="508B07D5" w14:textId="77777777" w:rsidR="00D159C5" w:rsidRPr="00D159C5" w:rsidRDefault="00D159C5" w:rsidP="00406002">
      <w:pPr>
        <w:pStyle w:val="Punktlista"/>
      </w:pPr>
      <w:r w:rsidRPr="00D159C5">
        <w:t xml:space="preserve">Ordinera injektion av </w:t>
      </w:r>
      <w:proofErr w:type="spellStart"/>
      <w:r w:rsidRPr="00D159C5">
        <w:t>midazolam</w:t>
      </w:r>
      <w:proofErr w:type="spellEnd"/>
      <w:r w:rsidRPr="00D159C5">
        <w:t xml:space="preserve"> 1 mg </w:t>
      </w:r>
      <w:proofErr w:type="spellStart"/>
      <w:r w:rsidRPr="00D159C5">
        <w:t>vb</w:t>
      </w:r>
      <w:proofErr w:type="spellEnd"/>
      <w:r w:rsidRPr="00D159C5">
        <w:t xml:space="preserve">, får upprepas. Dokumentera att syftet med ordinationen är att lindra ångest vid eventuell terminal blödning. </w:t>
      </w:r>
    </w:p>
    <w:p w14:paraId="00B85FA8" w14:textId="53398B74" w:rsidR="00D159C5" w:rsidRPr="00D159C5" w:rsidRDefault="00D159C5" w:rsidP="00406002">
      <w:pPr>
        <w:pStyle w:val="Punktlista"/>
      </w:pPr>
      <w:r w:rsidRPr="00D159C5">
        <w:t xml:space="preserve">Erbjud eventuell </w:t>
      </w:r>
      <w:proofErr w:type="spellStart"/>
      <w:r w:rsidRPr="00D159C5">
        <w:t>sederingsterapi</w:t>
      </w:r>
      <w:proofErr w:type="spellEnd"/>
      <w:r w:rsidRPr="00D159C5">
        <w:t xml:space="preserve"> och gör det definitivt efter en varningsblödning, se riktlinjen ”</w:t>
      </w:r>
      <w:hyperlink r:id="rId13" w:history="1">
        <w:r w:rsidRPr="00EC401C">
          <w:rPr>
            <w:rStyle w:val="Hyperlnk"/>
          </w:rPr>
          <w:t>Palliativ behandling – symtomlindringskompendium</w:t>
        </w:r>
      </w:hyperlink>
      <w:r w:rsidRPr="00D159C5">
        <w:t>” [4].</w:t>
      </w:r>
    </w:p>
    <w:p w14:paraId="3C3A6B60" w14:textId="77777777" w:rsidR="00D159C5" w:rsidRPr="00D159C5" w:rsidRDefault="00D159C5" w:rsidP="00C11DD7">
      <w:pPr>
        <w:pStyle w:val="Underrubrik"/>
        <w:keepNext/>
        <w:keepLines/>
        <w:rPr>
          <w:b w:val="0"/>
        </w:rPr>
      </w:pPr>
      <w:r w:rsidRPr="00D159C5">
        <w:lastRenderedPageBreak/>
        <w:t>Sjuksköterska</w:t>
      </w:r>
    </w:p>
    <w:p w14:paraId="28361652" w14:textId="77777777" w:rsidR="00D159C5" w:rsidRPr="00D159C5" w:rsidRDefault="00D159C5" w:rsidP="00EC401C">
      <w:pPr>
        <w:pStyle w:val="Punktlista"/>
      </w:pPr>
      <w:r w:rsidRPr="00D159C5">
        <w:t xml:space="preserve">Iordningställ uppdragna sprutor med </w:t>
      </w:r>
      <w:proofErr w:type="spellStart"/>
      <w:r w:rsidRPr="00D159C5">
        <w:t>midazolam</w:t>
      </w:r>
      <w:proofErr w:type="spellEnd"/>
      <w:r w:rsidRPr="00D159C5">
        <w:t xml:space="preserve"> (1 mg/ml). 5 sprutor á 1 mg som läggs på en bricka i kylskåp (hållbarhet 12 timmar). Märk med tid och datum.</w:t>
      </w:r>
    </w:p>
    <w:p w14:paraId="3E0321EE" w14:textId="77777777" w:rsidR="00D159C5" w:rsidRPr="00D159C5" w:rsidRDefault="00D159C5" w:rsidP="00EC401C">
      <w:pPr>
        <w:pStyle w:val="Punktlista"/>
      </w:pPr>
      <w:r w:rsidRPr="00D159C5">
        <w:t xml:space="preserve">För patient som förutses ha hög </w:t>
      </w:r>
      <w:proofErr w:type="spellStart"/>
      <w:r w:rsidRPr="00D159C5">
        <w:t>midazolamtolerans</w:t>
      </w:r>
      <w:proofErr w:type="spellEnd"/>
      <w:r w:rsidRPr="00D159C5">
        <w:t xml:space="preserve"> kan högre doser behövas. Förbered i dessa fall 2 brickor enligt ovan.</w:t>
      </w:r>
    </w:p>
    <w:p w14:paraId="19396EA5" w14:textId="77777777" w:rsidR="00D159C5" w:rsidRPr="00D159C5" w:rsidRDefault="00D159C5" w:rsidP="00EC401C">
      <w:pPr>
        <w:pStyle w:val="Punktlista"/>
      </w:pPr>
      <w:r w:rsidRPr="00D159C5">
        <w:t>Intravenös nål (perifer venkateter) ska finnas och fungera.</w:t>
      </w:r>
    </w:p>
    <w:p w14:paraId="4B5678D9" w14:textId="77777777" w:rsidR="00D159C5" w:rsidRPr="00D159C5" w:rsidRDefault="00D159C5" w:rsidP="00EC401C">
      <w:pPr>
        <w:pStyle w:val="Punktlista"/>
      </w:pPr>
      <w:r w:rsidRPr="00D159C5">
        <w:t>Gröna dukar läggs fram nära patientens rum.</w:t>
      </w:r>
    </w:p>
    <w:p w14:paraId="4F66EC8E" w14:textId="77777777" w:rsidR="00D159C5" w:rsidRPr="00D159C5" w:rsidRDefault="00D159C5" w:rsidP="00EC401C">
      <w:pPr>
        <w:pStyle w:val="Punktlista"/>
      </w:pPr>
      <w:r w:rsidRPr="00D159C5">
        <w:t xml:space="preserve">Informera din kollega om att du har en patient med risk för </w:t>
      </w:r>
      <w:proofErr w:type="spellStart"/>
      <w:r w:rsidRPr="00D159C5">
        <w:t>blow</w:t>
      </w:r>
      <w:proofErr w:type="spellEnd"/>
      <w:r w:rsidRPr="00D159C5">
        <w:t xml:space="preserve"> </w:t>
      </w:r>
      <w:proofErr w:type="spellStart"/>
      <w:r w:rsidRPr="00D159C5">
        <w:t>out</w:t>
      </w:r>
      <w:proofErr w:type="spellEnd"/>
      <w:r w:rsidRPr="00D159C5">
        <w:t xml:space="preserve">-blödning och planera hur ni ska gå </w:t>
      </w:r>
      <w:proofErr w:type="gramStart"/>
      <w:r w:rsidRPr="00D159C5">
        <w:t>tillväga</w:t>
      </w:r>
      <w:proofErr w:type="gramEnd"/>
      <w:r w:rsidRPr="00D159C5">
        <w:t xml:space="preserve"> om en blödning inträffar under ert arbetspass.</w:t>
      </w:r>
    </w:p>
    <w:p w14:paraId="3A8DE79E" w14:textId="77777777" w:rsidR="00D159C5" w:rsidRPr="00D159C5" w:rsidRDefault="00D159C5" w:rsidP="000B3C28">
      <w:pPr>
        <w:pStyle w:val="Rubrik2"/>
      </w:pPr>
      <w:bookmarkStart w:id="93" w:name="_Toc182366122"/>
      <w:bookmarkStart w:id="94" w:name="_Toc451342890"/>
      <w:bookmarkStart w:id="95" w:name="_Toc256000006"/>
      <w:bookmarkStart w:id="96" w:name="_Toc256000014"/>
      <w:bookmarkStart w:id="97" w:name="_Toc452376979"/>
      <w:bookmarkStart w:id="98" w:name="_Toc256000022"/>
      <w:bookmarkStart w:id="99" w:name="_Toc256000030"/>
      <w:bookmarkStart w:id="100" w:name="_Toc256000038"/>
      <w:bookmarkStart w:id="101" w:name="_Toc256000046"/>
      <w:bookmarkStart w:id="102" w:name="_Toc256000054"/>
      <w:bookmarkStart w:id="103" w:name="_Toc256000062"/>
      <w:bookmarkStart w:id="104" w:name="_Toc256000070"/>
      <w:bookmarkStart w:id="105" w:name="_Toc256000078"/>
      <w:bookmarkStart w:id="106" w:name="_Toc98345424"/>
      <w:bookmarkStart w:id="107" w:name="_Toc256000086"/>
      <w:bookmarkStart w:id="108" w:name="_Toc153898826"/>
      <w:r w:rsidRPr="00D159C5">
        <w:t>Dokumentinformation</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14:paraId="70FB5EAE" w14:textId="77777777" w:rsidR="00D159C5" w:rsidRPr="000B3C28" w:rsidRDefault="00D159C5" w:rsidP="000B3C28">
      <w:pPr>
        <w:spacing w:after="0"/>
        <w:rPr>
          <w:b/>
          <w:bCs/>
        </w:rPr>
      </w:pPr>
      <w:r w:rsidRPr="000B3C28">
        <w:rPr>
          <w:b/>
          <w:bCs/>
        </w:rPr>
        <w:t>För innehållet svarar</w:t>
      </w:r>
    </w:p>
    <w:p w14:paraId="766C2195" w14:textId="47AAD287" w:rsidR="00D159C5" w:rsidRPr="00D159C5" w:rsidRDefault="00D159C5" w:rsidP="000B3C28">
      <w:pPr>
        <w:rPr>
          <w:szCs w:val="20"/>
        </w:rPr>
      </w:pPr>
      <w:r w:rsidRPr="00D159C5">
        <w:rPr>
          <w:szCs w:val="20"/>
        </w:rPr>
        <w:t>Malin Börjesson, överläkare/tumöransvarig, ÖNH-enheten, VO kirurg</w:t>
      </w:r>
      <w:r w:rsidR="002B5421">
        <w:rPr>
          <w:szCs w:val="20"/>
        </w:rPr>
        <w:t xml:space="preserve">i, </w:t>
      </w:r>
      <w:r w:rsidR="002C7E2D">
        <w:rPr>
          <w:szCs w:val="20"/>
        </w:rPr>
        <w:t xml:space="preserve">ortopedi och </w:t>
      </w:r>
      <w:r w:rsidRPr="00D159C5">
        <w:rPr>
          <w:szCs w:val="20"/>
        </w:rPr>
        <w:t>öron</w:t>
      </w:r>
      <w:r w:rsidR="002C7E2D">
        <w:rPr>
          <w:szCs w:val="20"/>
        </w:rPr>
        <w:t>-näsa-hals</w:t>
      </w:r>
      <w:r w:rsidRPr="00D159C5">
        <w:rPr>
          <w:szCs w:val="20"/>
        </w:rPr>
        <w:t>, SÄS</w:t>
      </w:r>
    </w:p>
    <w:p w14:paraId="2D515262" w14:textId="77777777" w:rsidR="00D159C5" w:rsidRPr="000B3C28" w:rsidRDefault="00D159C5" w:rsidP="000B3C28">
      <w:pPr>
        <w:spacing w:after="0"/>
        <w:rPr>
          <w:b/>
          <w:bCs/>
        </w:rPr>
      </w:pPr>
      <w:bookmarkStart w:id="109" w:name="_Toc149035757"/>
      <w:bookmarkStart w:id="110" w:name="_Toc149978547"/>
      <w:r w:rsidRPr="000B3C28">
        <w:rPr>
          <w:b/>
          <w:bCs/>
        </w:rPr>
        <w:t>Remissinstanser</w:t>
      </w:r>
      <w:bookmarkEnd w:id="109"/>
      <w:bookmarkEnd w:id="110"/>
      <w:r w:rsidRPr="000B3C28">
        <w:rPr>
          <w:b/>
          <w:bCs/>
        </w:rPr>
        <w:t>, utgåva 1</w:t>
      </w:r>
    </w:p>
    <w:p w14:paraId="23D239D1" w14:textId="77777777" w:rsidR="00D159C5" w:rsidRPr="00D159C5" w:rsidRDefault="00D159C5" w:rsidP="000B3C28">
      <w:pPr>
        <w:rPr>
          <w:szCs w:val="20"/>
        </w:rPr>
      </w:pPr>
      <w:r w:rsidRPr="00D159C5">
        <w:rPr>
          <w:szCs w:val="20"/>
        </w:rPr>
        <w:t>Verksamhetschefer, SÄS</w:t>
      </w:r>
    </w:p>
    <w:p w14:paraId="5300D3F4" w14:textId="77777777" w:rsidR="00D159C5" w:rsidRPr="000B3C28" w:rsidRDefault="00D159C5" w:rsidP="000B3C28">
      <w:pPr>
        <w:spacing w:after="0"/>
        <w:rPr>
          <w:b/>
          <w:bCs/>
        </w:rPr>
      </w:pPr>
      <w:r w:rsidRPr="000B3C28">
        <w:rPr>
          <w:b/>
          <w:bCs/>
        </w:rPr>
        <w:t>Fastställt av</w:t>
      </w:r>
    </w:p>
    <w:p w14:paraId="61D006FD" w14:textId="77777777" w:rsidR="00D159C5" w:rsidRPr="00D159C5" w:rsidRDefault="00D159C5" w:rsidP="000B3C28">
      <w:pPr>
        <w:rPr>
          <w:szCs w:val="20"/>
        </w:rPr>
      </w:pPr>
      <w:r w:rsidRPr="00D159C5">
        <w:rPr>
          <w:szCs w:val="20"/>
        </w:rPr>
        <w:t>Jerker Nilson, chefläkare, SÄS</w:t>
      </w:r>
    </w:p>
    <w:p w14:paraId="04A8FF77" w14:textId="77777777" w:rsidR="00D159C5" w:rsidRPr="000B3C28" w:rsidRDefault="00D159C5" w:rsidP="000B3C28">
      <w:pPr>
        <w:spacing w:after="0"/>
        <w:rPr>
          <w:b/>
          <w:bCs/>
        </w:rPr>
      </w:pPr>
      <w:r w:rsidRPr="000B3C28">
        <w:rPr>
          <w:b/>
          <w:bCs/>
        </w:rPr>
        <w:t>Nyckelord</w:t>
      </w:r>
    </w:p>
    <w:p w14:paraId="625D2CC1" w14:textId="77777777" w:rsidR="00D159C5" w:rsidRPr="00D159C5" w:rsidRDefault="00D159C5" w:rsidP="000B3C28">
      <w:pPr>
        <w:rPr>
          <w:szCs w:val="20"/>
        </w:rPr>
      </w:pPr>
      <w:r w:rsidRPr="00D159C5">
        <w:rPr>
          <w:szCs w:val="20"/>
        </w:rPr>
        <w:t xml:space="preserve">Blow-out-blödning, letal, </w:t>
      </w:r>
      <w:proofErr w:type="spellStart"/>
      <w:r w:rsidRPr="00D159C5">
        <w:rPr>
          <w:szCs w:val="20"/>
        </w:rPr>
        <w:t>palliation</w:t>
      </w:r>
      <w:proofErr w:type="spellEnd"/>
      <w:r w:rsidRPr="00D159C5">
        <w:rPr>
          <w:szCs w:val="20"/>
        </w:rPr>
        <w:t xml:space="preserve">, palliativ vård, blödning, tumörer, cancer, </w:t>
      </w:r>
      <w:proofErr w:type="spellStart"/>
      <w:r w:rsidRPr="00D159C5">
        <w:rPr>
          <w:szCs w:val="20"/>
        </w:rPr>
        <w:t>malignitet</w:t>
      </w:r>
      <w:proofErr w:type="spellEnd"/>
      <w:r w:rsidRPr="00D159C5">
        <w:rPr>
          <w:szCs w:val="20"/>
        </w:rPr>
        <w:t xml:space="preserve">, cancervård, cancerbehandling, ångest, läkemedelsordinationer, livets slutskede, </w:t>
      </w:r>
      <w:proofErr w:type="spellStart"/>
      <w:r w:rsidRPr="00D159C5">
        <w:rPr>
          <w:szCs w:val="20"/>
        </w:rPr>
        <w:t>sedering</w:t>
      </w:r>
      <w:proofErr w:type="spellEnd"/>
      <w:r w:rsidRPr="00D159C5">
        <w:rPr>
          <w:szCs w:val="20"/>
        </w:rPr>
        <w:t>, smärtlindring, ångestdämpande</w:t>
      </w:r>
    </w:p>
    <w:p w14:paraId="07254976" w14:textId="77777777" w:rsidR="00D159C5" w:rsidRPr="00D159C5" w:rsidRDefault="00D159C5" w:rsidP="000B3C28">
      <w:pPr>
        <w:pStyle w:val="Rubrik2"/>
      </w:pPr>
      <w:bookmarkStart w:id="111" w:name="_Toc451342891"/>
      <w:bookmarkStart w:id="112" w:name="_Toc256000007"/>
      <w:bookmarkStart w:id="113" w:name="_Toc256000015"/>
      <w:bookmarkStart w:id="114" w:name="_Toc452376980"/>
      <w:bookmarkStart w:id="115" w:name="_Toc256000023"/>
      <w:bookmarkStart w:id="116" w:name="_Toc256000031"/>
      <w:bookmarkStart w:id="117" w:name="_Toc256000039"/>
      <w:bookmarkStart w:id="118" w:name="_Toc256000047"/>
      <w:bookmarkStart w:id="119" w:name="_Toc256000055"/>
      <w:bookmarkStart w:id="120" w:name="_Toc256000063"/>
      <w:bookmarkStart w:id="121" w:name="_Toc256000071"/>
      <w:bookmarkStart w:id="122" w:name="_Toc256000079"/>
      <w:bookmarkStart w:id="123" w:name="_Toc98345425"/>
      <w:bookmarkStart w:id="124" w:name="_Toc256000087"/>
      <w:bookmarkStart w:id="125" w:name="_Toc153898827"/>
      <w:r w:rsidRPr="00D159C5">
        <w:t>Referens-/länkförteckning</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p w14:paraId="3C7FE0F9" w14:textId="4A381792" w:rsidR="00D159C5" w:rsidRPr="003626D2" w:rsidRDefault="00D159C5" w:rsidP="11EFB722">
      <w:pPr>
        <w:pStyle w:val="Punktlistanumrerad"/>
        <w:rPr>
          <w:sz w:val="22"/>
          <w:szCs w:val="22"/>
        </w:rPr>
      </w:pPr>
      <w:proofErr w:type="spellStart"/>
      <w:r w:rsidRPr="003626D2">
        <w:rPr>
          <w:sz w:val="22"/>
          <w:szCs w:val="22"/>
        </w:rPr>
        <w:t>Blow</w:t>
      </w:r>
      <w:proofErr w:type="spellEnd"/>
      <w:r w:rsidRPr="003626D2">
        <w:rPr>
          <w:sz w:val="22"/>
          <w:szCs w:val="22"/>
        </w:rPr>
        <w:t xml:space="preserve"> </w:t>
      </w:r>
      <w:proofErr w:type="spellStart"/>
      <w:r w:rsidRPr="003626D2">
        <w:rPr>
          <w:sz w:val="22"/>
          <w:szCs w:val="22"/>
        </w:rPr>
        <w:t>out</w:t>
      </w:r>
      <w:proofErr w:type="spellEnd"/>
      <w:r w:rsidRPr="003626D2">
        <w:rPr>
          <w:sz w:val="22"/>
          <w:szCs w:val="22"/>
        </w:rPr>
        <w:t>-blödning inom huvud och hals i praktiken. Läkartidningen nr 08/2014</w:t>
      </w:r>
      <w:r w:rsidRPr="003626D2">
        <w:br/>
      </w:r>
      <w:hyperlink r:id="rId14">
        <w:r w:rsidRPr="003626D2">
          <w:rPr>
            <w:rStyle w:val="Hyperlnk"/>
            <w:sz w:val="22"/>
            <w:szCs w:val="22"/>
          </w:rPr>
          <w:t>www.lakartidningen.se/Klinik-och-vetenskap/Etik-och-lakarroll/2014/02/Blow-out-blodning-inom-huvud-och-hals-i-praktiken</w:t>
        </w:r>
      </w:hyperlink>
    </w:p>
    <w:p w14:paraId="10E697A3" w14:textId="77777777" w:rsidR="00D159C5" w:rsidRPr="003626D2" w:rsidRDefault="00D159C5" w:rsidP="11EFB722">
      <w:pPr>
        <w:pStyle w:val="Punktlistanumrerad"/>
        <w:rPr>
          <w:sz w:val="22"/>
          <w:szCs w:val="22"/>
        </w:rPr>
      </w:pPr>
      <w:r w:rsidRPr="003626D2">
        <w:rPr>
          <w:sz w:val="22"/>
          <w:szCs w:val="22"/>
        </w:rPr>
        <w:t xml:space="preserve">Hälso- och sjukvårdslagen (2017:30). Svensk författningssamling </w:t>
      </w:r>
      <w:hyperlink r:id="rId15">
        <w:r w:rsidRPr="003626D2">
          <w:rPr>
            <w:rStyle w:val="Hyperlnk"/>
            <w:sz w:val="22"/>
            <w:szCs w:val="22"/>
          </w:rPr>
          <w:t>www.riksdagen.se</w:t>
        </w:r>
      </w:hyperlink>
      <w:r w:rsidRPr="003626D2">
        <w:rPr>
          <w:sz w:val="22"/>
          <w:szCs w:val="22"/>
        </w:rPr>
        <w:t xml:space="preserve"> under rubrik Dokument och lagar</w:t>
      </w:r>
    </w:p>
    <w:p w14:paraId="215C9038" w14:textId="1CAF7569" w:rsidR="003626D2" w:rsidRPr="005A69DC" w:rsidRDefault="005A69DC" w:rsidP="00E755B1">
      <w:pPr>
        <w:pStyle w:val="Punktlistanumrerad"/>
        <w:rPr>
          <w:sz w:val="22"/>
          <w:szCs w:val="22"/>
        </w:rPr>
      </w:pPr>
      <w:r w:rsidRPr="005A69DC">
        <w:rPr>
          <w:sz w:val="22"/>
          <w:szCs w:val="22"/>
        </w:rPr>
        <w:t>Varningar och begränsning av vårdinsats i Melior</w:t>
      </w:r>
      <w:r>
        <w:rPr>
          <w:sz w:val="22"/>
          <w:szCs w:val="22"/>
        </w:rPr>
        <w:t>. Sjukhusövergripande rutin, SÄS</w:t>
      </w:r>
      <w:r w:rsidR="006601AB" w:rsidRPr="005A69DC">
        <w:rPr>
          <w:sz w:val="22"/>
          <w:szCs w:val="22"/>
        </w:rPr>
        <w:br/>
      </w:r>
      <w:hyperlink r:id="rId16" w:history="1">
        <w:r w:rsidRPr="005A69DC">
          <w:rPr>
            <w:rStyle w:val="Hyperlnk"/>
            <w:sz w:val="22"/>
            <w:szCs w:val="22"/>
          </w:rPr>
          <w:t>https://insidan.vgregion.se/forvaltningar/sodra-alvsborgs-sjukhus/styrdokument</w:t>
        </w:r>
      </w:hyperlink>
      <w:bookmarkEnd w:id="1"/>
    </w:p>
    <w:sectPr w:rsidR="003626D2" w:rsidRPr="005A69DC" w:rsidSect="00D159C5">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1BABD" w14:textId="77777777" w:rsidR="00FB1423" w:rsidRDefault="00FB1423">
      <w:r>
        <w:separator/>
      </w:r>
    </w:p>
  </w:endnote>
  <w:endnote w:type="continuationSeparator" w:id="0">
    <w:p w14:paraId="43F4C2CF" w14:textId="77777777" w:rsidR="00FB1423" w:rsidRDefault="00FB1423">
      <w:r>
        <w:continuationSeparator/>
      </w:r>
    </w:p>
  </w:endnote>
  <w:endnote w:type="continuationNotice" w:id="1">
    <w:p w14:paraId="4A9E195F" w14:textId="77777777" w:rsidR="00FB1423" w:rsidRDefault="00FB14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820ABC" w14:textId="77777777" w:rsidR="00FB1423" w:rsidRDefault="00FB1423"/>
  </w:footnote>
  <w:footnote w:type="continuationSeparator" w:id="0">
    <w:p w14:paraId="1AC9B5E0" w14:textId="77777777" w:rsidR="00FB1423" w:rsidRDefault="00FB1423">
      <w:r>
        <w:continuationSeparator/>
      </w:r>
    </w:p>
  </w:footnote>
  <w:footnote w:type="continuationNotice" w:id="1">
    <w:p w14:paraId="59D76E0D" w14:textId="77777777" w:rsidR="00FB1423" w:rsidRDefault="00FB14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6332DC3C"/>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6B16AD"/>
    <w:multiLevelType w:val="multilevel"/>
    <w:tmpl w:val="41CCB194"/>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169DE60"/>
    <w:multiLevelType w:val="hybridMultilevel"/>
    <w:tmpl w:val="AC64ECD0"/>
    <w:lvl w:ilvl="0" w:tplc="6990128A">
      <w:start w:val="1"/>
      <w:numFmt w:val="decimal"/>
      <w:lvlText w:val="%1."/>
      <w:lvlJc w:val="left"/>
      <w:pPr>
        <w:ind w:left="720" w:hanging="360"/>
      </w:pPr>
    </w:lvl>
    <w:lvl w:ilvl="1" w:tplc="96C6A33A">
      <w:start w:val="1"/>
      <w:numFmt w:val="lowerLetter"/>
      <w:lvlText w:val="%2."/>
      <w:lvlJc w:val="left"/>
      <w:pPr>
        <w:ind w:left="1440" w:hanging="360"/>
      </w:pPr>
    </w:lvl>
    <w:lvl w:ilvl="2" w:tplc="5A82ADBA">
      <w:start w:val="1"/>
      <w:numFmt w:val="lowerRoman"/>
      <w:lvlText w:val="%3."/>
      <w:lvlJc w:val="right"/>
      <w:pPr>
        <w:ind w:left="2160" w:hanging="180"/>
      </w:pPr>
    </w:lvl>
    <w:lvl w:ilvl="3" w:tplc="248EB7D6">
      <w:start w:val="1"/>
      <w:numFmt w:val="decimal"/>
      <w:lvlText w:val="%4."/>
      <w:lvlJc w:val="left"/>
      <w:pPr>
        <w:ind w:left="2880" w:hanging="360"/>
      </w:pPr>
    </w:lvl>
    <w:lvl w:ilvl="4" w:tplc="0AF48BB0">
      <w:start w:val="1"/>
      <w:numFmt w:val="lowerLetter"/>
      <w:lvlText w:val="%5."/>
      <w:lvlJc w:val="left"/>
      <w:pPr>
        <w:ind w:left="3600" w:hanging="360"/>
      </w:pPr>
    </w:lvl>
    <w:lvl w:ilvl="5" w:tplc="62E67FFC">
      <w:start w:val="1"/>
      <w:numFmt w:val="lowerRoman"/>
      <w:lvlText w:val="%6."/>
      <w:lvlJc w:val="right"/>
      <w:pPr>
        <w:ind w:left="4320" w:hanging="180"/>
      </w:pPr>
    </w:lvl>
    <w:lvl w:ilvl="6" w:tplc="65A257BE">
      <w:start w:val="1"/>
      <w:numFmt w:val="decimal"/>
      <w:lvlText w:val="%7."/>
      <w:lvlJc w:val="left"/>
      <w:pPr>
        <w:ind w:left="5040" w:hanging="360"/>
      </w:pPr>
    </w:lvl>
    <w:lvl w:ilvl="7" w:tplc="9AA2CB38">
      <w:start w:val="1"/>
      <w:numFmt w:val="lowerLetter"/>
      <w:lvlText w:val="%8."/>
      <w:lvlJc w:val="left"/>
      <w:pPr>
        <w:ind w:left="5760" w:hanging="360"/>
      </w:pPr>
    </w:lvl>
    <w:lvl w:ilvl="8" w:tplc="CEDA27D6">
      <w:start w:val="1"/>
      <w:numFmt w:val="lowerRoman"/>
      <w:lvlText w:val="%9."/>
      <w:lvlJc w:val="right"/>
      <w:pPr>
        <w:ind w:left="6480" w:hanging="180"/>
      </w:pPr>
    </w:lvl>
  </w:abstractNum>
  <w:abstractNum w:abstractNumId="11" w15:restartNumberingAfterBreak="0">
    <w:nsid w:val="35924E4E"/>
    <w:multiLevelType w:val="hybridMultilevel"/>
    <w:tmpl w:val="79E0F8D6"/>
    <w:lvl w:ilvl="0" w:tplc="AE6E31AE">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0ABAD50"/>
    <w:multiLevelType w:val="hybridMultilevel"/>
    <w:tmpl w:val="8E76DA9E"/>
    <w:lvl w:ilvl="0" w:tplc="8E98E230">
      <w:start w:val="1"/>
      <w:numFmt w:val="decimal"/>
      <w:lvlText w:val="%1."/>
      <w:lvlJc w:val="left"/>
      <w:pPr>
        <w:ind w:left="720" w:hanging="360"/>
      </w:pPr>
    </w:lvl>
    <w:lvl w:ilvl="1" w:tplc="D1146778">
      <w:start w:val="1"/>
      <w:numFmt w:val="lowerLetter"/>
      <w:lvlText w:val="%2."/>
      <w:lvlJc w:val="left"/>
      <w:pPr>
        <w:ind w:left="1440" w:hanging="360"/>
      </w:pPr>
    </w:lvl>
    <w:lvl w:ilvl="2" w:tplc="02640ADA">
      <w:start w:val="1"/>
      <w:numFmt w:val="lowerRoman"/>
      <w:lvlText w:val="%3."/>
      <w:lvlJc w:val="right"/>
      <w:pPr>
        <w:ind w:left="2160" w:hanging="180"/>
      </w:pPr>
    </w:lvl>
    <w:lvl w:ilvl="3" w:tplc="BE8CAA5A">
      <w:start w:val="1"/>
      <w:numFmt w:val="decimal"/>
      <w:lvlText w:val="%4."/>
      <w:lvlJc w:val="left"/>
      <w:pPr>
        <w:ind w:left="2880" w:hanging="360"/>
      </w:pPr>
    </w:lvl>
    <w:lvl w:ilvl="4" w:tplc="C0A043C6">
      <w:start w:val="1"/>
      <w:numFmt w:val="lowerLetter"/>
      <w:lvlText w:val="%5."/>
      <w:lvlJc w:val="left"/>
      <w:pPr>
        <w:ind w:left="3600" w:hanging="360"/>
      </w:pPr>
    </w:lvl>
    <w:lvl w:ilvl="5" w:tplc="8D404D44">
      <w:start w:val="1"/>
      <w:numFmt w:val="lowerRoman"/>
      <w:lvlText w:val="%6."/>
      <w:lvlJc w:val="right"/>
      <w:pPr>
        <w:ind w:left="4320" w:hanging="180"/>
      </w:pPr>
    </w:lvl>
    <w:lvl w:ilvl="6" w:tplc="7F7E7784">
      <w:start w:val="1"/>
      <w:numFmt w:val="decimal"/>
      <w:lvlText w:val="%7."/>
      <w:lvlJc w:val="left"/>
      <w:pPr>
        <w:ind w:left="5040" w:hanging="360"/>
      </w:pPr>
    </w:lvl>
    <w:lvl w:ilvl="7" w:tplc="84BE01D6">
      <w:start w:val="1"/>
      <w:numFmt w:val="lowerLetter"/>
      <w:lvlText w:val="%8."/>
      <w:lvlJc w:val="left"/>
      <w:pPr>
        <w:ind w:left="5760" w:hanging="360"/>
      </w:pPr>
    </w:lvl>
    <w:lvl w:ilvl="8" w:tplc="B178E54E">
      <w:start w:val="1"/>
      <w:numFmt w:val="lowerRoman"/>
      <w:lvlText w:val="%9."/>
      <w:lvlJc w:val="right"/>
      <w:pPr>
        <w:ind w:left="6480"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94289588">
    <w:abstractNumId w:val="10"/>
  </w:num>
  <w:num w:numId="2" w16cid:durableId="815103448">
    <w:abstractNumId w:val="16"/>
  </w:num>
  <w:num w:numId="3" w16cid:durableId="150297239">
    <w:abstractNumId w:val="1"/>
  </w:num>
  <w:num w:numId="4" w16cid:durableId="182598729">
    <w:abstractNumId w:val="7"/>
  </w:num>
  <w:num w:numId="5" w16cid:durableId="5702119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0415667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5192679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60602708">
    <w:abstractNumId w:val="11"/>
  </w:num>
  <w:num w:numId="9" w16cid:durableId="6081276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3C28"/>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5421"/>
    <w:rsid w:val="002C0C02"/>
    <w:rsid w:val="002C1277"/>
    <w:rsid w:val="002C60AD"/>
    <w:rsid w:val="002C7E2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26D2"/>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5C62"/>
    <w:rsid w:val="003E0705"/>
    <w:rsid w:val="003E2FF7"/>
    <w:rsid w:val="003F1013"/>
    <w:rsid w:val="003F1ACF"/>
    <w:rsid w:val="00404948"/>
    <w:rsid w:val="00406002"/>
    <w:rsid w:val="00406BEA"/>
    <w:rsid w:val="00413A60"/>
    <w:rsid w:val="004230F7"/>
    <w:rsid w:val="00425A33"/>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1562"/>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69DC"/>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1AB"/>
    <w:rsid w:val="00660269"/>
    <w:rsid w:val="00665F89"/>
    <w:rsid w:val="00673C92"/>
    <w:rsid w:val="006744A9"/>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25E7"/>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332"/>
    <w:rsid w:val="00971D93"/>
    <w:rsid w:val="009B1F6B"/>
    <w:rsid w:val="009C0D12"/>
    <w:rsid w:val="009C192E"/>
    <w:rsid w:val="009C1EB2"/>
    <w:rsid w:val="009D6819"/>
    <w:rsid w:val="009D6D1C"/>
    <w:rsid w:val="009E0CF9"/>
    <w:rsid w:val="009E531B"/>
    <w:rsid w:val="009E6C56"/>
    <w:rsid w:val="009E7DCF"/>
    <w:rsid w:val="009F3121"/>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1DD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59C5"/>
    <w:rsid w:val="00D37E7F"/>
    <w:rsid w:val="00D47AD7"/>
    <w:rsid w:val="00D51529"/>
    <w:rsid w:val="00D85218"/>
    <w:rsid w:val="00D915B1"/>
    <w:rsid w:val="00DA299D"/>
    <w:rsid w:val="00DA65C4"/>
    <w:rsid w:val="00DD2BE0"/>
    <w:rsid w:val="00DE4447"/>
    <w:rsid w:val="00DE5DA2"/>
    <w:rsid w:val="00DF0033"/>
    <w:rsid w:val="00E026BF"/>
    <w:rsid w:val="00E05704"/>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401C"/>
    <w:rsid w:val="00EC5006"/>
    <w:rsid w:val="00ED49C3"/>
    <w:rsid w:val="00ED6CE8"/>
    <w:rsid w:val="00ED7AA6"/>
    <w:rsid w:val="00EE2A56"/>
    <w:rsid w:val="00EE3818"/>
    <w:rsid w:val="00EF11D4"/>
    <w:rsid w:val="00F22264"/>
    <w:rsid w:val="00F2564D"/>
    <w:rsid w:val="00F35B05"/>
    <w:rsid w:val="00F413D9"/>
    <w:rsid w:val="00F5135F"/>
    <w:rsid w:val="00F51F78"/>
    <w:rsid w:val="00F53FC4"/>
    <w:rsid w:val="00F86F47"/>
    <w:rsid w:val="00F90B64"/>
    <w:rsid w:val="00FB1423"/>
    <w:rsid w:val="00FB2F0F"/>
    <w:rsid w:val="00FB5086"/>
    <w:rsid w:val="00FB5411"/>
    <w:rsid w:val="00FB6392"/>
    <w:rsid w:val="00FD3C70"/>
    <w:rsid w:val="00FD6820"/>
    <w:rsid w:val="00FE12D8"/>
    <w:rsid w:val="00FF7C02"/>
    <w:rsid w:val="024801E3"/>
    <w:rsid w:val="0B637347"/>
    <w:rsid w:val="0C40323B"/>
    <w:rsid w:val="11EFB722"/>
    <w:rsid w:val="25CD9414"/>
    <w:rsid w:val="27948881"/>
    <w:rsid w:val="3134822E"/>
    <w:rsid w:val="3EFF8E91"/>
    <w:rsid w:val="45A1015B"/>
    <w:rsid w:val="516A7950"/>
    <w:rsid w:val="647B2B65"/>
    <w:rsid w:val="6B2CF8ED"/>
    <w:rsid w:val="7376AFB4"/>
    <w:rsid w:val="73EAEB26"/>
    <w:rsid w:val="75A472D9"/>
    <w:rsid w:val="77FA3D59"/>
    <w:rsid w:val="796FDE6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E05704"/>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D159C5"/>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D159C5"/>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D159C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E05704"/>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F3121"/>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F3121"/>
    <w:pPr>
      <w:tabs>
        <w:tab w:val="right" w:leader="dot" w:pos="8777"/>
      </w:tabs>
      <w:spacing w:after="0"/>
      <w:ind w:left="1349"/>
    </w:pPr>
  </w:style>
  <w:style w:type="paragraph" w:styleId="Innehll3">
    <w:name w:val="toc 3"/>
    <w:basedOn w:val="Normal"/>
    <w:next w:val="Normal"/>
    <w:autoRedefine/>
    <w:uiPriority w:val="39"/>
    <w:unhideWhenUsed/>
    <w:rsid w:val="009F3121"/>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E156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E1562"/>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D159C5"/>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D159C5"/>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D159C5"/>
    <w:rPr>
      <w:rFonts w:asciiTheme="majorHAnsi" w:eastAsiaTheme="majorEastAsia" w:hAnsiTheme="majorHAnsi" w:cstheme="majorBidi"/>
      <w:i/>
      <w:iCs/>
      <w:color w:val="272727" w:themeColor="text1" w:themeTint="D8"/>
      <w:sz w:val="21"/>
      <w:szCs w:val="21"/>
    </w:rPr>
  </w:style>
  <w:style w:type="paragraph" w:customStyle="1" w:styleId="a">
    <w:next w:val="Numreradlista"/>
    <w:rsid w:val="00D159C5"/>
    <w:pPr>
      <w:tabs>
        <w:tab w:val="num" w:pos="3036"/>
      </w:tabs>
      <w:spacing w:after="80"/>
      <w:ind w:left="3033" w:hanging="357"/>
    </w:pPr>
    <w:rPr>
      <w:sz w:val="24"/>
    </w:rPr>
  </w:style>
  <w:style w:type="paragraph" w:styleId="Numreradlista">
    <w:name w:val="List Number"/>
    <w:basedOn w:val="Normal"/>
    <w:uiPriority w:val="99"/>
    <w:semiHidden/>
    <w:unhideWhenUsed/>
    <w:rsid w:val="00D159C5"/>
    <w:pPr>
      <w:tabs>
        <w:tab w:val="num" w:pos="720"/>
      </w:tabs>
      <w:ind w:left="720" w:hanging="720"/>
      <w:contextualSpacing/>
    </w:pPr>
  </w:style>
  <w:style w:type="paragraph" w:styleId="Underrubrik">
    <w:name w:val="Subtitle"/>
    <w:basedOn w:val="Normal"/>
    <w:next w:val="Normal"/>
    <w:link w:val="UnderrubrikChar"/>
    <w:qFormat/>
    <w:rsid w:val="00406002"/>
    <w:pPr>
      <w:numPr>
        <w:ilvl w:val="1"/>
      </w:numPr>
      <w:spacing w:before="160" w:after="20"/>
      <w:ind w:left="992"/>
    </w:pPr>
    <w:rPr>
      <w:rFonts w:asciiTheme="majorHAnsi" w:eastAsiaTheme="minorEastAsia" w:hAnsiTheme="majorHAnsi" w:cstheme="minorBidi"/>
      <w:b/>
      <w:color w:val="000000" w:themeColor="text1"/>
      <w:szCs w:val="22"/>
    </w:rPr>
  </w:style>
  <w:style w:type="character" w:customStyle="1" w:styleId="UnderrubrikChar">
    <w:name w:val="Underrubrik Char"/>
    <w:basedOn w:val="Standardstycketeckensnitt"/>
    <w:link w:val="Underrubrik"/>
    <w:rsid w:val="00406002"/>
    <w:rPr>
      <w:rFonts w:asciiTheme="majorHAnsi" w:eastAsiaTheme="minorEastAsia" w:hAnsiTheme="majorHAnsi" w:cstheme="minorBidi"/>
      <w:b/>
      <w:color w:val="000000" w:themeColor="text1"/>
      <w:sz w:val="24"/>
      <w:szCs w:val="22"/>
    </w:rPr>
  </w:style>
  <w:style w:type="paragraph" w:customStyle="1" w:styleId="Punktlistanumrerad">
    <w:name w:val="Punktlista numrerad"/>
    <w:qFormat/>
    <w:rsid w:val="000B3C28"/>
    <w:pPr>
      <w:numPr>
        <w:numId w:val="3"/>
      </w:numPr>
      <w:tabs>
        <w:tab w:val="left" w:pos="1349"/>
      </w:tabs>
      <w:overflowPunct w:val="0"/>
      <w:autoSpaceDE w:val="0"/>
      <w:autoSpaceDN w:val="0"/>
      <w:adjustRightInd w:val="0"/>
      <w:spacing w:after="80" w:line="288" w:lineRule="auto"/>
      <w:ind w:right="868"/>
      <w:textAlignment w:val="baseline"/>
    </w:pPr>
    <w:rPr>
      <w:sz w:val="24"/>
    </w:rPr>
  </w:style>
  <w:style w:type="character" w:styleId="AnvndHyperlnk">
    <w:name w:val="FollowedHyperlink"/>
    <w:basedOn w:val="Standardstycketeckensnitt"/>
    <w:uiPriority w:val="99"/>
    <w:semiHidden/>
    <w:unhideWhenUsed/>
    <w:rsid w:val="006F25E7"/>
    <w:rPr>
      <w:color w:val="9EA2A2" w:themeColor="followedHyperlink"/>
      <w:u w:val="single"/>
    </w:rPr>
  </w:style>
  <w:style w:type="character" w:styleId="Olstomnmnande">
    <w:name w:val="Unresolved Mention"/>
    <w:basedOn w:val="Standardstycketeckensnitt"/>
    <w:uiPriority w:val="99"/>
    <w:semiHidden/>
    <w:unhideWhenUsed/>
    <w:rsid w:val="003626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135/SURROGATE/Palliativ%20behandling%20-%20symtomlindringskompendium%20S%c3%84S.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riksdagen.se/sv/dokument-lagar/dokument/svensk-forfattningssamling/halso--och-sjukvardslag_sfs-2017-30"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www.lakartidningen.se/Klinik-och-vetenskap/Etik-och-lakarroll/2014/02/Blow-out-blodning-inom-huvud-och-hals-i-praktiken"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973</Words>
  <Characters>5157</Characters>
  <Application>Microsoft Office Word</Application>
  <DocSecurity>0</DocSecurity>
  <Lines>42</Lines>
  <Paragraphs>12</Paragraphs>
  <ScaleCrop>false</ScaleCrop>
  <Manager/>
  <Company/>
  <LinksUpToDate>false</LinksUpToDate>
  <CharactersWithSpaces>6118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Blow out-blödning inom huvud-halsområdet, SÄS</dc:title>
  <dc:subject/>
  <dc:creator>patrik.jens.johansson@vgregion.se</dc:creator>
  <keywords/>
  <lastModifiedBy>Karin Åhlin</lastModifiedBy>
  <revision>23</revision>
  <lastPrinted>2016-03-31T10:56:00.0000000Z</lastPrinted>
  <dcterms:created xsi:type="dcterms:W3CDTF">2022-03-28T05:30:00.0000000Z</dcterms:created>
  <dcterms:modified xsi:type="dcterms:W3CDTF">2024-11-18T14:50:00.0000000Z</dcterms:modified>
</coreProperties>
</file>