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D63A4" w14:textId="2785AFE7" w:rsidR="00FA1468" w:rsidRPr="00FA1468" w:rsidRDefault="00FA1468" w:rsidP="001100DA">
      <w:pPr>
        <w:pStyle w:val="Rubrik1"/>
      </w:pPr>
      <w:bookmarkStart w:id="0" w:name="_Toc247444895"/>
      <w:bookmarkStart w:id="1" w:name="_Toc321146591"/>
      <w:r w:rsidRPr="00FA1468">
        <w:t>Åtgärdskort för blåsscanning och blåstappning</w:t>
      </w:r>
      <w:r w:rsidR="001100DA">
        <w:t xml:space="preserve">. </w:t>
      </w:r>
      <w:r w:rsidRPr="00FA1468">
        <w:t xml:space="preserve">Flödesschema för mätningar med </w:t>
      </w:r>
      <w:proofErr w:type="spellStart"/>
      <w:r w:rsidRPr="00FA1468">
        <w:t>Bladderscan</w:t>
      </w:r>
      <w:proofErr w:type="spellEnd"/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CEDF"/>
        <w:tblLook w:val="04A0" w:firstRow="1" w:lastRow="0" w:firstColumn="1" w:lastColumn="0" w:noHBand="0" w:noVBand="1"/>
        <w:tblCaption w:val="Observandum innan mätning"/>
        <w:tblDescription w:val="Observandum innan mätning"/>
      </w:tblPr>
      <w:tblGrid>
        <w:gridCol w:w="8505"/>
      </w:tblGrid>
      <w:tr w:rsidR="00FA1468" w:rsidRPr="00FA1468" w14:paraId="4A92615A" w14:textId="77777777" w:rsidTr="003562D3">
        <w:trPr>
          <w:trHeight w:hRule="exact" w:val="680"/>
        </w:trPr>
        <w:tc>
          <w:tcPr>
            <w:tcW w:w="8505" w:type="dxa"/>
            <w:shd w:val="clear" w:color="auto" w:fill="C6CEDF"/>
            <w:vAlign w:val="center"/>
          </w:tcPr>
          <w:p w14:paraId="7F646C0E" w14:textId="77777777" w:rsidR="00FA1468" w:rsidRPr="00FA1468" w:rsidRDefault="00FA1468" w:rsidP="00FA1468">
            <w:pPr>
              <w:spacing w:after="0" w:line="240" w:lineRule="auto"/>
              <w:ind w:left="0" w:right="0"/>
              <w:jc w:val="center"/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</w:pPr>
            <w:bookmarkStart w:id="2" w:name="_Hlk49501743"/>
            <w:bookmarkEnd w:id="0"/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Observera - innan mätning ska patienten ges tillfälle att tömma</w:t>
            </w: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br/>
              <w:t>blåsan, om möjligt sittande eller stående i ostörd miljö.</w:t>
            </w:r>
          </w:p>
        </w:tc>
      </w:tr>
    </w:tbl>
    <w:bookmarkEnd w:id="2"/>
    <w:p w14:paraId="6CAD94BB" w14:textId="77777777" w:rsidR="00FA1468" w:rsidRPr="00FA1468" w:rsidRDefault="00FA1468" w:rsidP="009539A2">
      <w:pPr>
        <w:pStyle w:val="Rubrik2"/>
      </w:pPr>
      <w:r w:rsidRPr="00FA1468">
        <w:t>Vilka patienter riskerar urinretention och åtgärder</w:t>
      </w:r>
    </w:p>
    <w:p w14:paraId="5A2FBE5F" w14:textId="77777777" w:rsidR="00FA1468" w:rsidRPr="00FA1468" w:rsidRDefault="00FA1468" w:rsidP="00FA1468">
      <w:pPr>
        <w:widowControl w:val="0"/>
        <w:autoSpaceDE w:val="0"/>
        <w:autoSpaceDN w:val="0"/>
        <w:adjustRightInd w:val="0"/>
        <w:spacing w:before="120" w:after="20" w:line="240" w:lineRule="auto"/>
        <w:ind w:left="0" w:right="0"/>
        <w:textAlignment w:val="center"/>
        <w:rPr>
          <w:rFonts w:ascii="Arial" w:hAnsi="Arial" w:cs="Arial"/>
          <w:spacing w:val="1"/>
          <w:sz w:val="22"/>
          <w:szCs w:val="22"/>
        </w:rPr>
      </w:pPr>
      <w:r w:rsidRPr="00FA1468">
        <w:rPr>
          <w:rFonts w:ascii="Arial" w:hAnsi="Arial" w:cs="Arial"/>
          <w:spacing w:val="1"/>
          <w:sz w:val="22"/>
          <w:szCs w:val="22"/>
        </w:rPr>
        <w:t>Tabell 1</w:t>
      </w:r>
    </w:p>
    <w:tbl>
      <w:tblPr>
        <w:tblW w:w="8505" w:type="dxa"/>
        <w:tblCellMar>
          <w:top w:w="48" w:type="dxa"/>
          <w:left w:w="80" w:type="dxa"/>
          <w:right w:w="89" w:type="dxa"/>
        </w:tblCellMar>
        <w:tblLook w:val="04A0" w:firstRow="1" w:lastRow="0" w:firstColumn="1" w:lastColumn="0" w:noHBand="0" w:noVBand="1"/>
        <w:tblCaption w:val="Tabell riskbedömning och åtgärdsförslag"/>
        <w:tblDescription w:val="Tabellen listar situationer med risk för urinretention samt ger förslag på åtgärder."/>
      </w:tblPr>
      <w:tblGrid>
        <w:gridCol w:w="4741"/>
        <w:gridCol w:w="3764"/>
      </w:tblGrid>
      <w:tr w:rsidR="00FA1468" w:rsidRPr="00FA1468" w14:paraId="04A02A62" w14:textId="77777777" w:rsidTr="003562D3">
        <w:trPr>
          <w:trHeight w:hRule="exact" w:val="312"/>
        </w:trPr>
        <w:tc>
          <w:tcPr>
            <w:tcW w:w="4741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C6CEDF"/>
          </w:tcPr>
          <w:p w14:paraId="74A726D6" w14:textId="77777777" w:rsidR="00FA1468" w:rsidRPr="00FA1468" w:rsidRDefault="00FA1468" w:rsidP="00FA1468">
            <w:pPr>
              <w:spacing w:after="0" w:line="240" w:lineRule="auto"/>
              <w:ind w:left="0" w:right="0"/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</w:pP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Situation med stor risk för urinretention</w:t>
            </w:r>
          </w:p>
        </w:tc>
        <w:tc>
          <w:tcPr>
            <w:tcW w:w="3764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C6CEDF"/>
          </w:tcPr>
          <w:p w14:paraId="4B89E843" w14:textId="77777777" w:rsidR="00FA1468" w:rsidRPr="00FA1468" w:rsidRDefault="00FA1468" w:rsidP="00FA1468">
            <w:pPr>
              <w:spacing w:after="0" w:line="240" w:lineRule="auto"/>
              <w:ind w:left="0" w:right="0"/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</w:pP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Åtgärd för samtliga situationer</w:t>
            </w:r>
          </w:p>
        </w:tc>
      </w:tr>
      <w:tr w:rsidR="00FA1468" w:rsidRPr="00FA1468" w14:paraId="268AB166" w14:textId="77777777" w:rsidTr="003562D3">
        <w:tc>
          <w:tcPr>
            <w:tcW w:w="4741" w:type="dxa"/>
            <w:tcBorders>
              <w:top w:val="single" w:sz="8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0F86B57D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Residualurin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 &gt;200 ml (uppmätt vid första blåsscanningen).</w:t>
            </w:r>
          </w:p>
        </w:tc>
        <w:tc>
          <w:tcPr>
            <w:tcW w:w="3764" w:type="dxa"/>
            <w:vMerge w:val="restart"/>
            <w:tcBorders>
              <w:top w:val="single" w:sz="8" w:space="0" w:color="181717"/>
              <w:left w:val="single" w:sz="2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3DED459E" w14:textId="77777777" w:rsidR="00FA1468" w:rsidRPr="00FA1468" w:rsidRDefault="00FA1468" w:rsidP="00FA1468">
            <w:pPr>
              <w:numPr>
                <w:ilvl w:val="0"/>
                <w:numId w:val="21"/>
              </w:numPr>
              <w:spacing w:before="20" w:after="140" w:line="240" w:lineRule="auto"/>
              <w:ind w:left="357" w:right="0" w:hanging="357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Förebygg och diagnostisera urinretention.</w:t>
            </w:r>
          </w:p>
          <w:p w14:paraId="529483A2" w14:textId="77777777" w:rsidR="00FA1468" w:rsidRPr="00FA1468" w:rsidRDefault="00FA1468" w:rsidP="00FA1468">
            <w:pPr>
              <w:numPr>
                <w:ilvl w:val="0"/>
                <w:numId w:val="21"/>
              </w:numPr>
              <w:spacing w:before="20" w:after="140" w:line="240" w:lineRule="auto"/>
              <w:ind w:left="357" w:right="0" w:hanging="357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Kontroll av blåstömning enligt schema se flödesschema - v.g. vänd.</w:t>
            </w:r>
          </w:p>
        </w:tc>
      </w:tr>
      <w:tr w:rsidR="00FA1468" w:rsidRPr="00FA1468" w14:paraId="143DC907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31C45DD6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Trauma, svår smärta, </w:t>
            </w: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immobilisering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nil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5550B508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3CC4BB8F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2155D235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Hinder i urinrör, urinblåsa eller prostata (</w:t>
            </w:r>
            <w:proofErr w:type="gram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t.ex.</w:t>
            </w:r>
            <w:proofErr w:type="gram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 tumör).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nil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746E0BB9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196D700F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625C2075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Medvetandesänkt, medvetslös.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nil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03561B99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653923E4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1670C120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Parenteral vätska i stora doser alternativt </w:t>
            </w: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diuretika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 i hög dos.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nil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7EAD9BA6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3E5A29B6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5C22D3F1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EDA – smärtlindrande läkemedel i epiduralkateter.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nil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3F29B6E4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45FBF400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23FEFFA3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Avslutad KAD-behandling.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nil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08A1E5DD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7740E976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6DCC7DFD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Pareser.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nil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590A3284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600A9E9A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10494935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Operationer som påverkar urinblåsans funktion.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668A3B1C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</w:tc>
      </w:tr>
      <w:tr w:rsidR="00FA1468" w:rsidRPr="00FA1468" w14:paraId="0C8DCAFA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12735656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Förlossning.</w:t>
            </w:r>
          </w:p>
        </w:tc>
        <w:tc>
          <w:tcPr>
            <w:tcW w:w="3764" w:type="dxa"/>
            <w:tcBorders>
              <w:top w:val="single" w:sz="2" w:space="0" w:color="181717"/>
              <w:left w:val="single" w:sz="2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6DC3D34B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Handläggs enligt intern riktlinje KK: </w:t>
            </w:r>
            <w:proofErr w:type="spellStart"/>
            <w:r w:rsidRPr="00FA1468">
              <w:rPr>
                <w:rFonts w:ascii="Arial" w:eastAsia="Calibri" w:hAnsi="Arial" w:cs="Calibri"/>
                <w:i/>
                <w:iCs/>
                <w:color w:val="181717"/>
                <w:sz w:val="21"/>
                <w:szCs w:val="22"/>
              </w:rPr>
              <w:t>Postpartum</w:t>
            </w:r>
            <w:proofErr w:type="spellEnd"/>
            <w:r w:rsidRPr="00FA1468">
              <w:rPr>
                <w:rFonts w:ascii="Arial" w:eastAsia="Calibri" w:hAnsi="Arial" w:cs="Calibri"/>
                <w:i/>
                <w:iCs/>
                <w:color w:val="181717"/>
                <w:sz w:val="21"/>
                <w:szCs w:val="22"/>
              </w:rPr>
              <w:t xml:space="preserve"> - urinretention</w:t>
            </w: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.</w:t>
            </w:r>
          </w:p>
        </w:tc>
      </w:tr>
      <w:tr w:rsidR="00FA1468" w:rsidRPr="00FA1468" w14:paraId="2B216ECC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8" w:space="0" w:color="181717"/>
              <w:right w:val="single" w:sz="2" w:space="0" w:color="181717"/>
            </w:tcBorders>
            <w:shd w:val="clear" w:color="auto" w:fill="auto"/>
            <w:tcMar>
              <w:top w:w="17" w:type="dxa"/>
            </w:tcMar>
          </w:tcPr>
          <w:p w14:paraId="36B08D7F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Operation och anestesi.</w:t>
            </w:r>
          </w:p>
        </w:tc>
        <w:tc>
          <w:tcPr>
            <w:tcW w:w="3764" w:type="dxa"/>
            <w:tcBorders>
              <w:top w:val="single" w:sz="2" w:space="0" w:color="181717"/>
              <w:left w:val="single" w:sz="2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  <w:tcMar>
              <w:top w:w="17" w:type="dxa"/>
            </w:tcMar>
          </w:tcPr>
          <w:p w14:paraId="2E310F37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Handläggs enligt intern rutin anestesikliniken: </w:t>
            </w:r>
            <w:r w:rsidRPr="00FA1468">
              <w:rPr>
                <w:rFonts w:ascii="Arial" w:eastAsia="Calibri" w:hAnsi="Arial" w:cs="Calibri"/>
                <w:i/>
                <w:iCs/>
                <w:color w:val="181717"/>
                <w:sz w:val="21"/>
                <w:szCs w:val="22"/>
              </w:rPr>
              <w:t xml:space="preserve">Tappningsrutin för barn och vuxna vid </w:t>
            </w:r>
            <w:proofErr w:type="spellStart"/>
            <w:r w:rsidRPr="00FA1468">
              <w:rPr>
                <w:rFonts w:ascii="Arial" w:eastAsia="Calibri" w:hAnsi="Arial" w:cs="Calibri"/>
                <w:i/>
                <w:iCs/>
                <w:color w:val="181717"/>
                <w:sz w:val="21"/>
                <w:szCs w:val="22"/>
              </w:rPr>
              <w:t>perioperativ</w:t>
            </w:r>
            <w:proofErr w:type="spellEnd"/>
            <w:r w:rsidRPr="00FA1468">
              <w:rPr>
                <w:rFonts w:ascii="Arial" w:eastAsia="Calibri" w:hAnsi="Arial" w:cs="Calibri"/>
                <w:i/>
                <w:iCs/>
                <w:color w:val="181717"/>
                <w:sz w:val="21"/>
                <w:szCs w:val="22"/>
              </w:rPr>
              <w:t xml:space="preserve"> vård</w:t>
            </w: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.</w:t>
            </w:r>
          </w:p>
        </w:tc>
      </w:tr>
      <w:tr w:rsidR="00FA1468" w:rsidRPr="00FA1468" w14:paraId="53E1D5DE" w14:textId="77777777" w:rsidTr="003562D3">
        <w:trPr>
          <w:trHeight w:hRule="exact" w:val="340"/>
        </w:trPr>
        <w:tc>
          <w:tcPr>
            <w:tcW w:w="4741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C6CEDF"/>
          </w:tcPr>
          <w:p w14:paraId="3CA45C54" w14:textId="77777777" w:rsidR="00FA1468" w:rsidRPr="00FA1468" w:rsidRDefault="00FA1468" w:rsidP="00FA1468">
            <w:pPr>
              <w:spacing w:after="0" w:line="240" w:lineRule="auto"/>
              <w:ind w:left="0" w:right="0"/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</w:pP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Situation med måttlig risk för urinretention</w:t>
            </w:r>
          </w:p>
        </w:tc>
        <w:tc>
          <w:tcPr>
            <w:tcW w:w="3764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C6CEDF"/>
          </w:tcPr>
          <w:p w14:paraId="0876E2A7" w14:textId="77777777" w:rsidR="00FA1468" w:rsidRPr="00FA1468" w:rsidRDefault="00FA1468" w:rsidP="00FA1468">
            <w:pPr>
              <w:spacing w:after="0" w:line="240" w:lineRule="auto"/>
              <w:ind w:left="0" w:right="0"/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</w:pP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Åtgärd för samtliga situationer</w:t>
            </w:r>
          </w:p>
        </w:tc>
      </w:tr>
      <w:tr w:rsidR="00FA1468" w:rsidRPr="00FA1468" w14:paraId="29D688AD" w14:textId="77777777" w:rsidTr="003562D3">
        <w:tc>
          <w:tcPr>
            <w:tcW w:w="4741" w:type="dxa"/>
            <w:tcBorders>
              <w:top w:val="single" w:sz="8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19D67E24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Tecken på avflödeshinder, tidigare blåstömningsbesvär som kan påverka urinering.</w:t>
            </w:r>
          </w:p>
        </w:tc>
        <w:tc>
          <w:tcPr>
            <w:tcW w:w="3764" w:type="dxa"/>
            <w:vMerge w:val="restart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54B1F269" w14:textId="77777777" w:rsidR="00FA1468" w:rsidRPr="00FA1468" w:rsidRDefault="00FA1468" w:rsidP="00FA1468">
            <w:pPr>
              <w:numPr>
                <w:ilvl w:val="0"/>
                <w:numId w:val="22"/>
              </w:numPr>
              <w:spacing w:before="20" w:after="140" w:line="240" w:lineRule="auto"/>
              <w:ind w:left="357" w:right="0" w:hanging="357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Förebygg och diagnosticera urinretention.</w:t>
            </w:r>
          </w:p>
          <w:p w14:paraId="49AD7CFC" w14:textId="77777777" w:rsidR="00FA1468" w:rsidRPr="00FA1468" w:rsidRDefault="00FA1468" w:rsidP="00FA1468">
            <w:pPr>
              <w:numPr>
                <w:ilvl w:val="0"/>
                <w:numId w:val="22"/>
              </w:numPr>
              <w:spacing w:before="20" w:after="140" w:line="240" w:lineRule="auto"/>
              <w:ind w:left="357" w:right="0" w:hanging="357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Ultraljudskontroll med blåsscanner efter </w:t>
            </w: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miktion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: Om </w:t>
            </w: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residualurin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 &lt;200 ml och besvärsfrihet, ingen ytterligare kontroll.</w:t>
            </w:r>
          </w:p>
          <w:p w14:paraId="1FA0BD65" w14:textId="77777777" w:rsidR="00FA1468" w:rsidRPr="00FA1468" w:rsidRDefault="00FA1468" w:rsidP="00FA1468">
            <w:pPr>
              <w:numPr>
                <w:ilvl w:val="0"/>
                <w:numId w:val="22"/>
              </w:numPr>
              <w:spacing w:before="20" w:after="140" w:line="240" w:lineRule="auto"/>
              <w:ind w:left="357" w:right="0" w:hanging="357"/>
              <w:rPr>
                <w:rFonts w:ascii="Arial" w:eastAsia="Calibri" w:hAnsi="Arial" w:cs="Calibri"/>
                <w:color w:val="000000"/>
                <w:sz w:val="22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Om </w:t>
            </w: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residualurin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 &gt;200 ml, se flödesschema - v.g. vänd.</w:t>
            </w:r>
          </w:p>
          <w:p w14:paraId="748E8A1B" w14:textId="77777777" w:rsidR="00FA1468" w:rsidRPr="00FA1468" w:rsidRDefault="00FA1468" w:rsidP="00FA1468">
            <w:pPr>
              <w:spacing w:after="160" w:line="240" w:lineRule="auto"/>
              <w:ind w:left="250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</w:p>
          <w:p w14:paraId="1B55136A" w14:textId="77777777" w:rsidR="00FA1468" w:rsidRPr="00FA1468" w:rsidRDefault="00FA1468" w:rsidP="00FA1468">
            <w:pPr>
              <w:spacing w:after="160" w:line="240" w:lineRule="auto"/>
              <w:ind w:left="2500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FA1468" w:rsidRPr="00FA1468" w14:paraId="0F376C28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26460D0C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Kognitiv svikt (med eller utan förvirring).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686F41AD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46E314F3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5C3CF9FE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Immobilisering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 (framför allt vid sängläge).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2A4F7FB5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07D395E4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10A79216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Drog- och alkoholpåverkan (framför allt vid medvetslöshet).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079C0760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0FEFC357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5B29FF27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Diabetes </w:t>
            </w: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mellitus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, även nydebuterad.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752E6543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4D387C71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7C2587CA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Akut buksjukdom, inklusive förstoppning.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46D75083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05413C33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0B0AE680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Neurologisk sjukdom, inklusive TIA och stroke.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3C39821C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1791E719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32AF23B4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lastRenderedPageBreak/>
              <w:t>Läkemedel som påverkar urinblåsan (</w:t>
            </w:r>
            <w:proofErr w:type="gram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t.ex.</w:t>
            </w:r>
            <w:proofErr w:type="gram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 opiater och </w:t>
            </w: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antikolinergika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).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03F98C8E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0005FA4F" w14:textId="77777777" w:rsidTr="003562D3">
        <w:tc>
          <w:tcPr>
            <w:tcW w:w="4741" w:type="dxa"/>
            <w:tcBorders>
              <w:top w:val="single" w:sz="2" w:space="0" w:color="181717"/>
              <w:left w:val="single" w:sz="8" w:space="0" w:color="181717"/>
              <w:bottom w:val="single" w:sz="2" w:space="0" w:color="181717"/>
              <w:right w:val="single" w:sz="8" w:space="0" w:color="181717"/>
            </w:tcBorders>
            <w:shd w:val="clear" w:color="auto" w:fill="auto"/>
          </w:tcPr>
          <w:p w14:paraId="535B76CF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181717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Kronisk smärta.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181717"/>
              <w:bottom w:val="nil"/>
              <w:right w:val="single" w:sz="8" w:space="0" w:color="181717"/>
            </w:tcBorders>
            <w:shd w:val="clear" w:color="auto" w:fill="auto"/>
          </w:tcPr>
          <w:p w14:paraId="76E9BD09" w14:textId="77777777" w:rsidR="00FA1468" w:rsidRPr="00FA1468" w:rsidRDefault="00FA1468" w:rsidP="00FA1468">
            <w:pPr>
              <w:spacing w:after="160" w:line="259" w:lineRule="auto"/>
              <w:ind w:left="0" w:righ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A1468" w:rsidRPr="00FA1468" w14:paraId="0BB17C8B" w14:textId="77777777" w:rsidTr="003562D3">
        <w:tc>
          <w:tcPr>
            <w:tcW w:w="8505" w:type="dxa"/>
            <w:gridSpan w:val="2"/>
            <w:tcBorders>
              <w:top w:val="single" w:sz="2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C6CEDF"/>
          </w:tcPr>
          <w:p w14:paraId="00605BE1" w14:textId="77777777" w:rsidR="00FA1468" w:rsidRPr="00FA1468" w:rsidRDefault="00FA1468" w:rsidP="00FA1468">
            <w:pPr>
              <w:spacing w:after="6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 xml:space="preserve">Observera att det kan förekomma fler tillfällen och </w:t>
            </w: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br/>
              <w:t>situationer där patienten bör övervakas noga.</w:t>
            </w:r>
          </w:p>
        </w:tc>
      </w:tr>
    </w:tbl>
    <w:p w14:paraId="33038B4D" w14:textId="77777777" w:rsidR="00FA1468" w:rsidRPr="00FA1468" w:rsidRDefault="00FA1468" w:rsidP="00FA1468">
      <w:pPr>
        <w:widowControl w:val="0"/>
        <w:autoSpaceDE w:val="0"/>
        <w:autoSpaceDN w:val="0"/>
        <w:adjustRightInd w:val="0"/>
        <w:spacing w:before="20" w:after="20" w:line="240" w:lineRule="auto"/>
        <w:ind w:left="0" w:right="0"/>
        <w:textAlignment w:val="center"/>
        <w:rPr>
          <w:rFonts w:ascii="Arial" w:hAnsi="Arial"/>
          <w:spacing w:val="1"/>
          <w:sz w:val="16"/>
          <w:szCs w:val="16"/>
        </w:rPr>
      </w:pPr>
    </w:p>
    <w:p w14:paraId="2A03CD3A" w14:textId="77777777" w:rsidR="00FA1468" w:rsidRPr="00FA1468" w:rsidRDefault="00FA1468" w:rsidP="00FA1468">
      <w:pPr>
        <w:widowControl w:val="0"/>
        <w:autoSpaceDE w:val="0"/>
        <w:autoSpaceDN w:val="0"/>
        <w:adjustRightInd w:val="0"/>
        <w:spacing w:before="120" w:after="20" w:line="240" w:lineRule="auto"/>
        <w:ind w:left="0" w:right="0"/>
        <w:textAlignment w:val="center"/>
        <w:rPr>
          <w:rFonts w:ascii="Arial" w:hAnsi="Arial" w:cs="Arial"/>
          <w:spacing w:val="1"/>
          <w:sz w:val="22"/>
          <w:szCs w:val="22"/>
        </w:rPr>
      </w:pPr>
      <w:r w:rsidRPr="00FA1468">
        <w:rPr>
          <w:rFonts w:ascii="Arial" w:hAnsi="Arial" w:cs="Arial"/>
          <w:spacing w:val="1"/>
          <w:sz w:val="22"/>
          <w:szCs w:val="22"/>
        </w:rPr>
        <w:t>Tabell 2</w:t>
      </w:r>
    </w:p>
    <w:tbl>
      <w:tblPr>
        <w:tblW w:w="8505" w:type="dxa"/>
        <w:tblCellMar>
          <w:top w:w="41" w:type="dxa"/>
          <w:left w:w="80" w:type="dxa"/>
          <w:right w:w="13" w:type="dxa"/>
        </w:tblCellMar>
        <w:tblLook w:val="04A0" w:firstRow="1" w:lastRow="0" w:firstColumn="1" w:lastColumn="0" w:noHBand="0" w:noVBand="1"/>
        <w:tblCaption w:val="Residualurin/situationer samt åtgärder"/>
        <w:tblDescription w:val="Tabellen listar residualurin (kvarstående urin i blåsan9 och gr förslag på åtgärder beroende på kvarvarande mängd i blåsan. "/>
      </w:tblPr>
      <w:tblGrid>
        <w:gridCol w:w="4252"/>
        <w:gridCol w:w="4253"/>
      </w:tblGrid>
      <w:tr w:rsidR="00FA1468" w:rsidRPr="00FA1468" w14:paraId="6A683283" w14:textId="77777777" w:rsidTr="003562D3">
        <w:trPr>
          <w:trHeight w:hRule="exact" w:val="369"/>
        </w:trPr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C6CEDF"/>
          </w:tcPr>
          <w:p w14:paraId="6EE4E081" w14:textId="77777777" w:rsidR="00FA1468" w:rsidRPr="00FA1468" w:rsidRDefault="00FA1468" w:rsidP="00FA1468">
            <w:pPr>
              <w:spacing w:after="0" w:line="240" w:lineRule="auto"/>
              <w:ind w:left="0" w:right="0"/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</w:pPr>
            <w:proofErr w:type="spellStart"/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Residualurin</w:t>
            </w:r>
            <w:proofErr w:type="spellEnd"/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/situation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C6CEDF"/>
          </w:tcPr>
          <w:p w14:paraId="5D85A06C" w14:textId="77777777" w:rsidR="00FA1468" w:rsidRPr="00FA1468" w:rsidRDefault="00FA1468" w:rsidP="00FA1468">
            <w:pPr>
              <w:spacing w:after="0" w:line="240" w:lineRule="auto"/>
              <w:ind w:left="0" w:right="0"/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</w:pPr>
            <w:r w:rsidRPr="00FA1468">
              <w:rPr>
                <w:rFonts w:ascii="Arial" w:eastAsia="Calibri" w:hAnsi="Arial" w:cs="Calibri"/>
                <w:b/>
                <w:color w:val="181717"/>
                <w:sz w:val="20"/>
                <w:szCs w:val="22"/>
              </w:rPr>
              <w:t>Åtgärder</w:t>
            </w:r>
          </w:p>
        </w:tc>
      </w:tr>
      <w:tr w:rsidR="00FA1468" w:rsidRPr="00FA1468" w14:paraId="28855A86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3A66BF48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Riskpatient identifierad, enligt tabell 1 och/eller inför operation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12C4F205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proofErr w:type="spell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Bladderscan</w:t>
            </w:r>
            <w:proofErr w:type="spell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 (BS).</w:t>
            </w:r>
          </w:p>
        </w:tc>
      </w:tr>
      <w:tr w:rsidR="00FA1468" w:rsidRPr="00FA1468" w14:paraId="40740E90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1EEE7CB5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100 ml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3E32DDCE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BS inom 3 timmar.</w:t>
            </w:r>
          </w:p>
        </w:tc>
      </w:tr>
      <w:tr w:rsidR="00FA1468" w:rsidRPr="00FA1468" w14:paraId="6E9D4EDA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3F5F8547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200 ml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4E88BBE6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BS inom 2 timmar.</w:t>
            </w:r>
          </w:p>
        </w:tc>
      </w:tr>
      <w:tr w:rsidR="00FA1468" w:rsidRPr="00FA1468" w14:paraId="2558BC94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23E6FB68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300 ml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6F478225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BS inom 1 timme.</w:t>
            </w:r>
          </w:p>
        </w:tc>
      </w:tr>
      <w:tr w:rsidR="00FA1468" w:rsidRPr="00FA1468" w14:paraId="5BCBEB11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58474C69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&gt;400 ml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424B3F65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Intermittent kateterisering, BS efter 2 timmar (</w:t>
            </w:r>
            <w:proofErr w:type="gramStart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1:a</w:t>
            </w:r>
            <w:proofErr w:type="gramEnd"/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 xml:space="preserve"> tappningen), sedan var 4:e timme, s.k. regelbunden intermittent kateterisering (RIK).</w:t>
            </w:r>
          </w:p>
        </w:tc>
      </w:tr>
      <w:tr w:rsidR="00FA1468" w:rsidRPr="00FA1468" w14:paraId="00CB187D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3905E22A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&gt;1 000 ml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31C229D2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KAD i 2 veckor. Undantaget är om patienten är ung och det finns möjlighet att följa urinblåsan tömningsfunktion för att utesluta skada (på läkarordination överväg urologkontakt).</w:t>
            </w:r>
          </w:p>
        </w:tc>
      </w:tr>
      <w:tr w:rsidR="00FA1468" w:rsidRPr="00FA1468" w14:paraId="547DFFD0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0A77138F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Vid stora mängder parenteral infusion, vid operation och postoperativt och om KAD saknas.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15360582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BS 1 gång/timme eller oftare vid behov.</w:t>
            </w:r>
          </w:p>
        </w:tc>
      </w:tr>
      <w:tr w:rsidR="00FA1468" w:rsidRPr="00FA1468" w14:paraId="62B4E27C" w14:textId="77777777" w:rsidTr="003562D3">
        <w:tc>
          <w:tcPr>
            <w:tcW w:w="4252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00CBBDDF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Om &lt;200 ml vid två BS efter varandra.</w:t>
            </w:r>
          </w:p>
        </w:tc>
        <w:tc>
          <w:tcPr>
            <w:tcW w:w="4253" w:type="dxa"/>
            <w:tcBorders>
              <w:top w:val="single" w:sz="8" w:space="0" w:color="181717"/>
              <w:left w:val="single" w:sz="8" w:space="0" w:color="181717"/>
              <w:bottom w:val="single" w:sz="8" w:space="0" w:color="181717"/>
              <w:right w:val="single" w:sz="8" w:space="0" w:color="181717"/>
            </w:tcBorders>
            <w:shd w:val="clear" w:color="auto" w:fill="auto"/>
          </w:tcPr>
          <w:p w14:paraId="233FD401" w14:textId="77777777" w:rsidR="00FA1468" w:rsidRPr="00FA1468" w:rsidRDefault="00FA1468" w:rsidP="00FA1468">
            <w:pPr>
              <w:spacing w:after="30" w:line="240" w:lineRule="auto"/>
              <w:ind w:left="0" w:right="0"/>
              <w:rPr>
                <w:rFonts w:ascii="Arial" w:eastAsia="Calibri" w:hAnsi="Arial" w:cs="Calibri"/>
                <w:color w:val="000000"/>
                <w:sz w:val="21"/>
                <w:szCs w:val="22"/>
              </w:rPr>
            </w:pPr>
            <w:r w:rsidRPr="00FA1468">
              <w:rPr>
                <w:rFonts w:ascii="Arial" w:eastAsia="Calibri" w:hAnsi="Arial" w:cs="Calibri"/>
                <w:color w:val="181717"/>
                <w:sz w:val="21"/>
                <w:szCs w:val="22"/>
              </w:rPr>
              <w:t>Kontroller med BS avslutas.</w:t>
            </w:r>
          </w:p>
        </w:tc>
      </w:tr>
    </w:tbl>
    <w:p w14:paraId="76B9F95B" w14:textId="3C7C1493" w:rsidR="00536A5A" w:rsidRPr="00536A5A" w:rsidRDefault="00FA1468" w:rsidP="00A12C26">
      <w:pPr>
        <w:spacing w:before="120"/>
        <w:ind w:left="0"/>
      </w:pPr>
      <w:r w:rsidRPr="00FA1468">
        <w:t>Denna kortversion är ett utdrag från SÄS</w:t>
      </w:r>
      <w:r w:rsidR="00953EA3">
        <w:t xml:space="preserve"> </w:t>
      </w:r>
      <w:r w:rsidRPr="00FA1468">
        <w:t>riktlinje ”</w:t>
      </w:r>
      <w:hyperlink r:id="rId12" w:history="1">
        <w:r w:rsidRPr="00FA1468">
          <w:rPr>
            <w:color w:val="0563C1"/>
            <w:u w:val="single"/>
          </w:rPr>
          <w:t>Urinvägsinfektion - Förebygg urinretention och vårdrelaterad UVI (VUVI) hos vuxna</w:t>
        </w:r>
      </w:hyperlink>
      <w:r w:rsidR="00953EA3">
        <w:rPr>
          <w:color w:val="0563C1"/>
          <w:u w:val="single"/>
        </w:rPr>
        <w:t>”</w:t>
      </w:r>
      <w:r w:rsidRPr="00FA1468">
        <w:t xml:space="preserve"> och ingår som bilaga 3 till riktlinjen </w:t>
      </w:r>
      <w:hyperlink r:id="rId13" w:history="1">
        <w:r w:rsidRPr="00FA1468">
          <w:rPr>
            <w:color w:val="0563C1"/>
            <w:u w:val="single"/>
          </w:rPr>
          <w:t>Kateterisering av urinblåsa hos barn och vuxna vid SÄS</w:t>
        </w:r>
      </w:hyperlink>
      <w:r w:rsidRPr="00FA1468">
        <w:t>. Gäller vuxna över 18 år.</w:t>
      </w:r>
      <w:bookmarkEnd w:id="1"/>
    </w:p>
    <w:sectPr w:rsidR="00536A5A" w:rsidRPr="00536A5A" w:rsidSect="00FA1468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26168" w14:textId="77777777" w:rsidR="00E5397C" w:rsidRDefault="00E5397C">
      <w:r>
        <w:separator/>
      </w:r>
    </w:p>
  </w:endnote>
  <w:endnote w:type="continuationSeparator" w:id="0">
    <w:p w14:paraId="76E34FFD" w14:textId="77777777" w:rsidR="00E5397C" w:rsidRDefault="00E5397C">
      <w:r>
        <w:continuationSeparator/>
      </w:r>
    </w:p>
  </w:endnote>
  <w:endnote w:type="continuationNotice" w:id="1">
    <w:p w14:paraId="242409C9" w14:textId="77777777" w:rsidR="00E5397C" w:rsidRDefault="00E539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3C02E" w14:textId="77777777" w:rsidR="00E5397C" w:rsidRDefault="00E5397C"/>
  </w:footnote>
  <w:footnote w:type="continuationSeparator" w:id="0">
    <w:p w14:paraId="3082B5BC" w14:textId="77777777" w:rsidR="00E5397C" w:rsidRDefault="00E5397C">
      <w:r>
        <w:continuationSeparator/>
      </w:r>
    </w:p>
  </w:footnote>
  <w:footnote w:type="continuationNotice" w:id="1">
    <w:p w14:paraId="30CAFF23" w14:textId="77777777" w:rsidR="00E5397C" w:rsidRDefault="00E539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B70DE4"/>
    <w:multiLevelType w:val="hybridMultilevel"/>
    <w:tmpl w:val="FF805EA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3667C3"/>
    <w:multiLevelType w:val="multilevel"/>
    <w:tmpl w:val="E766E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5815F5B"/>
    <w:multiLevelType w:val="hybridMultilevel"/>
    <w:tmpl w:val="FF805EA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461169">
    <w:abstractNumId w:val="20"/>
  </w:num>
  <w:num w:numId="2" w16cid:durableId="1057708657">
    <w:abstractNumId w:val="16"/>
  </w:num>
  <w:num w:numId="3" w16cid:durableId="221793531">
    <w:abstractNumId w:val="0"/>
  </w:num>
  <w:num w:numId="4" w16cid:durableId="654842622">
    <w:abstractNumId w:val="8"/>
  </w:num>
  <w:num w:numId="5" w16cid:durableId="1153374523">
    <w:abstractNumId w:val="18"/>
  </w:num>
  <w:num w:numId="6" w16cid:durableId="2061512079">
    <w:abstractNumId w:val="2"/>
  </w:num>
  <w:num w:numId="7" w16cid:durableId="1848717204">
    <w:abstractNumId w:val="13"/>
  </w:num>
  <w:num w:numId="8" w16cid:durableId="646202935">
    <w:abstractNumId w:val="10"/>
  </w:num>
  <w:num w:numId="9" w16cid:durableId="1344093249">
    <w:abstractNumId w:val="1"/>
  </w:num>
  <w:num w:numId="10" w16cid:durableId="250046465">
    <w:abstractNumId w:val="1"/>
  </w:num>
  <w:num w:numId="11" w16cid:durableId="970478592">
    <w:abstractNumId w:val="3"/>
  </w:num>
  <w:num w:numId="12" w16cid:durableId="136727894">
    <w:abstractNumId w:val="6"/>
  </w:num>
  <w:num w:numId="13" w16cid:durableId="1218398629">
    <w:abstractNumId w:val="15"/>
  </w:num>
  <w:num w:numId="14" w16cid:durableId="2029216131">
    <w:abstractNumId w:val="11"/>
  </w:num>
  <w:num w:numId="15" w16cid:durableId="215550682">
    <w:abstractNumId w:val="9"/>
  </w:num>
  <w:num w:numId="16" w16cid:durableId="1122767135">
    <w:abstractNumId w:val="14"/>
  </w:num>
  <w:num w:numId="17" w16cid:durableId="740252375">
    <w:abstractNumId w:val="7"/>
  </w:num>
  <w:num w:numId="18" w16cid:durableId="1855608948">
    <w:abstractNumId w:val="12"/>
  </w:num>
  <w:num w:numId="19" w16cid:durableId="1807624272">
    <w:abstractNumId w:val="19"/>
  </w:num>
  <w:num w:numId="20" w16cid:durableId="492797441">
    <w:abstractNumId w:val="5"/>
  </w:num>
  <w:num w:numId="21" w16cid:durableId="1040859699">
    <w:abstractNumId w:val="17"/>
  </w:num>
  <w:num w:numId="22" w16cid:durableId="3071760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75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0D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775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BD9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9A2"/>
    <w:rsid w:val="00953EA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C2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F9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97C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46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0DA"/>
    <w:pPr>
      <w:keepNext/>
      <w:spacing w:before="1600" w:after="240"/>
      <w:contextualSpacing/>
      <w:outlineLvl w:val="0"/>
    </w:pPr>
    <w:rPr>
      <w:rFonts w:ascii="Calibri" w:eastAsia="MS Gothic" w:hAnsi="Calibri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9539A2"/>
    <w:pPr>
      <w:keepNext/>
      <w:keepLines/>
      <w:spacing w:before="240" w:after="40" w:line="240" w:lineRule="auto"/>
      <w:ind w:left="0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100DA"/>
    <w:rPr>
      <w:rFonts w:ascii="Calibri" w:eastAsia="MS Gothic" w:hAnsi="Calibri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9539A2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03/SURROGATE/Kateterisering%20av%20urinbl%c3%a5sa%20hos%20barn%20och%20vuxna%20vid%20S%c3%84S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93/SURROGATE/Urinv%c3%a4gsinfektion%20-%20F%c3%b6rebygga%20och%20utreda%20v%c3%a5rdrelaterad%20UVI%20(VUVI)%20hos%20vuxna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44</TotalTime>
  <Pages>2</Pages>
  <Words>541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Bladderscan - Åtgärdskort för blåsscanning och blåstappning, SÄS</dc:title>
  <dc:subject/>
  <dc:creator>patrik.jens.johansson@vgregion.se</dc:creator>
  <keywords/>
  <lastModifiedBy>Karin Åhlin</lastModifiedBy>
  <revision>10</revision>
  <lastPrinted>2016-03-31T10:56:00.0000000Z</lastPrinted>
  <dcterms:created xsi:type="dcterms:W3CDTF">2022-03-28T05:30:00.0000000Z</dcterms:created>
  <dcterms:modified xsi:type="dcterms:W3CDTF">2024-01-19T16:27:00.0000000Z</dcterms:modified>
</coreProperties>
</file>