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184167" w:rsidP="008C7695" w:rsidRDefault="008C7695" w14:paraId="061914D4" w14:textId="3A99CEC1">
      <w:pPr>
        <w:pStyle w:val="Rubrik1"/>
      </w:pPr>
      <w:r w:rsidRPr="008C7695">
        <w:t xml:space="preserve">Bevakningsfunktion i </w:t>
      </w:r>
      <w:proofErr w:type="spellStart"/>
      <w:r w:rsidRPr="008C7695">
        <w:t>Melior</w:t>
      </w:r>
      <w:proofErr w:type="spellEnd"/>
      <w:r w:rsidRPr="008C7695">
        <w:t>,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Pr="00890A11" w:rsidR="00E030EC" w:rsidP="00E030EC" w:rsidRDefault="00E030EC" w14:paraId="51464B95" w14:textId="7C792BA3">
      <w:bookmarkStart w:name="_Toc100327185" w:id="3"/>
      <w:bookmarkStart w:name="_Toc181866757" w:id="4"/>
      <w:bookmarkStart w:name="_Toc72840807" w:id="5"/>
      <w:r w:rsidR="7B5C2653">
        <w:rPr/>
        <w:t>Uppdaterat länk till Användarmanual Melior, Bevaka journal.</w:t>
      </w:r>
      <w:r>
        <w:br/>
      </w:r>
      <w:r w:rsidR="00E030EC">
        <w:rPr/>
        <w:t>Redaktionella ändringar, giltighetstiden förlängd</w:t>
      </w:r>
      <w:r w:rsidR="00E030EC">
        <w:rPr/>
        <w:t>.</w:t>
      </w:r>
    </w:p>
    <w:p w:rsidR="009A32ED" w:rsidP="009A32ED" w:rsidRDefault="009A32ED" w14:paraId="69BCFD87" w14:textId="77777777">
      <w:pPr>
        <w:pStyle w:val="Rubrik2"/>
        <w:ind w:right="-143"/>
      </w:pPr>
      <w:r>
        <w:t>Sammanfattning</w:t>
      </w:r>
      <w:bookmarkEnd w:id="3"/>
      <w:bookmarkEnd w:id="4"/>
    </w:p>
    <w:p w:rsidR="00B405A1" w:rsidP="008C7695" w:rsidRDefault="008C7695" w14:paraId="1FC6584C" w14:textId="4109F958">
      <w:pPr>
        <w:ind w:right="-143"/>
      </w:pPr>
      <w:r w:rsidRPr="008C7695">
        <w:t xml:space="preserve">Rutinen beskriver hantering av bevakningskorgen i </w:t>
      </w:r>
      <w:proofErr w:type="spellStart"/>
      <w:r w:rsidRPr="008C7695">
        <w:t>Melior</w:t>
      </w:r>
      <w:proofErr w:type="spellEnd"/>
      <w:r w:rsidRPr="008C7695">
        <w:t xml:space="preserve"> på SÄS i syfte att uppmärksamma hälso- och sjukvårdspersonal på de risker som finns med </w:t>
      </w:r>
      <w:proofErr w:type="spellStart"/>
      <w:r w:rsidRPr="008C7695">
        <w:t>Meliors</w:t>
      </w:r>
      <w:proofErr w:type="spellEnd"/>
      <w:r w:rsidRPr="008C7695">
        <w:t xml:space="preserve"> bevakningsfunktion, och att den därför bör användas restriktivt.</w:t>
      </w:r>
    </w:p>
    <w:p w:rsidR="009A32ED" w:rsidP="009A32ED" w:rsidRDefault="009A32ED" w14:paraId="70B2A54A" w14:textId="77777777">
      <w:pPr>
        <w:pStyle w:val="Rubrik2"/>
        <w:ind w:right="-143"/>
      </w:pPr>
      <w:bookmarkStart w:name="_Toc100327187" w:id="6"/>
      <w:bookmarkStart w:name="_Toc181866760" w:id="7"/>
      <w:bookmarkEnd w:id="5"/>
      <w:r>
        <w:t>Förutsättningar</w:t>
      </w:r>
      <w:bookmarkEnd w:id="6"/>
      <w:bookmarkEnd w:id="7"/>
    </w:p>
    <w:p w:rsidR="008C7695" w:rsidP="008C7695" w:rsidRDefault="008C7695" w14:paraId="69279C70" w14:textId="77777777">
      <w:pPr>
        <w:ind w:right="-143"/>
      </w:pPr>
      <w:r>
        <w:t>Risker med bevakningsfunktionen:</w:t>
      </w:r>
    </w:p>
    <w:p w:rsidR="008C7695" w:rsidP="008C7695" w:rsidRDefault="008C7695" w14:paraId="2FA96FB9" w14:textId="28569DC5">
      <w:pPr>
        <w:pStyle w:val="Liststycke"/>
        <w:numPr>
          <w:ilvl w:val="0"/>
          <w:numId w:val="22"/>
        </w:numPr>
      </w:pPr>
      <w:r>
        <w:t>Det finns ingen möjlighet att loggranska bevakningar, det är av den anledningen exempelvis inte möjligt att kontrollera historik för gjorda bevakningar.</w:t>
      </w:r>
    </w:p>
    <w:p w:rsidR="008C7695" w:rsidP="008C7695" w:rsidRDefault="008C7695" w14:paraId="122FC96D" w14:textId="013B8F7A">
      <w:pPr>
        <w:pStyle w:val="Liststycke"/>
        <w:numPr>
          <w:ilvl w:val="0"/>
          <w:numId w:val="22"/>
        </w:numPr>
      </w:pPr>
      <w:r>
        <w:t>Vid val att ta bort en bevakning, alternativt ta bort alla bevakningar, finns möjlighet att återskapa den eller dessa inom 24 timmar. Efter denna tidsperiod är bevakningen permanent borttagen och är inte möjlig att återställa.</w:t>
      </w:r>
    </w:p>
    <w:p w:rsidR="008C7695" w:rsidP="008C7695" w:rsidRDefault="008C7695" w14:paraId="4E4F1D6F" w14:textId="77777777">
      <w:pPr>
        <w:pStyle w:val="Rubrik3"/>
      </w:pPr>
      <w:r>
        <w:t>Ansvar</w:t>
      </w:r>
    </w:p>
    <w:p w:rsidR="008C7695" w:rsidP="008C7695" w:rsidRDefault="008C7695" w14:paraId="4C290610" w14:textId="77777777">
      <w:pPr>
        <w:pStyle w:val="MellanrubrikVGR"/>
      </w:pPr>
      <w:r>
        <w:t>Verksamhetschef</w:t>
      </w:r>
    </w:p>
    <w:p w:rsidR="008C7695" w:rsidP="008C7695" w:rsidRDefault="008C7695" w14:paraId="5CDA6C60" w14:textId="77777777">
      <w:pPr>
        <w:ind w:right="-143"/>
      </w:pPr>
      <w:r>
        <w:t>Verksamhetschefen ansvarar för att alla medarbetare känner till rutinen och att bevakningsfunktionen inte får innehålla journaluppgifter under några som helst omständigheter.</w:t>
      </w:r>
    </w:p>
    <w:p w:rsidR="008C7695" w:rsidP="008C7695" w:rsidRDefault="008C7695" w14:paraId="427C938A" w14:textId="77777777">
      <w:pPr>
        <w:pStyle w:val="MellanrubrikVGR"/>
      </w:pPr>
      <w:r>
        <w:t>Enskild användare</w:t>
      </w:r>
    </w:p>
    <w:p w:rsidR="008C7695" w:rsidP="008C7695" w:rsidRDefault="008C7695" w14:paraId="4034E7DB" w14:textId="77777777">
      <w:pPr>
        <w:ind w:right="-143"/>
      </w:pPr>
      <w:r>
        <w:t>Bevakningskorgen är personlig och varje enskild användare har ett ansvar att det inte ligger olästa ärenden i bevakningskorgen. Varje användare har även ansvar för skickade bevakningar till dess de är mottagna och åtgärdade.</w:t>
      </w:r>
    </w:p>
    <w:p w:rsidR="008C7695" w:rsidP="008C7695" w:rsidRDefault="008C7695" w14:paraId="48AF846A" w14:textId="77777777">
      <w:pPr>
        <w:pStyle w:val="MellanrubrikVGR"/>
      </w:pPr>
      <w:r>
        <w:t>Vid frånvaro (gäller endast databas Psyk Drift)</w:t>
      </w:r>
    </w:p>
    <w:p w:rsidR="008C7695" w:rsidP="008C7695" w:rsidRDefault="008C7695" w14:paraId="1077B7C5" w14:textId="77777777">
      <w:pPr>
        <w:ind w:right="-143"/>
      </w:pPr>
      <w:r>
        <w:t>Vid längre tids frånvaro, till exempel vid sjukdom eller tjänstledighet, ansvarar den enskilde användaren för att delegera bevakningskorgen till chef eller kollega. Detta sker genom att under menyvalet ”Mina inställningar” välja ”Bevakningsinställningar” och där lägga till vem som ska kunna bevaka den användare som ska vara frånvarande.</w:t>
      </w:r>
    </w:p>
    <w:p w:rsidR="008C7695" w:rsidP="008C7695" w:rsidRDefault="008C7695" w14:paraId="5BD1AB33" w14:textId="77777777">
      <w:pPr>
        <w:ind w:right="-143"/>
      </w:pPr>
      <w:r>
        <w:t>Bevakningar som sänds vidare enligt funktionen för bevakningsinställningar förs endast vidare i ett led. Om användare A sänder vidare bevakning till användare B, som sedermera sänder vidare till användare C så kommer användare C endast att se bevakningar till användare B.</w:t>
      </w:r>
    </w:p>
    <w:p w:rsidRPr="005218AA" w:rsidR="009A32ED" w:rsidP="008C7695" w:rsidRDefault="008C7695" w14:paraId="7084F565" w14:textId="2A149FF9">
      <w:pPr>
        <w:ind w:right="-143"/>
      </w:pPr>
      <w:r>
        <w:t>Funktionen för bevakningsinställningar är inte aktiverad i SÄS Drift eller STD Drift med hänvisning till chefläkarbeslut, eftersom bristande rutin skulle innebära en potentiell patientsäkerhetsrisk.</w:t>
      </w:r>
    </w:p>
    <w:p w:rsidRPr="00065A6B" w:rsidR="009A32ED" w:rsidP="009A32ED" w:rsidRDefault="009A32ED" w14:paraId="37C7076C" w14:textId="77777777">
      <w:pPr>
        <w:pStyle w:val="Rubrik2"/>
        <w:ind w:right="-143"/>
        <w:rPr>
          <w:color w:val="auto"/>
        </w:rPr>
      </w:pPr>
      <w:bookmarkStart w:name="_Toc100327192" w:id="8"/>
      <w:bookmarkStart w:name="_Toc181866761" w:id="9"/>
      <w:r w:rsidRPr="00065A6B">
        <w:rPr>
          <w:color w:val="auto"/>
        </w:rPr>
        <w:t>Utförande</w:t>
      </w:r>
      <w:bookmarkEnd w:id="8"/>
      <w:bookmarkEnd w:id="9"/>
    </w:p>
    <w:p w:rsidR="008C7695" w:rsidP="008C7695" w:rsidRDefault="008C7695" w14:paraId="1B89AC7C" w14:textId="77777777">
      <w:pPr>
        <w:pStyle w:val="Rubrik3"/>
      </w:pPr>
      <w:r>
        <w:t>Avsedd användning</w:t>
      </w:r>
    </w:p>
    <w:p w:rsidR="008C7695" w:rsidP="008C7695" w:rsidRDefault="008C7695" w14:paraId="0BAAC580" w14:textId="35C576FF">
      <w:pPr>
        <w:ind w:right="-143"/>
      </w:pPr>
      <w:r w:rsidR="008C7695">
        <w:rPr/>
        <w:t xml:space="preserve">För beskrivning av funktion och handhavande hänvisas till Användarhandbok </w:t>
      </w:r>
      <w:r w:rsidR="008C7695">
        <w:rPr/>
        <w:t>Melior</w:t>
      </w:r>
      <w:r w:rsidR="008C7695">
        <w:rPr/>
        <w:t xml:space="preserve"> Journal 22</w:t>
      </w:r>
      <w:r w:rsidR="5FE1D65B">
        <w:rPr/>
        <w:t>1</w:t>
      </w:r>
      <w:r w:rsidR="008C7695">
        <w:rPr/>
        <w:t>, avsnitt Bevaka journal [1].</w:t>
      </w:r>
    </w:p>
    <w:p w:rsidR="008C7695" w:rsidP="008C7695" w:rsidRDefault="008C7695" w14:paraId="316778AC" w14:textId="77777777">
      <w:pPr>
        <w:ind w:right="-143"/>
      </w:pPr>
      <w:r>
        <w:t xml:space="preserve">Bevakningsfunktionen i </w:t>
      </w:r>
      <w:proofErr w:type="spellStart"/>
      <w:r>
        <w:t>Melior</w:t>
      </w:r>
      <w:proofErr w:type="spellEnd"/>
      <w:r>
        <w:t xml:space="preserve"> kan användas för information och påminnelser, men i regel inte när en åtgärd förväntas av annan part. I dessa fall krävs en överenskommelse om att göra så, och att avsändande användare på förhand säkerställt att mottagande användare är i tjänst.</w:t>
      </w:r>
    </w:p>
    <w:p w:rsidR="008C7695" w:rsidP="008C7695" w:rsidRDefault="008C7695" w14:paraId="698D28A9" w14:textId="77777777">
      <w:pPr>
        <w:ind w:right="-143"/>
      </w:pPr>
      <w:r>
        <w:t>Bevakningskorgen får inte innehålla information som definieras som journalhandling, och ska inte under några som helst omständigheter användas för konsultation mellan olika verksamheter.</w:t>
      </w:r>
    </w:p>
    <w:p w:rsidR="008C7695" w:rsidP="008C7695" w:rsidRDefault="008C7695" w14:paraId="675DD4DA" w14:textId="77777777">
      <w:pPr>
        <w:ind w:right="-143"/>
      </w:pPr>
      <w:r>
        <w:t>Med journalhandling avses information som innehåller uppgifter om patientens hälsotillstånd eller andra personliga förhållanden, eller om vidtagna eller planerade vårdåtgärder (Patientdatalag (2008:355) [2].</w:t>
      </w:r>
    </w:p>
    <w:p w:rsidR="008C7695" w:rsidP="008C7695" w:rsidRDefault="008C7695" w14:paraId="15BB99E5" w14:textId="77777777">
      <w:pPr>
        <w:ind w:right="-143"/>
      </w:pPr>
      <w:r>
        <w:t>En bevakning och dess funktion kan jämföras med en kom-ihåg-lapp, och ska i sig inte röja vare sig personuppgifter eller journalförd information.</w:t>
      </w:r>
    </w:p>
    <w:p w:rsidR="008C7695" w:rsidP="008C7695" w:rsidRDefault="008C7695" w14:paraId="590BB2D8" w14:textId="7F363196">
      <w:pPr>
        <w:ind w:right="-143"/>
      </w:pPr>
      <w:r>
        <w:t xml:space="preserve"> </w:t>
      </w:r>
      <w:r w:rsidRPr="00890A11">
        <w:rPr>
          <w:noProof/>
        </w:rPr>
        <w:drawing>
          <wp:inline distT="0" distB="0" distL="0" distR="0" wp14:anchorId="5D195062" wp14:editId="2F2DBA69">
            <wp:extent cx="4419600" cy="3705225"/>
            <wp:effectExtent l="0" t="0" r="0" b="9525"/>
            <wp:docPr id="1" name="Bildobjekt 1" descr="Skärmdump från journalsystemet Melior som visar exempel på information om bevakningsdetaljer med meddelande samt vilken patient det rör sig o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descr="Skärmdump från journalsystemet Melior som visar exempel på information om bevakningsdetaljer med meddelande samt vilken patient det rör sig om.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19600" cy="3705225"/>
                    </a:xfrm>
                    <a:prstGeom prst="rect">
                      <a:avLst/>
                    </a:prstGeom>
                    <a:noFill/>
                    <a:ln>
                      <a:noFill/>
                    </a:ln>
                  </pic:spPr>
                </pic:pic>
              </a:graphicData>
            </a:graphic>
          </wp:inline>
        </w:drawing>
      </w:r>
    </w:p>
    <w:p w:rsidRPr="008C7695" w:rsidR="008C7695" w:rsidP="008C7695" w:rsidRDefault="008C7695" w14:paraId="30D8DB57" w14:textId="77777777">
      <w:pPr>
        <w:ind w:right="-143"/>
        <w:rPr>
          <w:i/>
          <w:iCs/>
          <w:sz w:val="22"/>
          <w:szCs w:val="22"/>
        </w:rPr>
      </w:pPr>
      <w:r w:rsidRPr="008C7695">
        <w:rPr>
          <w:i/>
          <w:iCs/>
          <w:sz w:val="22"/>
          <w:szCs w:val="22"/>
        </w:rPr>
        <w:t>Figur I. Exempel på bevakning.</w:t>
      </w:r>
    </w:p>
    <w:p w:rsidR="008C7695" w:rsidP="008C7695" w:rsidRDefault="008C7695" w14:paraId="0A636E67" w14:textId="77777777">
      <w:pPr>
        <w:pStyle w:val="Rubrik3"/>
      </w:pPr>
      <w:r>
        <w:t>En bevakningskorg per databas</w:t>
      </w:r>
    </w:p>
    <w:p w:rsidRPr="005218AA" w:rsidR="009A32ED" w:rsidP="008C7695" w:rsidRDefault="008C7695" w14:paraId="0D822C86" w14:textId="533254E8">
      <w:pPr>
        <w:ind w:right="-143"/>
      </w:pPr>
      <w:r>
        <w:t>Användare som arbetar i flera databaser har en bevakningskorg per databas. Detta innebär att användarna måste vara observanta och kontrollera bevakningskorgen i alla databaser som hen arbetar i.</w:t>
      </w:r>
    </w:p>
    <w:p w:rsidR="009A32ED" w:rsidP="008C7695" w:rsidRDefault="009A32ED" w14:paraId="55F2C9B3" w14:textId="77777777">
      <w:pPr>
        <w:pStyle w:val="Rubrik3"/>
      </w:pPr>
      <w:r>
        <w:t>Uppföljning</w:t>
      </w:r>
    </w:p>
    <w:p w:rsidR="008C7695" w:rsidP="009A32ED" w:rsidRDefault="008C7695" w14:paraId="1CFE04CD" w14:textId="77777777">
      <w:pPr>
        <w:ind w:right="-143"/>
      </w:pPr>
      <w:r w:rsidRPr="008C7695">
        <w:t>Verksamhetschef ansvarar för att vid upprepade tillfällen informera och poängtera för sina medarbetare att bevakningsfunktionen ska användas restriktivt, och att journaluppgifter inte får sparas eller spridas via bevakningsfunktionen.</w:t>
      </w:r>
    </w:p>
    <w:p w:rsidRPr="00890A11" w:rsidR="008C7695" w:rsidP="008C7695" w:rsidRDefault="008C7695" w14:paraId="7580C320" w14:textId="77777777">
      <w:pPr>
        <w:pStyle w:val="Rubrik2"/>
      </w:pPr>
      <w:bookmarkStart w:name="_Toc182366122" w:id="10"/>
      <w:bookmarkStart w:name="_Toc419895117" w:id="11"/>
      <w:r w:rsidRPr="00890A11">
        <w:t>Dokumentinformation</w:t>
      </w:r>
      <w:bookmarkEnd w:id="10"/>
      <w:bookmarkEnd w:id="11"/>
    </w:p>
    <w:p w:rsidRPr="00902769" w:rsidR="008C7695" w:rsidP="008C7695" w:rsidRDefault="008C7695" w14:paraId="67CAA479" w14:textId="77777777">
      <w:pPr>
        <w:spacing w:after="0"/>
        <w:rPr>
          <w:b/>
          <w:bCs/>
        </w:rPr>
      </w:pPr>
      <w:r w:rsidRPr="00902769">
        <w:rPr>
          <w:b/>
          <w:bCs/>
        </w:rPr>
        <w:t>För innehållet svarar</w:t>
      </w:r>
    </w:p>
    <w:p w:rsidR="008C7695" w:rsidP="008C7695" w:rsidRDefault="008C7695" w14:paraId="6414ADEA" w14:textId="77777777">
      <w:r w:rsidRPr="00F7292E">
        <w:t xml:space="preserve">Frida Borg, systemförvaltare </w:t>
      </w:r>
      <w:proofErr w:type="spellStart"/>
      <w:r w:rsidRPr="00F7292E">
        <w:t>Melior</w:t>
      </w:r>
      <w:proofErr w:type="spellEnd"/>
      <w:r w:rsidRPr="00F7292E">
        <w:t>, SÄS</w:t>
      </w:r>
    </w:p>
    <w:p w:rsidRPr="00890A11" w:rsidR="008C7695" w:rsidP="008C7695" w:rsidRDefault="008C7695" w14:paraId="0860E2CC" w14:textId="77777777">
      <w:bookmarkStart w:name="_Toc149035757" w:id="12"/>
      <w:bookmarkStart w:name="_Toc149978547" w:id="13"/>
      <w:r w:rsidRPr="00902769">
        <w:rPr>
          <w:b/>
          <w:bCs/>
        </w:rPr>
        <w:t>Remissinstanser</w:t>
      </w:r>
      <w:bookmarkEnd w:id="12"/>
      <w:bookmarkEnd w:id="13"/>
      <w:r>
        <w:br/>
      </w:r>
      <w:r>
        <w:t>Verksamhetschefer, SÄS</w:t>
      </w:r>
    </w:p>
    <w:p w:rsidRPr="00890A11" w:rsidR="008C7695" w:rsidP="008C7695" w:rsidRDefault="008C7695" w14:paraId="323C9143" w14:textId="77777777">
      <w:pPr>
        <w:pStyle w:val="Rubrik2"/>
        <w:rPr>
          <w:rFonts w:ascii="Arial" w:hAnsi="Arial"/>
          <w:kern w:val="32"/>
          <w:sz w:val="32"/>
          <w:szCs w:val="20"/>
        </w:rPr>
      </w:pPr>
      <w:r w:rsidRPr="00890A11">
        <w:rPr>
          <w:rFonts w:ascii="Arial" w:hAnsi="Arial"/>
          <w:kern w:val="32"/>
          <w:sz w:val="32"/>
          <w:szCs w:val="20"/>
        </w:rPr>
        <w:t>Referensförteckning</w:t>
      </w:r>
    </w:p>
    <w:p w:rsidRPr="00890A11" w:rsidR="008C7695" w:rsidP="008C7695" w:rsidRDefault="008C7695" w14:paraId="589D8F3B" w14:textId="7DFE9272">
      <w:pPr>
        <w:pStyle w:val="Punktlistanumrerad"/>
        <w:rPr/>
      </w:pPr>
      <w:r w:rsidR="008C7695">
        <w:rPr/>
        <w:t xml:space="preserve">Användarhandbok </w:t>
      </w:r>
      <w:r w:rsidR="008C7695">
        <w:rPr/>
        <w:t>Melior</w:t>
      </w:r>
      <w:r w:rsidR="008C7695">
        <w:rPr/>
        <w:t xml:space="preserve"> Journal 22</w:t>
      </w:r>
      <w:r w:rsidR="21A9F443">
        <w:rPr/>
        <w:t>1</w:t>
      </w:r>
      <w:r w:rsidR="008C7695">
        <w:rPr/>
        <w:t>, avsnitt Bevaka journal.</w:t>
      </w:r>
    </w:p>
    <w:p w:rsidR="3DDBA7C5" w:rsidP="6F490409" w:rsidRDefault="3DDBA7C5" w14:paraId="1B271645" w14:textId="10B88EF8">
      <w:pPr>
        <w:ind w:left="0" w:firstLine="1304"/>
        <w:rPr>
          <w:rFonts w:ascii="Times New Roman" w:hAnsi="Times New Roman" w:eastAsia="Times New Roman" w:cs="Times New Roman"/>
          <w:noProof w:val="0"/>
          <w:lang w:val="sv-SE"/>
        </w:rPr>
      </w:pPr>
      <w:hyperlink r:id="Rb642fa201dba4be0">
        <w:r w:rsidRPr="6F490409" w:rsidR="3DDBA7C5">
          <w:rPr>
            <w:rStyle w:val="Hyperlnk"/>
            <w:rFonts w:ascii="Times New Roman" w:hAnsi="Times New Roman" w:eastAsia="Times New Roman" w:cs="Times New Roman"/>
            <w:noProof w:val="0"/>
            <w:lang w:val="sv-SE"/>
          </w:rPr>
          <w:t>Användarhandbok Melior Journal 221 - 9.4.0.300</w:t>
        </w:r>
      </w:hyperlink>
    </w:p>
    <w:p w:rsidRPr="00890A11" w:rsidR="008C7695" w:rsidP="008C7695" w:rsidRDefault="008C7695" w14:paraId="25D6DC3B" w14:noSpellErr="1" w14:textId="71ED72FD">
      <w:pPr>
        <w:pStyle w:val="Punktlistanumrerad"/>
        <w:rPr/>
      </w:pPr>
      <w:r w:rsidR="008C7695">
        <w:rPr/>
        <w:t>Patientdatalag (2008:355). Svensk författningssamling</w:t>
      </w:r>
      <w:r>
        <w:br/>
      </w:r>
      <w:hyperlink r:id="R29d86ed3d792462f">
        <w:r w:rsidRPr="6F490409" w:rsidR="008C7695">
          <w:rPr>
            <w:rStyle w:val="Hyperlnk"/>
          </w:rPr>
          <w:t>www.riksdagen.se</w:t>
        </w:r>
      </w:hyperlink>
      <w:r w:rsidR="008C7695">
        <w:rPr/>
        <w:t xml:space="preserve"> under rubrik </w:t>
      </w:r>
      <w:r w:rsidRPr="6F490409" w:rsidR="008C7695">
        <w:rPr>
          <w:i w:val="1"/>
          <w:iCs w:val="1"/>
        </w:rPr>
        <w:t>Dokument &amp; lagar</w:t>
      </w:r>
    </w:p>
    <w:p w:rsidR="009C6C0C" w:rsidP="009A32ED" w:rsidRDefault="009C6C0C" w14:paraId="40AA233F" w14:textId="580AE9C3">
      <w:pPr>
        <w:ind w:right="-143"/>
      </w:pPr>
    </w:p>
    <w:sectPr w:rsidR="009C6C0C"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B3D8C" w:rsidRDefault="003B3D8C" w14:paraId="5D191BE1" w14:textId="77777777">
      <w:r>
        <w:separator/>
      </w:r>
    </w:p>
  </w:endnote>
  <w:endnote w:type="continuationSeparator" w:id="0">
    <w:p w:rsidR="003B3D8C" w:rsidRDefault="003B3D8C" w14:paraId="2BC2D93B" w14:textId="77777777">
      <w:r>
        <w:continuationSeparator/>
      </w:r>
    </w:p>
  </w:endnote>
  <w:endnote w:type="continuationNotice" w:id="1">
    <w:p w:rsidR="003B3D8C" w:rsidRDefault="003B3D8C" w14:paraId="4678C83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B3D8C" w:rsidRDefault="003B3D8C" w14:paraId="56A99B85" w14:textId="77777777"/>
  </w:footnote>
  <w:footnote w:type="continuationSeparator" w:id="0">
    <w:p w:rsidR="003B3D8C" w:rsidRDefault="003B3D8C" w14:paraId="3D16D641" w14:textId="77777777">
      <w:r>
        <w:continuationSeparator/>
      </w:r>
    </w:p>
  </w:footnote>
  <w:footnote w:type="continuationNotice" w:id="1">
    <w:p w:rsidR="003B3D8C" w:rsidRDefault="003B3D8C" w14:paraId="4747B03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6833AF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98A2440">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714A863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A33525A"/>
    <w:multiLevelType w:val="hybridMultilevel"/>
    <w:tmpl w:val="CEB23D70"/>
    <w:lvl w:ilvl="0" w:tplc="05B4067A">
      <w:numFmt w:val="bullet"/>
      <w:lvlText w:val="•"/>
      <w:lvlJc w:val="left"/>
      <w:pPr>
        <w:ind w:left="1302" w:hanging="735"/>
      </w:pPr>
      <w:rPr>
        <w:rFonts w:hint="default" w:ascii="Georgia" w:hAnsi="Georgia" w:eastAsia="Times New Roman" w:cs="Times New Roman"/>
      </w:rPr>
    </w:lvl>
    <w:lvl w:ilvl="1" w:tplc="041D0003" w:tentative="1">
      <w:start w:val="1"/>
      <w:numFmt w:val="bullet"/>
      <w:lvlText w:val="o"/>
      <w:lvlJc w:val="left"/>
      <w:pPr>
        <w:ind w:left="1647" w:hanging="360"/>
      </w:pPr>
      <w:rPr>
        <w:rFonts w:hint="default" w:ascii="Courier New" w:hAnsi="Courier New" w:cs="Courier New"/>
      </w:rPr>
    </w:lvl>
    <w:lvl w:ilvl="2" w:tplc="041D0005" w:tentative="1">
      <w:start w:val="1"/>
      <w:numFmt w:val="bullet"/>
      <w:lvlText w:val=""/>
      <w:lvlJc w:val="left"/>
      <w:pPr>
        <w:ind w:left="2367" w:hanging="360"/>
      </w:pPr>
      <w:rPr>
        <w:rFonts w:hint="default" w:ascii="Wingdings" w:hAnsi="Wingdings"/>
      </w:rPr>
    </w:lvl>
    <w:lvl w:ilvl="3" w:tplc="041D0001" w:tentative="1">
      <w:start w:val="1"/>
      <w:numFmt w:val="bullet"/>
      <w:lvlText w:val=""/>
      <w:lvlJc w:val="left"/>
      <w:pPr>
        <w:ind w:left="3087" w:hanging="360"/>
      </w:pPr>
      <w:rPr>
        <w:rFonts w:hint="default" w:ascii="Symbol" w:hAnsi="Symbol"/>
      </w:rPr>
    </w:lvl>
    <w:lvl w:ilvl="4" w:tplc="041D0003" w:tentative="1">
      <w:start w:val="1"/>
      <w:numFmt w:val="bullet"/>
      <w:lvlText w:val="o"/>
      <w:lvlJc w:val="left"/>
      <w:pPr>
        <w:ind w:left="3807" w:hanging="360"/>
      </w:pPr>
      <w:rPr>
        <w:rFonts w:hint="default" w:ascii="Courier New" w:hAnsi="Courier New" w:cs="Courier New"/>
      </w:rPr>
    </w:lvl>
    <w:lvl w:ilvl="5" w:tplc="041D0005" w:tentative="1">
      <w:start w:val="1"/>
      <w:numFmt w:val="bullet"/>
      <w:lvlText w:val=""/>
      <w:lvlJc w:val="left"/>
      <w:pPr>
        <w:ind w:left="4527" w:hanging="360"/>
      </w:pPr>
      <w:rPr>
        <w:rFonts w:hint="default" w:ascii="Wingdings" w:hAnsi="Wingdings"/>
      </w:rPr>
    </w:lvl>
    <w:lvl w:ilvl="6" w:tplc="041D0001" w:tentative="1">
      <w:start w:val="1"/>
      <w:numFmt w:val="bullet"/>
      <w:lvlText w:val=""/>
      <w:lvlJc w:val="left"/>
      <w:pPr>
        <w:ind w:left="5247" w:hanging="360"/>
      </w:pPr>
      <w:rPr>
        <w:rFonts w:hint="default" w:ascii="Symbol" w:hAnsi="Symbol"/>
      </w:rPr>
    </w:lvl>
    <w:lvl w:ilvl="7" w:tplc="041D0003" w:tentative="1">
      <w:start w:val="1"/>
      <w:numFmt w:val="bullet"/>
      <w:lvlText w:val="o"/>
      <w:lvlJc w:val="left"/>
      <w:pPr>
        <w:ind w:left="5967" w:hanging="360"/>
      </w:pPr>
      <w:rPr>
        <w:rFonts w:hint="default" w:ascii="Courier New" w:hAnsi="Courier New" w:cs="Courier New"/>
      </w:rPr>
    </w:lvl>
    <w:lvl w:ilvl="8" w:tplc="041D0005" w:tentative="1">
      <w:start w:val="1"/>
      <w:numFmt w:val="bullet"/>
      <w:lvlText w:val=""/>
      <w:lvlJc w:val="left"/>
      <w:pPr>
        <w:ind w:left="6687"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6186B8C"/>
    <w:multiLevelType w:val="hybridMultilevel"/>
    <w:tmpl w:val="4F96B86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20"/>
  </w:num>
  <w:num w:numId="2" w16cid:durableId="1367871050">
    <w:abstractNumId w:val="17"/>
  </w:num>
  <w:num w:numId="3" w16cid:durableId="164058872">
    <w:abstractNumId w:val="0"/>
  </w:num>
  <w:num w:numId="4" w16cid:durableId="861477783">
    <w:abstractNumId w:val="8"/>
  </w:num>
  <w:num w:numId="5" w16cid:durableId="1280868239">
    <w:abstractNumId w:val="18"/>
  </w:num>
  <w:num w:numId="6" w16cid:durableId="444931515">
    <w:abstractNumId w:val="3"/>
  </w:num>
  <w:num w:numId="7" w16cid:durableId="739910959">
    <w:abstractNumId w:val="14"/>
  </w:num>
  <w:num w:numId="8" w16cid:durableId="391579451">
    <w:abstractNumId w:val="11"/>
  </w:num>
  <w:num w:numId="9" w16cid:durableId="1296368398">
    <w:abstractNumId w:val="2"/>
  </w:num>
  <w:num w:numId="10" w16cid:durableId="689646344">
    <w:abstractNumId w:val="2"/>
  </w:num>
  <w:num w:numId="11" w16cid:durableId="1979215945">
    <w:abstractNumId w:val="4"/>
  </w:num>
  <w:num w:numId="12" w16cid:durableId="830874331">
    <w:abstractNumId w:val="5"/>
  </w:num>
  <w:num w:numId="13" w16cid:durableId="57095060">
    <w:abstractNumId w:val="16"/>
  </w:num>
  <w:num w:numId="14" w16cid:durableId="36130748">
    <w:abstractNumId w:val="12"/>
  </w:num>
  <w:num w:numId="15" w16cid:durableId="560679449">
    <w:abstractNumId w:val="9"/>
  </w:num>
  <w:num w:numId="16" w16cid:durableId="1420566503">
    <w:abstractNumId w:val="15"/>
  </w:num>
  <w:num w:numId="17" w16cid:durableId="256527698">
    <w:abstractNumId w:val="6"/>
  </w:num>
  <w:num w:numId="18" w16cid:durableId="1090539201">
    <w:abstractNumId w:val="13"/>
  </w:num>
  <w:num w:numId="19" w16cid:durableId="1846439597">
    <w:abstractNumId w:val="19"/>
  </w:num>
  <w:num w:numId="20" w16cid:durableId="705326858">
    <w:abstractNumId w:val="1"/>
  </w:num>
  <w:num w:numId="21" w16cid:durableId="1906181167">
    <w:abstractNumId w:val="10"/>
  </w:num>
  <w:num w:numId="22" w16cid:durableId="730888830">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6CA9"/>
    <w:rsid w:val="00384019"/>
    <w:rsid w:val="003854F1"/>
    <w:rsid w:val="0039118E"/>
    <w:rsid w:val="00397F54"/>
    <w:rsid w:val="003A0D43"/>
    <w:rsid w:val="003B2A4B"/>
    <w:rsid w:val="003B3D8C"/>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09E4"/>
    <w:rsid w:val="00892F28"/>
    <w:rsid w:val="008A0C5F"/>
    <w:rsid w:val="008A3DEA"/>
    <w:rsid w:val="008A4EB9"/>
    <w:rsid w:val="008A74C0"/>
    <w:rsid w:val="008B1694"/>
    <w:rsid w:val="008C4B27"/>
    <w:rsid w:val="008C7695"/>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30EC"/>
    <w:rsid w:val="00E07B1B"/>
    <w:rsid w:val="00E11853"/>
    <w:rsid w:val="00E411B6"/>
    <w:rsid w:val="00E52A86"/>
    <w:rsid w:val="00E54B47"/>
    <w:rsid w:val="00E553BF"/>
    <w:rsid w:val="00E55D93"/>
    <w:rsid w:val="00E61294"/>
    <w:rsid w:val="00E7237C"/>
    <w:rsid w:val="00E77C46"/>
    <w:rsid w:val="00E829F8"/>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3523438"/>
    <w:rsid w:val="039FA85B"/>
    <w:rsid w:val="21A9F443"/>
    <w:rsid w:val="34C587E0"/>
    <w:rsid w:val="3DDBA7C5"/>
    <w:rsid w:val="5FE1D65B"/>
    <w:rsid w:val="647B2B65"/>
    <w:rsid w:val="6B2CF8ED"/>
    <w:rsid w:val="6F490409"/>
    <w:rsid w:val="7B5C265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226E15EE-1589-4C14-A116-83D6DCDE086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Punktlistanumrerad" w:customStyle="1">
    <w:name w:val="Punktlista numrerad"/>
    <w:rsid w:val="008C7695"/>
    <w:pPr>
      <w:numPr>
        <w:numId w:val="20"/>
      </w:numPr>
      <w:tabs>
        <w:tab w:val="left" w:pos="1349"/>
      </w:tabs>
      <w:overflowPunct w:val="0"/>
      <w:autoSpaceDE w:val="0"/>
      <w:autoSpaceDN w:val="0"/>
      <w:adjustRightInd w:val="0"/>
      <w:spacing w:after="80" w:line="288" w:lineRule="auto"/>
      <w:textAlignment w:val="baseline"/>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image" Target="media/image1.png"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 Type="http://schemas.openxmlformats.org/officeDocument/2006/relationships/hyperlink" Target="https://melsas.vgregion.se/MeliorClientHelp/UserManual/NetHelp/index.htm" TargetMode="External" Id="Rb642fa201dba4be0" /><Relationship Type="http://schemas.openxmlformats.org/officeDocument/2006/relationships/hyperlink" Target="https://www.riksdagen.se/sv/dokument-lagar/dokument/svensk-forfattningssamling/patientdatalag-2008355_sfs-2008-355" TargetMode="External" Id="R29d86ed3d792462f" /></Relationships>
</file>

<file path=word/_rels/footer3.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Bevakningsfunktion i Melior, SÄS</dc:title>
  <dc:subject/>
  <dc:creator/>
  <keywords/>
  <lastModifiedBy>Frida Borg</lastModifiedBy>
  <revision>2</revision>
  <dcterms:created xsi:type="dcterms:W3CDTF">2025-06-24T10:37:00.0000000Z</dcterms:created>
  <dcterms:modified xsi:type="dcterms:W3CDTF">2025-07-03T08:48:48.0000000Z</dcterms:modified>
</coreProperties>
</file>