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AA1A" w14:textId="77777777" w:rsidR="00192B6C" w:rsidRDefault="00192B6C" w:rsidP="00F35B05">
      <w:pPr>
        <w:pStyle w:val="Rubrik2"/>
        <w:sectPr w:rsidR="00192B6C" w:rsidSect="00192B6C">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17F46A22" w14:textId="77777777" w:rsidR="00192B6C" w:rsidRPr="00192B6C" w:rsidRDefault="00192B6C" w:rsidP="00EC7053">
      <w:pPr>
        <w:pStyle w:val="Rubrik1"/>
      </w:pPr>
      <w:bookmarkStart w:id="1" w:name="_Toc314219769"/>
      <w:r w:rsidRPr="00192B6C">
        <w:t>Ascitestappning (laparocentes), SÄS</w:t>
      </w:r>
    </w:p>
    <w:p w14:paraId="16986728" w14:textId="77777777" w:rsidR="00192B6C" w:rsidRPr="00192B6C" w:rsidRDefault="00192B6C" w:rsidP="00EC7053">
      <w:pPr>
        <w:pStyle w:val="Rubrik2"/>
      </w:pPr>
      <w:bookmarkStart w:id="2" w:name="_Toc12458314"/>
      <w:bookmarkStart w:id="3" w:name="_Toc256000000"/>
      <w:bookmarkStart w:id="4" w:name="_Toc256000011"/>
      <w:bookmarkStart w:id="5" w:name="_Toc256000022"/>
      <w:bookmarkStart w:id="6" w:name="_Toc256000033"/>
      <w:bookmarkStart w:id="7" w:name="_Toc256000044"/>
      <w:bookmarkStart w:id="8" w:name="_Toc256000055"/>
      <w:bookmarkStart w:id="9" w:name="_Toc256000066"/>
      <w:bookmarkStart w:id="10" w:name="_Toc144109874"/>
      <w:r w:rsidRPr="00192B6C">
        <w:t>Sammanfattning</w:t>
      </w:r>
      <w:bookmarkEnd w:id="1"/>
      <w:bookmarkEnd w:id="2"/>
      <w:bookmarkEnd w:id="3"/>
      <w:bookmarkEnd w:id="4"/>
      <w:bookmarkEnd w:id="5"/>
      <w:bookmarkEnd w:id="6"/>
      <w:bookmarkEnd w:id="7"/>
      <w:bookmarkEnd w:id="8"/>
      <w:bookmarkEnd w:id="9"/>
      <w:bookmarkEnd w:id="10"/>
    </w:p>
    <w:p w14:paraId="6FBA23F9" w14:textId="77777777" w:rsidR="00192B6C" w:rsidRDefault="00192B6C" w:rsidP="00EC7053">
      <w:r w:rsidRPr="00192B6C">
        <w:t>Rutinen beskriver förberedelser inför ascitestappning, utrustning som behövs vid dukning samt utförande av tappningen. Dessutom berörs provtagning vid ascitestappning och tolkning av de vanligaste analyserna.</w:t>
      </w:r>
    </w:p>
    <w:p w14:paraId="6945FCDB" w14:textId="5CDB296B" w:rsidR="00EC7053" w:rsidRDefault="00EC7053" w:rsidP="00EC7053">
      <w:pPr>
        <w:pStyle w:val="Rubrik2"/>
      </w:pPr>
      <w:bookmarkStart w:id="11" w:name="_Toc144109875"/>
      <w:r>
        <w:t>Förändringar sedan föregående version</w:t>
      </w:r>
      <w:bookmarkEnd w:id="11"/>
    </w:p>
    <w:p w14:paraId="0D3F23A0" w14:textId="1E281933" w:rsidR="00EC7053" w:rsidRPr="00192B6C" w:rsidRDefault="00D177A9" w:rsidP="00EC7053">
      <w:r>
        <w:t>Redaktionella ändringar, giltighetstiden förlängd.</w:t>
      </w:r>
    </w:p>
    <w:p w14:paraId="3472455A" w14:textId="77777777" w:rsidR="00192B6C" w:rsidRPr="00EC7053" w:rsidRDefault="00192B6C" w:rsidP="00EC7053">
      <w:pPr>
        <w:spacing w:before="360" w:after="40"/>
        <w:rPr>
          <w:rFonts w:asciiTheme="majorHAnsi" w:hAnsiTheme="majorHAnsi" w:cstheme="majorHAnsi"/>
          <w:sz w:val="28"/>
          <w:szCs w:val="28"/>
        </w:rPr>
      </w:pPr>
      <w:r w:rsidRPr="00EC7053">
        <w:rPr>
          <w:rFonts w:asciiTheme="majorHAnsi" w:hAnsiTheme="majorHAnsi" w:cstheme="majorHAnsi"/>
          <w:sz w:val="28"/>
          <w:szCs w:val="28"/>
        </w:rPr>
        <w:t>Innehållsförteckning</w:t>
      </w:r>
    </w:p>
    <w:bookmarkStart w:id="12" w:name="_Toc12458315"/>
    <w:bookmarkStart w:id="13" w:name="_Toc256000001"/>
    <w:bookmarkStart w:id="14" w:name="_Toc256000012"/>
    <w:bookmarkStart w:id="15" w:name="_Toc256000023"/>
    <w:bookmarkStart w:id="16" w:name="_Toc256000034"/>
    <w:bookmarkStart w:id="17" w:name="_Toc256000045"/>
    <w:bookmarkStart w:id="18" w:name="_Toc256000056"/>
    <w:bookmarkStart w:id="19" w:name="_Toc256000067"/>
    <w:p w14:paraId="2798178C" w14:textId="2E82D092" w:rsidR="006F0749" w:rsidRDefault="008E2094">
      <w:pPr>
        <w:pStyle w:val="Innehll1"/>
        <w:rPr>
          <w:rFonts w:asciiTheme="minorHAnsi" w:eastAsiaTheme="minorEastAsia" w:hAnsiTheme="minorHAnsi" w:cstheme="minorBidi"/>
          <w:noProof/>
          <w:sz w:val="22"/>
          <w:szCs w:val="22"/>
        </w:rPr>
      </w:pPr>
      <w:r>
        <w:rPr>
          <w:rFonts w:ascii="Arial" w:hAnsi="Arial"/>
          <w:bCs/>
          <w:noProof/>
          <w:color w:val="0000FF"/>
          <w:sz w:val="22"/>
          <w:szCs w:val="32"/>
          <w:u w:val="single"/>
        </w:rPr>
        <w:fldChar w:fldCharType="begin"/>
      </w:r>
      <w:r>
        <w:rPr>
          <w:rFonts w:ascii="Arial" w:hAnsi="Arial"/>
          <w:bCs/>
          <w:noProof/>
          <w:color w:val="0000FF"/>
          <w:sz w:val="22"/>
          <w:szCs w:val="32"/>
          <w:u w:val="single"/>
        </w:rPr>
        <w:instrText xml:space="preserve"> TOC \h \z \t "Rubrik 2;1;Rubrik 3;2;Mellanrubrik VGR;3" </w:instrText>
      </w:r>
      <w:r>
        <w:rPr>
          <w:rFonts w:ascii="Arial" w:hAnsi="Arial"/>
          <w:bCs/>
          <w:noProof/>
          <w:color w:val="0000FF"/>
          <w:sz w:val="22"/>
          <w:szCs w:val="32"/>
          <w:u w:val="single"/>
        </w:rPr>
        <w:fldChar w:fldCharType="separate"/>
      </w:r>
      <w:hyperlink w:anchor="_Toc144109874" w:history="1">
        <w:r w:rsidR="006F0749" w:rsidRPr="00BA0EAA">
          <w:rPr>
            <w:rStyle w:val="Hyperlnk"/>
            <w:rFonts w:eastAsia="MS Gothic"/>
            <w:noProof/>
          </w:rPr>
          <w:t>Sammanfattning</w:t>
        </w:r>
        <w:r w:rsidR="006F0749">
          <w:rPr>
            <w:noProof/>
            <w:webHidden/>
          </w:rPr>
          <w:tab/>
        </w:r>
        <w:r w:rsidR="006F0749">
          <w:rPr>
            <w:noProof/>
            <w:webHidden/>
          </w:rPr>
          <w:fldChar w:fldCharType="begin"/>
        </w:r>
        <w:r w:rsidR="006F0749">
          <w:rPr>
            <w:noProof/>
            <w:webHidden/>
          </w:rPr>
          <w:instrText xml:space="preserve"> PAGEREF _Toc144109874 \h </w:instrText>
        </w:r>
        <w:r w:rsidR="006F0749">
          <w:rPr>
            <w:noProof/>
            <w:webHidden/>
          </w:rPr>
        </w:r>
        <w:r w:rsidR="006F0749">
          <w:rPr>
            <w:noProof/>
            <w:webHidden/>
          </w:rPr>
          <w:fldChar w:fldCharType="separate"/>
        </w:r>
        <w:r w:rsidR="006F0749">
          <w:rPr>
            <w:noProof/>
            <w:webHidden/>
          </w:rPr>
          <w:t>1</w:t>
        </w:r>
        <w:r w:rsidR="006F0749">
          <w:rPr>
            <w:noProof/>
            <w:webHidden/>
          </w:rPr>
          <w:fldChar w:fldCharType="end"/>
        </w:r>
      </w:hyperlink>
    </w:p>
    <w:p w14:paraId="10CC0D03" w14:textId="5B697126" w:rsidR="006F0749" w:rsidRDefault="006F0749">
      <w:pPr>
        <w:pStyle w:val="Innehll1"/>
        <w:rPr>
          <w:rFonts w:asciiTheme="minorHAnsi" w:eastAsiaTheme="minorEastAsia" w:hAnsiTheme="minorHAnsi" w:cstheme="minorBidi"/>
          <w:noProof/>
          <w:sz w:val="22"/>
          <w:szCs w:val="22"/>
        </w:rPr>
      </w:pPr>
      <w:hyperlink w:anchor="_Toc144109875" w:history="1">
        <w:r w:rsidRPr="00BA0EAA">
          <w:rPr>
            <w:rStyle w:val="Hyperlnk"/>
            <w:rFonts w:eastAsia="MS Gothic"/>
            <w:noProof/>
          </w:rPr>
          <w:t>Förändringar sedan föregående version</w:t>
        </w:r>
        <w:r>
          <w:rPr>
            <w:noProof/>
            <w:webHidden/>
          </w:rPr>
          <w:tab/>
        </w:r>
        <w:r>
          <w:rPr>
            <w:noProof/>
            <w:webHidden/>
          </w:rPr>
          <w:fldChar w:fldCharType="begin"/>
        </w:r>
        <w:r>
          <w:rPr>
            <w:noProof/>
            <w:webHidden/>
          </w:rPr>
          <w:instrText xml:space="preserve"> PAGEREF _Toc144109875 \h </w:instrText>
        </w:r>
        <w:r>
          <w:rPr>
            <w:noProof/>
            <w:webHidden/>
          </w:rPr>
        </w:r>
        <w:r>
          <w:rPr>
            <w:noProof/>
            <w:webHidden/>
          </w:rPr>
          <w:fldChar w:fldCharType="separate"/>
        </w:r>
        <w:r>
          <w:rPr>
            <w:noProof/>
            <w:webHidden/>
          </w:rPr>
          <w:t>1</w:t>
        </w:r>
        <w:r>
          <w:rPr>
            <w:noProof/>
            <w:webHidden/>
          </w:rPr>
          <w:fldChar w:fldCharType="end"/>
        </w:r>
      </w:hyperlink>
    </w:p>
    <w:p w14:paraId="7F1BDF13" w14:textId="6DA01106" w:rsidR="006F0749" w:rsidRDefault="006F0749">
      <w:pPr>
        <w:pStyle w:val="Innehll1"/>
        <w:rPr>
          <w:rFonts w:asciiTheme="minorHAnsi" w:eastAsiaTheme="minorEastAsia" w:hAnsiTheme="minorHAnsi" w:cstheme="minorBidi"/>
          <w:noProof/>
          <w:sz w:val="22"/>
          <w:szCs w:val="22"/>
        </w:rPr>
      </w:pPr>
      <w:hyperlink w:anchor="_Toc144109876" w:history="1">
        <w:r w:rsidRPr="00BA0EAA">
          <w:rPr>
            <w:rStyle w:val="Hyperlnk"/>
            <w:rFonts w:eastAsia="MS Gothic"/>
            <w:noProof/>
          </w:rPr>
          <w:t>Förutsättningar</w:t>
        </w:r>
        <w:r>
          <w:rPr>
            <w:noProof/>
            <w:webHidden/>
          </w:rPr>
          <w:tab/>
        </w:r>
        <w:r>
          <w:rPr>
            <w:noProof/>
            <w:webHidden/>
          </w:rPr>
          <w:fldChar w:fldCharType="begin"/>
        </w:r>
        <w:r>
          <w:rPr>
            <w:noProof/>
            <w:webHidden/>
          </w:rPr>
          <w:instrText xml:space="preserve"> PAGEREF _Toc144109876 \h </w:instrText>
        </w:r>
        <w:r>
          <w:rPr>
            <w:noProof/>
            <w:webHidden/>
          </w:rPr>
        </w:r>
        <w:r>
          <w:rPr>
            <w:noProof/>
            <w:webHidden/>
          </w:rPr>
          <w:fldChar w:fldCharType="separate"/>
        </w:r>
        <w:r>
          <w:rPr>
            <w:noProof/>
            <w:webHidden/>
          </w:rPr>
          <w:t>1</w:t>
        </w:r>
        <w:r>
          <w:rPr>
            <w:noProof/>
            <w:webHidden/>
          </w:rPr>
          <w:fldChar w:fldCharType="end"/>
        </w:r>
      </w:hyperlink>
    </w:p>
    <w:p w14:paraId="6B49E030" w14:textId="2B4C20EB" w:rsidR="006F0749" w:rsidRDefault="006F0749">
      <w:pPr>
        <w:pStyle w:val="Innehll1"/>
        <w:rPr>
          <w:rFonts w:asciiTheme="minorHAnsi" w:eastAsiaTheme="minorEastAsia" w:hAnsiTheme="minorHAnsi" w:cstheme="minorBidi"/>
          <w:noProof/>
          <w:sz w:val="22"/>
          <w:szCs w:val="22"/>
        </w:rPr>
      </w:pPr>
      <w:hyperlink w:anchor="_Toc144109877" w:history="1">
        <w:r w:rsidRPr="00BA0EAA">
          <w:rPr>
            <w:rStyle w:val="Hyperlnk"/>
            <w:rFonts w:eastAsia="MS Gothic"/>
            <w:noProof/>
          </w:rPr>
          <w:t>Genomförande</w:t>
        </w:r>
        <w:r>
          <w:rPr>
            <w:noProof/>
            <w:webHidden/>
          </w:rPr>
          <w:tab/>
        </w:r>
        <w:r>
          <w:rPr>
            <w:noProof/>
            <w:webHidden/>
          </w:rPr>
          <w:fldChar w:fldCharType="begin"/>
        </w:r>
        <w:r>
          <w:rPr>
            <w:noProof/>
            <w:webHidden/>
          </w:rPr>
          <w:instrText xml:space="preserve"> PAGEREF _Toc144109877 \h </w:instrText>
        </w:r>
        <w:r>
          <w:rPr>
            <w:noProof/>
            <w:webHidden/>
          </w:rPr>
        </w:r>
        <w:r>
          <w:rPr>
            <w:noProof/>
            <w:webHidden/>
          </w:rPr>
          <w:fldChar w:fldCharType="separate"/>
        </w:r>
        <w:r>
          <w:rPr>
            <w:noProof/>
            <w:webHidden/>
          </w:rPr>
          <w:t>2</w:t>
        </w:r>
        <w:r>
          <w:rPr>
            <w:noProof/>
            <w:webHidden/>
          </w:rPr>
          <w:fldChar w:fldCharType="end"/>
        </w:r>
      </w:hyperlink>
    </w:p>
    <w:p w14:paraId="0C2A7279" w14:textId="2322D8D3" w:rsidR="006F0749" w:rsidRDefault="006F0749">
      <w:pPr>
        <w:pStyle w:val="Innehll2"/>
        <w:rPr>
          <w:rFonts w:asciiTheme="minorHAnsi" w:eastAsiaTheme="minorEastAsia" w:hAnsiTheme="minorHAnsi" w:cstheme="minorBidi"/>
          <w:noProof/>
          <w:sz w:val="22"/>
          <w:szCs w:val="22"/>
        </w:rPr>
      </w:pPr>
      <w:hyperlink w:anchor="_Toc144109878" w:history="1">
        <w:r w:rsidRPr="00BA0EAA">
          <w:rPr>
            <w:rStyle w:val="Hyperlnk"/>
            <w:rFonts w:eastAsia="MS Gothic"/>
            <w:noProof/>
          </w:rPr>
          <w:t>Diagnostik</w:t>
        </w:r>
        <w:r>
          <w:rPr>
            <w:noProof/>
            <w:webHidden/>
          </w:rPr>
          <w:tab/>
        </w:r>
        <w:r>
          <w:rPr>
            <w:noProof/>
            <w:webHidden/>
          </w:rPr>
          <w:fldChar w:fldCharType="begin"/>
        </w:r>
        <w:r>
          <w:rPr>
            <w:noProof/>
            <w:webHidden/>
          </w:rPr>
          <w:instrText xml:space="preserve"> PAGEREF _Toc144109878 \h </w:instrText>
        </w:r>
        <w:r>
          <w:rPr>
            <w:noProof/>
            <w:webHidden/>
          </w:rPr>
        </w:r>
        <w:r>
          <w:rPr>
            <w:noProof/>
            <w:webHidden/>
          </w:rPr>
          <w:fldChar w:fldCharType="separate"/>
        </w:r>
        <w:r>
          <w:rPr>
            <w:noProof/>
            <w:webHidden/>
          </w:rPr>
          <w:t>2</w:t>
        </w:r>
        <w:r>
          <w:rPr>
            <w:noProof/>
            <w:webHidden/>
          </w:rPr>
          <w:fldChar w:fldCharType="end"/>
        </w:r>
      </w:hyperlink>
    </w:p>
    <w:p w14:paraId="53764820" w14:textId="14681591" w:rsidR="006F0749" w:rsidRDefault="006F0749">
      <w:pPr>
        <w:pStyle w:val="Innehll2"/>
        <w:rPr>
          <w:rFonts w:asciiTheme="minorHAnsi" w:eastAsiaTheme="minorEastAsia" w:hAnsiTheme="minorHAnsi" w:cstheme="minorBidi"/>
          <w:noProof/>
          <w:sz w:val="22"/>
          <w:szCs w:val="22"/>
        </w:rPr>
      </w:pPr>
      <w:hyperlink w:anchor="_Toc144109879" w:history="1">
        <w:r w:rsidRPr="00BA0EAA">
          <w:rPr>
            <w:rStyle w:val="Hyperlnk"/>
            <w:rFonts w:eastAsia="MS Gothic"/>
            <w:noProof/>
          </w:rPr>
          <w:t>Dukning inför ascitestappning</w:t>
        </w:r>
        <w:r>
          <w:rPr>
            <w:noProof/>
            <w:webHidden/>
          </w:rPr>
          <w:tab/>
        </w:r>
        <w:r>
          <w:rPr>
            <w:noProof/>
            <w:webHidden/>
          </w:rPr>
          <w:fldChar w:fldCharType="begin"/>
        </w:r>
        <w:r>
          <w:rPr>
            <w:noProof/>
            <w:webHidden/>
          </w:rPr>
          <w:instrText xml:space="preserve"> PAGEREF _Toc144109879 \h </w:instrText>
        </w:r>
        <w:r>
          <w:rPr>
            <w:noProof/>
            <w:webHidden/>
          </w:rPr>
        </w:r>
        <w:r>
          <w:rPr>
            <w:noProof/>
            <w:webHidden/>
          </w:rPr>
          <w:fldChar w:fldCharType="separate"/>
        </w:r>
        <w:r>
          <w:rPr>
            <w:noProof/>
            <w:webHidden/>
          </w:rPr>
          <w:t>2</w:t>
        </w:r>
        <w:r>
          <w:rPr>
            <w:noProof/>
            <w:webHidden/>
          </w:rPr>
          <w:fldChar w:fldCharType="end"/>
        </w:r>
      </w:hyperlink>
    </w:p>
    <w:p w14:paraId="7BB9C7FE" w14:textId="40111F46" w:rsidR="006F0749" w:rsidRDefault="006F0749">
      <w:pPr>
        <w:pStyle w:val="Innehll2"/>
        <w:rPr>
          <w:rFonts w:asciiTheme="minorHAnsi" w:eastAsiaTheme="minorEastAsia" w:hAnsiTheme="minorHAnsi" w:cstheme="minorBidi"/>
          <w:noProof/>
          <w:sz w:val="22"/>
          <w:szCs w:val="22"/>
        </w:rPr>
      </w:pPr>
      <w:hyperlink w:anchor="_Toc144109880" w:history="1">
        <w:r w:rsidRPr="00BA0EAA">
          <w:rPr>
            <w:rStyle w:val="Hyperlnk"/>
            <w:rFonts w:eastAsia="MS Gothic"/>
            <w:noProof/>
          </w:rPr>
          <w:t>Utförande</w:t>
        </w:r>
        <w:r>
          <w:rPr>
            <w:noProof/>
            <w:webHidden/>
          </w:rPr>
          <w:tab/>
        </w:r>
        <w:r>
          <w:rPr>
            <w:noProof/>
            <w:webHidden/>
          </w:rPr>
          <w:fldChar w:fldCharType="begin"/>
        </w:r>
        <w:r>
          <w:rPr>
            <w:noProof/>
            <w:webHidden/>
          </w:rPr>
          <w:instrText xml:space="preserve"> PAGEREF _Toc144109880 \h </w:instrText>
        </w:r>
        <w:r>
          <w:rPr>
            <w:noProof/>
            <w:webHidden/>
          </w:rPr>
        </w:r>
        <w:r>
          <w:rPr>
            <w:noProof/>
            <w:webHidden/>
          </w:rPr>
          <w:fldChar w:fldCharType="separate"/>
        </w:r>
        <w:r>
          <w:rPr>
            <w:noProof/>
            <w:webHidden/>
          </w:rPr>
          <w:t>2</w:t>
        </w:r>
        <w:r>
          <w:rPr>
            <w:noProof/>
            <w:webHidden/>
          </w:rPr>
          <w:fldChar w:fldCharType="end"/>
        </w:r>
      </w:hyperlink>
    </w:p>
    <w:p w14:paraId="213A4958" w14:textId="6087B1F9" w:rsidR="006F0749" w:rsidRDefault="006F0749">
      <w:pPr>
        <w:pStyle w:val="Innehll2"/>
        <w:rPr>
          <w:rFonts w:asciiTheme="minorHAnsi" w:eastAsiaTheme="minorEastAsia" w:hAnsiTheme="minorHAnsi" w:cstheme="minorBidi"/>
          <w:noProof/>
          <w:sz w:val="22"/>
          <w:szCs w:val="22"/>
        </w:rPr>
      </w:pPr>
      <w:hyperlink w:anchor="_Toc144109881" w:history="1">
        <w:r w:rsidRPr="00BA0EAA">
          <w:rPr>
            <w:rStyle w:val="Hyperlnk"/>
            <w:rFonts w:eastAsia="MS Gothic"/>
            <w:noProof/>
          </w:rPr>
          <w:t>Provtagning och tolkning av analysresultat</w:t>
        </w:r>
        <w:r>
          <w:rPr>
            <w:noProof/>
            <w:webHidden/>
          </w:rPr>
          <w:tab/>
        </w:r>
        <w:r>
          <w:rPr>
            <w:noProof/>
            <w:webHidden/>
          </w:rPr>
          <w:fldChar w:fldCharType="begin"/>
        </w:r>
        <w:r>
          <w:rPr>
            <w:noProof/>
            <w:webHidden/>
          </w:rPr>
          <w:instrText xml:space="preserve"> PAGEREF _Toc144109881 \h </w:instrText>
        </w:r>
        <w:r>
          <w:rPr>
            <w:noProof/>
            <w:webHidden/>
          </w:rPr>
        </w:r>
        <w:r>
          <w:rPr>
            <w:noProof/>
            <w:webHidden/>
          </w:rPr>
          <w:fldChar w:fldCharType="separate"/>
        </w:r>
        <w:r>
          <w:rPr>
            <w:noProof/>
            <w:webHidden/>
          </w:rPr>
          <w:t>3</w:t>
        </w:r>
        <w:r>
          <w:rPr>
            <w:noProof/>
            <w:webHidden/>
          </w:rPr>
          <w:fldChar w:fldCharType="end"/>
        </w:r>
      </w:hyperlink>
    </w:p>
    <w:p w14:paraId="541C885D" w14:textId="6E55D384" w:rsidR="006F0749" w:rsidRDefault="006F0749">
      <w:pPr>
        <w:pStyle w:val="Innehll2"/>
        <w:rPr>
          <w:rFonts w:asciiTheme="minorHAnsi" w:eastAsiaTheme="minorEastAsia" w:hAnsiTheme="minorHAnsi" w:cstheme="minorBidi"/>
          <w:noProof/>
          <w:sz w:val="22"/>
          <w:szCs w:val="22"/>
        </w:rPr>
      </w:pPr>
      <w:hyperlink w:anchor="_Toc144109882" w:history="1">
        <w:r w:rsidRPr="00BA0EAA">
          <w:rPr>
            <w:rStyle w:val="Hyperlnk"/>
            <w:rFonts w:eastAsia="MS Gothic"/>
            <w:noProof/>
          </w:rPr>
          <w:t>Tillförsel av volymexpander</w:t>
        </w:r>
        <w:r>
          <w:rPr>
            <w:noProof/>
            <w:webHidden/>
          </w:rPr>
          <w:tab/>
        </w:r>
        <w:r>
          <w:rPr>
            <w:noProof/>
            <w:webHidden/>
          </w:rPr>
          <w:fldChar w:fldCharType="begin"/>
        </w:r>
        <w:r>
          <w:rPr>
            <w:noProof/>
            <w:webHidden/>
          </w:rPr>
          <w:instrText xml:space="preserve"> PAGEREF _Toc144109882 \h </w:instrText>
        </w:r>
        <w:r>
          <w:rPr>
            <w:noProof/>
            <w:webHidden/>
          </w:rPr>
        </w:r>
        <w:r>
          <w:rPr>
            <w:noProof/>
            <w:webHidden/>
          </w:rPr>
          <w:fldChar w:fldCharType="separate"/>
        </w:r>
        <w:r>
          <w:rPr>
            <w:noProof/>
            <w:webHidden/>
          </w:rPr>
          <w:t>4</w:t>
        </w:r>
        <w:r>
          <w:rPr>
            <w:noProof/>
            <w:webHidden/>
          </w:rPr>
          <w:fldChar w:fldCharType="end"/>
        </w:r>
      </w:hyperlink>
    </w:p>
    <w:p w14:paraId="65A837FE" w14:textId="19CF3FE9" w:rsidR="006F0749" w:rsidRDefault="006F0749">
      <w:pPr>
        <w:pStyle w:val="Innehll2"/>
        <w:rPr>
          <w:rFonts w:asciiTheme="minorHAnsi" w:eastAsiaTheme="minorEastAsia" w:hAnsiTheme="minorHAnsi" w:cstheme="minorBidi"/>
          <w:noProof/>
          <w:sz w:val="22"/>
          <w:szCs w:val="22"/>
        </w:rPr>
      </w:pPr>
      <w:hyperlink w:anchor="_Toc144109883" w:history="1">
        <w:r w:rsidRPr="00BA0EAA">
          <w:rPr>
            <w:rStyle w:val="Hyperlnk"/>
            <w:rFonts w:eastAsia="MS Gothic"/>
            <w:noProof/>
          </w:rPr>
          <w:t>Ascitestappning palliativ vård</w:t>
        </w:r>
        <w:r>
          <w:rPr>
            <w:noProof/>
            <w:webHidden/>
          </w:rPr>
          <w:tab/>
        </w:r>
        <w:r>
          <w:rPr>
            <w:noProof/>
            <w:webHidden/>
          </w:rPr>
          <w:fldChar w:fldCharType="begin"/>
        </w:r>
        <w:r>
          <w:rPr>
            <w:noProof/>
            <w:webHidden/>
          </w:rPr>
          <w:instrText xml:space="preserve"> PAGEREF _Toc144109883 \h </w:instrText>
        </w:r>
        <w:r>
          <w:rPr>
            <w:noProof/>
            <w:webHidden/>
          </w:rPr>
        </w:r>
        <w:r>
          <w:rPr>
            <w:noProof/>
            <w:webHidden/>
          </w:rPr>
          <w:fldChar w:fldCharType="separate"/>
        </w:r>
        <w:r>
          <w:rPr>
            <w:noProof/>
            <w:webHidden/>
          </w:rPr>
          <w:t>4</w:t>
        </w:r>
        <w:r>
          <w:rPr>
            <w:noProof/>
            <w:webHidden/>
          </w:rPr>
          <w:fldChar w:fldCharType="end"/>
        </w:r>
      </w:hyperlink>
    </w:p>
    <w:p w14:paraId="0178EDCF" w14:textId="1D4B1377" w:rsidR="006F0749" w:rsidRDefault="006F0749">
      <w:pPr>
        <w:pStyle w:val="Innehll1"/>
        <w:rPr>
          <w:rFonts w:asciiTheme="minorHAnsi" w:eastAsiaTheme="minorEastAsia" w:hAnsiTheme="minorHAnsi" w:cstheme="minorBidi"/>
          <w:noProof/>
          <w:sz w:val="22"/>
          <w:szCs w:val="22"/>
        </w:rPr>
      </w:pPr>
      <w:hyperlink w:anchor="_Toc144109884" w:history="1">
        <w:r w:rsidRPr="00BA0EAA">
          <w:rPr>
            <w:rStyle w:val="Hyperlnk"/>
            <w:rFonts w:eastAsia="MS Gothic"/>
            <w:noProof/>
          </w:rPr>
          <w:t>Dokumentinformation</w:t>
        </w:r>
        <w:r>
          <w:rPr>
            <w:noProof/>
            <w:webHidden/>
          </w:rPr>
          <w:tab/>
        </w:r>
        <w:r>
          <w:rPr>
            <w:noProof/>
            <w:webHidden/>
          </w:rPr>
          <w:fldChar w:fldCharType="begin"/>
        </w:r>
        <w:r>
          <w:rPr>
            <w:noProof/>
            <w:webHidden/>
          </w:rPr>
          <w:instrText xml:space="preserve"> PAGEREF _Toc144109884 \h </w:instrText>
        </w:r>
        <w:r>
          <w:rPr>
            <w:noProof/>
            <w:webHidden/>
          </w:rPr>
        </w:r>
        <w:r>
          <w:rPr>
            <w:noProof/>
            <w:webHidden/>
          </w:rPr>
          <w:fldChar w:fldCharType="separate"/>
        </w:r>
        <w:r>
          <w:rPr>
            <w:noProof/>
            <w:webHidden/>
          </w:rPr>
          <w:t>5</w:t>
        </w:r>
        <w:r>
          <w:rPr>
            <w:noProof/>
            <w:webHidden/>
          </w:rPr>
          <w:fldChar w:fldCharType="end"/>
        </w:r>
      </w:hyperlink>
    </w:p>
    <w:p w14:paraId="1747CC35" w14:textId="76AEB91B" w:rsidR="006F0749" w:rsidRDefault="006F0749">
      <w:pPr>
        <w:pStyle w:val="Innehll1"/>
        <w:rPr>
          <w:rFonts w:asciiTheme="minorHAnsi" w:eastAsiaTheme="minorEastAsia" w:hAnsiTheme="minorHAnsi" w:cstheme="minorBidi"/>
          <w:noProof/>
          <w:sz w:val="22"/>
          <w:szCs w:val="22"/>
        </w:rPr>
      </w:pPr>
      <w:hyperlink w:anchor="_Toc144109885" w:history="1">
        <w:r w:rsidRPr="00BA0EAA">
          <w:rPr>
            <w:rStyle w:val="Hyperlnk"/>
            <w:rFonts w:eastAsia="MS Gothic"/>
            <w:noProof/>
          </w:rPr>
          <w:t>Referensförteckning</w:t>
        </w:r>
        <w:r>
          <w:rPr>
            <w:noProof/>
            <w:webHidden/>
          </w:rPr>
          <w:tab/>
        </w:r>
        <w:r>
          <w:rPr>
            <w:noProof/>
            <w:webHidden/>
          </w:rPr>
          <w:fldChar w:fldCharType="begin"/>
        </w:r>
        <w:r>
          <w:rPr>
            <w:noProof/>
            <w:webHidden/>
          </w:rPr>
          <w:instrText xml:space="preserve"> PAGEREF _Toc144109885 \h </w:instrText>
        </w:r>
        <w:r>
          <w:rPr>
            <w:noProof/>
            <w:webHidden/>
          </w:rPr>
        </w:r>
        <w:r>
          <w:rPr>
            <w:noProof/>
            <w:webHidden/>
          </w:rPr>
          <w:fldChar w:fldCharType="separate"/>
        </w:r>
        <w:r>
          <w:rPr>
            <w:noProof/>
            <w:webHidden/>
          </w:rPr>
          <w:t>5</w:t>
        </w:r>
        <w:r>
          <w:rPr>
            <w:noProof/>
            <w:webHidden/>
          </w:rPr>
          <w:fldChar w:fldCharType="end"/>
        </w:r>
      </w:hyperlink>
    </w:p>
    <w:p w14:paraId="63A7B7F6" w14:textId="3871D4F6" w:rsidR="00192B6C" w:rsidRPr="00192B6C" w:rsidRDefault="008E2094" w:rsidP="00EC7053">
      <w:pPr>
        <w:pStyle w:val="Rubrik2"/>
      </w:pPr>
      <w:r>
        <w:rPr>
          <w:rFonts w:ascii="Arial" w:eastAsia="Times New Roman" w:hAnsi="Arial" w:cs="Times New Roman"/>
          <w:bCs w:val="0"/>
          <w:noProof/>
          <w:color w:val="0000FF"/>
          <w:sz w:val="22"/>
          <w:szCs w:val="32"/>
          <w:u w:val="single"/>
        </w:rPr>
        <w:fldChar w:fldCharType="end"/>
      </w:r>
      <w:bookmarkStart w:id="20" w:name="_Toc144109876"/>
      <w:r w:rsidR="00192B6C" w:rsidRPr="00192B6C">
        <w:t>Förutsättningar</w:t>
      </w:r>
      <w:bookmarkEnd w:id="12"/>
      <w:bookmarkEnd w:id="13"/>
      <w:bookmarkEnd w:id="14"/>
      <w:bookmarkEnd w:id="15"/>
      <w:bookmarkEnd w:id="16"/>
      <w:bookmarkEnd w:id="17"/>
      <w:bookmarkEnd w:id="18"/>
      <w:bookmarkEnd w:id="19"/>
      <w:bookmarkEnd w:id="20"/>
    </w:p>
    <w:p w14:paraId="34493D72" w14:textId="788373D5" w:rsidR="00192B6C" w:rsidRPr="00192B6C" w:rsidRDefault="00192B6C" w:rsidP="00EC7053">
      <w:r w:rsidRPr="00192B6C">
        <w:t xml:space="preserve">Ascites kan vara ett symtom på ett flertal olika sjukdomstillstånd. Den vanligaste orsaken är leversjukdom med portal hypertension, vanligtvis levercirrhos. Malignitet, oftast med spridning till peritoneum, är förklaring till ascites i drygt 10% av fallen. Den tredje vanligaste orsaken är hjärtsvikt. Utöver detta finns ett flertal ovanliga orsaker till ascites, </w:t>
      </w:r>
      <w:r w:rsidRPr="00192B6C">
        <w:lastRenderedPageBreak/>
        <w:t>t.ex. portavenstrombos, levervenstrombos, nefrotiskt syndrom, infektion etc.</w:t>
      </w:r>
    </w:p>
    <w:p w14:paraId="78C71986" w14:textId="77777777" w:rsidR="00192B6C" w:rsidRPr="00192B6C" w:rsidRDefault="00192B6C" w:rsidP="00EC7053">
      <w:r w:rsidRPr="00192B6C">
        <w:t>Ascitestappning ska utföras då det finns indikation för diagnostik, t.ex. vid förstagångsascites eller misstanke om spontan bakteriell peritonit, samt för symtomlindring.</w:t>
      </w:r>
    </w:p>
    <w:p w14:paraId="573A9D20" w14:textId="77777777" w:rsidR="00192B6C" w:rsidRPr="008E2094" w:rsidRDefault="00192B6C" w:rsidP="008E2094">
      <w:pPr>
        <w:pStyle w:val="Rubrik2"/>
      </w:pPr>
      <w:bookmarkStart w:id="21" w:name="_Toc12458316"/>
      <w:bookmarkStart w:id="22" w:name="_Toc256000002"/>
      <w:bookmarkStart w:id="23" w:name="_Toc256000013"/>
      <w:bookmarkStart w:id="24" w:name="_Toc256000024"/>
      <w:bookmarkStart w:id="25" w:name="_Toc256000035"/>
      <w:bookmarkStart w:id="26" w:name="_Toc256000046"/>
      <w:bookmarkStart w:id="27" w:name="_Toc256000057"/>
      <w:bookmarkStart w:id="28" w:name="_Toc256000068"/>
      <w:bookmarkStart w:id="29" w:name="_Toc144109877"/>
      <w:r w:rsidRPr="008E2094">
        <w:t>Genomförande</w:t>
      </w:r>
      <w:bookmarkEnd w:id="21"/>
      <w:bookmarkEnd w:id="22"/>
      <w:bookmarkEnd w:id="23"/>
      <w:bookmarkEnd w:id="24"/>
      <w:bookmarkEnd w:id="25"/>
      <w:bookmarkEnd w:id="26"/>
      <w:bookmarkEnd w:id="27"/>
      <w:bookmarkEnd w:id="28"/>
      <w:bookmarkEnd w:id="29"/>
    </w:p>
    <w:p w14:paraId="7EAAB02F" w14:textId="77777777" w:rsidR="00192B6C" w:rsidRPr="00192B6C" w:rsidRDefault="00192B6C" w:rsidP="00FC1EB7">
      <w:pPr>
        <w:pStyle w:val="Rubrik3"/>
        <w:spacing w:before="120"/>
      </w:pPr>
      <w:bookmarkStart w:id="30" w:name="_Toc12458317"/>
      <w:bookmarkStart w:id="31" w:name="_Toc256000003"/>
      <w:bookmarkStart w:id="32" w:name="_Toc256000014"/>
      <w:bookmarkStart w:id="33" w:name="_Toc256000025"/>
      <w:bookmarkStart w:id="34" w:name="_Toc256000036"/>
      <w:bookmarkStart w:id="35" w:name="_Toc256000047"/>
      <w:bookmarkStart w:id="36" w:name="_Toc256000058"/>
      <w:bookmarkStart w:id="37" w:name="_Toc256000069"/>
      <w:bookmarkStart w:id="38" w:name="_Toc144109878"/>
      <w:r w:rsidRPr="00192B6C">
        <w:t>Diagnostik</w:t>
      </w:r>
      <w:bookmarkEnd w:id="30"/>
      <w:bookmarkEnd w:id="31"/>
      <w:bookmarkEnd w:id="32"/>
      <w:bookmarkEnd w:id="33"/>
      <w:bookmarkEnd w:id="34"/>
      <w:bookmarkEnd w:id="35"/>
      <w:bookmarkEnd w:id="36"/>
      <w:bookmarkEnd w:id="37"/>
      <w:bookmarkEnd w:id="38"/>
    </w:p>
    <w:p w14:paraId="7535F9ED" w14:textId="77777777" w:rsidR="00192B6C" w:rsidRPr="00192B6C" w:rsidRDefault="00192B6C" w:rsidP="00EC7053">
      <w:r w:rsidRPr="00192B6C">
        <w:t>Klinisk misstanke på ascites verifieras enklast med ultraljud. Inför laparo</w:t>
      </w:r>
      <w:r w:rsidRPr="00192B6C">
        <w:softHyphen/>
        <w:t>centes kan lämpligt punktionsställe markeras av radiolog. Hos patient med känd ascites kan laparocentes utföras utan föregående ultraljudsundersökning om tydlig dämpning kan perkuteras fram. Lämpligaste punktionsställe är vänster flank.</w:t>
      </w:r>
    </w:p>
    <w:p w14:paraId="32C1E6DE" w14:textId="77777777" w:rsidR="00192B6C" w:rsidRPr="00192B6C" w:rsidRDefault="00192B6C" w:rsidP="00EC7053">
      <w:pPr>
        <w:pStyle w:val="Rubrik3"/>
      </w:pPr>
      <w:bookmarkStart w:id="39" w:name="_Toc12458318"/>
      <w:bookmarkStart w:id="40" w:name="_Toc256000004"/>
      <w:bookmarkStart w:id="41" w:name="_Toc256000015"/>
      <w:bookmarkStart w:id="42" w:name="_Toc256000026"/>
      <w:bookmarkStart w:id="43" w:name="_Toc256000037"/>
      <w:bookmarkStart w:id="44" w:name="_Toc256000048"/>
      <w:bookmarkStart w:id="45" w:name="_Toc256000059"/>
      <w:bookmarkStart w:id="46" w:name="_Toc256000070"/>
      <w:bookmarkStart w:id="47" w:name="_Toc144109879"/>
      <w:r w:rsidRPr="00192B6C">
        <w:t>Dukning inför ascitestappning</w:t>
      </w:r>
      <w:bookmarkEnd w:id="39"/>
      <w:bookmarkEnd w:id="40"/>
      <w:bookmarkEnd w:id="41"/>
      <w:bookmarkEnd w:id="42"/>
      <w:bookmarkEnd w:id="43"/>
      <w:bookmarkEnd w:id="44"/>
      <w:bookmarkEnd w:id="45"/>
      <w:bookmarkEnd w:id="46"/>
      <w:bookmarkEnd w:id="47"/>
    </w:p>
    <w:p w14:paraId="53C2B088" w14:textId="77777777" w:rsidR="00192B6C" w:rsidRPr="00192B6C" w:rsidRDefault="00192B6C" w:rsidP="00EC7053">
      <w:r w:rsidRPr="00192B6C">
        <w:t>Vårdpersonal (sjuksköterska eller undersköterska) på vårdenheten förbereder inför ascitestappning. Dukning ska ske så att ascitestappningen sedan kan göras under sterila förhållanden. Följande materiel ska dukas fram på steril duk:</w:t>
      </w:r>
    </w:p>
    <w:p w14:paraId="6EFB4219" w14:textId="550C6848" w:rsidR="00192B6C" w:rsidRPr="00192B6C" w:rsidRDefault="00192B6C" w:rsidP="00EE09B7">
      <w:pPr>
        <w:tabs>
          <w:tab w:val="left" w:pos="4253"/>
        </w:tabs>
      </w:pPr>
      <w:r w:rsidRPr="00192B6C">
        <w:t>- Tvättset inkl pincett</w:t>
      </w:r>
      <w:r w:rsidRPr="00192B6C">
        <w:tab/>
        <w:t>- Tvättsuddar</w:t>
      </w:r>
    </w:p>
    <w:p w14:paraId="38239A1D" w14:textId="58096CE5" w:rsidR="00192B6C" w:rsidRPr="00192B6C" w:rsidRDefault="00192B6C" w:rsidP="00EE09B7">
      <w:pPr>
        <w:tabs>
          <w:tab w:val="left" w:pos="4253"/>
        </w:tabs>
      </w:pPr>
      <w:r w:rsidRPr="00192B6C">
        <w:t>- Sterila kompresser</w:t>
      </w:r>
      <w:r w:rsidRPr="00192B6C">
        <w:tab/>
        <w:t>- Spruta 10 ml</w:t>
      </w:r>
    </w:p>
    <w:p w14:paraId="48DC2D11" w14:textId="7CA365C1" w:rsidR="00192B6C" w:rsidRPr="00192B6C" w:rsidRDefault="00192B6C" w:rsidP="00EE09B7">
      <w:pPr>
        <w:tabs>
          <w:tab w:val="left" w:pos="4253"/>
        </w:tabs>
      </w:pPr>
      <w:r w:rsidRPr="00192B6C">
        <w:t>- Uppdragskanyl (rosa)</w:t>
      </w:r>
      <w:r w:rsidRPr="00192B6C">
        <w:tab/>
        <w:t>- Injektionskanyl (grå 50 mm)</w:t>
      </w:r>
    </w:p>
    <w:p w14:paraId="41B9B98C" w14:textId="238391C7" w:rsidR="00192B6C" w:rsidRPr="00192B6C" w:rsidRDefault="00192B6C" w:rsidP="00EE09B7">
      <w:pPr>
        <w:tabs>
          <w:tab w:val="left" w:pos="4253"/>
        </w:tabs>
      </w:pPr>
      <w:r w:rsidRPr="00192B6C">
        <w:t>- Engångsskalpell</w:t>
      </w:r>
      <w:r w:rsidRPr="00192B6C">
        <w:tab/>
        <w:t>- Cystofixset</w:t>
      </w:r>
    </w:p>
    <w:p w14:paraId="0D0FF792" w14:textId="77777777" w:rsidR="00192B6C" w:rsidRPr="00192B6C" w:rsidRDefault="00192B6C" w:rsidP="00C10892">
      <w:pPr>
        <w:spacing w:before="280" w:after="40"/>
      </w:pPr>
      <w:r w:rsidRPr="00192B6C">
        <w:t>Utöver detta ska följande finnas med, men inte på sterilt bord:</w:t>
      </w:r>
    </w:p>
    <w:p w14:paraId="389948FF" w14:textId="6F434A7A" w:rsidR="00192B6C" w:rsidRPr="00192B6C" w:rsidRDefault="006549FC" w:rsidP="00EE09B7">
      <w:pPr>
        <w:tabs>
          <w:tab w:val="left" w:pos="4253"/>
        </w:tabs>
      </w:pPr>
      <w:r>
        <w:t>-</w:t>
      </w:r>
      <w:r w:rsidR="00EE09B7">
        <w:t xml:space="preserve"> </w:t>
      </w:r>
      <w:r w:rsidR="00192B6C" w:rsidRPr="00192B6C">
        <w:t>Mepivakain (Carbocain) 5 mg/ml (eller motsvarande)</w:t>
      </w:r>
    </w:p>
    <w:p w14:paraId="6B9237E0" w14:textId="0967E17E" w:rsidR="00192B6C" w:rsidRPr="00192B6C" w:rsidRDefault="006549FC" w:rsidP="00EE09B7">
      <w:pPr>
        <w:tabs>
          <w:tab w:val="left" w:pos="4253"/>
        </w:tabs>
      </w:pPr>
      <w:r>
        <w:t xml:space="preserve">- </w:t>
      </w:r>
      <w:r w:rsidR="00192B6C" w:rsidRPr="00192B6C">
        <w:t>Klorhexidinsprit</w:t>
      </w:r>
    </w:p>
    <w:p w14:paraId="63767306" w14:textId="4BA61FB4" w:rsidR="00192B6C" w:rsidRPr="00192B6C" w:rsidRDefault="006549FC" w:rsidP="00EE09B7">
      <w:pPr>
        <w:tabs>
          <w:tab w:val="left" w:pos="4253"/>
        </w:tabs>
      </w:pPr>
      <w:r>
        <w:t xml:space="preserve">- </w:t>
      </w:r>
      <w:r w:rsidR="00192B6C" w:rsidRPr="00192B6C">
        <w:t>Sterila handskar</w:t>
      </w:r>
      <w:r w:rsidR="00192B6C" w:rsidRPr="00192B6C">
        <w:tab/>
        <w:t>- Förbandsmateriel</w:t>
      </w:r>
    </w:p>
    <w:p w14:paraId="5227A7B0" w14:textId="3F1B26DD" w:rsidR="00192B6C" w:rsidRPr="00192B6C" w:rsidRDefault="00EE09B7" w:rsidP="00EE09B7">
      <w:pPr>
        <w:tabs>
          <w:tab w:val="left" w:pos="4253"/>
        </w:tabs>
      </w:pPr>
      <w:r>
        <w:t xml:space="preserve">- </w:t>
      </w:r>
      <w:r w:rsidR="00192B6C" w:rsidRPr="00192B6C">
        <w:t>Tejp (av vävtyp)</w:t>
      </w:r>
      <w:r w:rsidR="00192B6C" w:rsidRPr="00192B6C">
        <w:tab/>
        <w:t>- Extra uribag</w:t>
      </w:r>
    </w:p>
    <w:p w14:paraId="645B1A88" w14:textId="77777777" w:rsidR="00C10892" w:rsidRDefault="00192B6C" w:rsidP="00C10892">
      <w:pPr>
        <w:spacing w:before="280" w:after="40"/>
      </w:pPr>
      <w:r w:rsidRPr="00192B6C">
        <w:t xml:space="preserve">Vid eventuell provtagning: </w:t>
      </w:r>
    </w:p>
    <w:p w14:paraId="5658E41A" w14:textId="38A31B4D" w:rsidR="00192B6C" w:rsidRPr="00192B6C" w:rsidRDefault="00192B6C" w:rsidP="006549FC">
      <w:r w:rsidRPr="00192B6C">
        <w:t>EDTA-rör (lila propp), 300 ml plastflaska, blododlingsflaskor.</w:t>
      </w:r>
    </w:p>
    <w:p w14:paraId="2B339921" w14:textId="77777777" w:rsidR="00192B6C" w:rsidRPr="00192B6C" w:rsidRDefault="00192B6C" w:rsidP="00EC7053">
      <w:r w:rsidRPr="00192B6C">
        <w:t>Förbered med absorberande duk under patienten.</w:t>
      </w:r>
    </w:p>
    <w:p w14:paraId="75865F1A" w14:textId="77777777" w:rsidR="00192B6C" w:rsidRPr="008E2094" w:rsidRDefault="00192B6C" w:rsidP="008E2094">
      <w:pPr>
        <w:pStyle w:val="Rubrik3"/>
      </w:pPr>
      <w:bookmarkStart w:id="48" w:name="_Toc12458319"/>
      <w:bookmarkStart w:id="49" w:name="_Toc256000005"/>
      <w:bookmarkStart w:id="50" w:name="_Toc256000016"/>
      <w:bookmarkStart w:id="51" w:name="_Toc256000027"/>
      <w:bookmarkStart w:id="52" w:name="_Toc256000038"/>
      <w:bookmarkStart w:id="53" w:name="_Toc256000049"/>
      <w:bookmarkStart w:id="54" w:name="_Toc256000060"/>
      <w:bookmarkStart w:id="55" w:name="_Toc256000071"/>
      <w:bookmarkStart w:id="56" w:name="_Toc144109880"/>
      <w:r w:rsidRPr="008E2094">
        <w:t>Utförande</w:t>
      </w:r>
      <w:bookmarkEnd w:id="48"/>
      <w:bookmarkEnd w:id="49"/>
      <w:bookmarkEnd w:id="50"/>
      <w:bookmarkEnd w:id="51"/>
      <w:bookmarkEnd w:id="52"/>
      <w:bookmarkEnd w:id="53"/>
      <w:bookmarkEnd w:id="54"/>
      <w:bookmarkEnd w:id="55"/>
      <w:bookmarkEnd w:id="56"/>
    </w:p>
    <w:p w14:paraId="3EFB59AA" w14:textId="77777777" w:rsidR="00192B6C" w:rsidRPr="00192B6C" w:rsidRDefault="00192B6C" w:rsidP="00EC7053">
      <w:r w:rsidRPr="00192B6C">
        <w:t>Ascitestappning utförs av läkare. Använd skyddsförkläde i plast. Ascites</w:t>
      </w:r>
      <w:r w:rsidRPr="00192B6C">
        <w:softHyphen/>
        <w:t>tappning ska utföras under sterila förhållanden. Tänkt punktionsställe steril</w:t>
      </w:r>
      <w:r w:rsidRPr="00192B6C">
        <w:softHyphen/>
        <w:t xml:space="preserve">tvättas med klorhexidinsprit. Lokalbedövning appliceras i huden, </w:t>
      </w:r>
      <w:r w:rsidRPr="00192B6C">
        <w:lastRenderedPageBreak/>
        <w:t>varpå nålen under injektion successivt förs in mot bukhålan. Aspirera regelbundet för att säkert lokalisera ascites. Bedöva stick-kanalen. Använd skalpellen för att göra en cirka 3 mm lång incision i huden. Det räcker oftast att sticka med skalpellens spets.</w:t>
      </w:r>
    </w:p>
    <w:p w14:paraId="4BAB93EB" w14:textId="77777777" w:rsidR="00192B6C" w:rsidRPr="00192B6C" w:rsidRDefault="00192B6C" w:rsidP="00C10892">
      <w:r w:rsidRPr="00192B6C">
        <w:t>Backa avtappningsslangen i Cystofixnålen så att slangen inte syns vid nålens spets. Stäng slangen med tillhörande plastklämma. Cystofixnålen förs sedan in under samtidigt lätt tryck och rotation. När fri bukhåla med ascites nås, kommer det att rinna ascites ur nålen. Mata då in cirka 2/3 av totala slang</w:t>
      </w:r>
      <w:r w:rsidRPr="00192B6C">
        <w:softHyphen/>
        <w:t>längden (det ska gå lätt) och backa ut nålen. Dela nålen i sina två preforme</w:t>
      </w:r>
      <w:r w:rsidRPr="00192B6C">
        <w:softHyphen/>
        <w:t>rade hälfter och tag bort den från slangen. Fixera slangen med lämpligt förbandsmaterial.</w:t>
      </w:r>
    </w:p>
    <w:p w14:paraId="10566AF3" w14:textId="2A3C7FFD" w:rsidR="00192B6C" w:rsidRPr="00192B6C" w:rsidRDefault="00192B6C" w:rsidP="00C10892">
      <w:r w:rsidRPr="00192B6C">
        <w:t>Koppla på en uribag och öppna slangklämman. När en uribag är full byts den ut mot en ny. Patientansvarig sjuksköterska ansvarar för att den totala ascitesmängden mäts.</w:t>
      </w:r>
    </w:p>
    <w:p w14:paraId="5E51B82E" w14:textId="77777777" w:rsidR="00192B6C" w:rsidRPr="00192B6C" w:rsidRDefault="00192B6C" w:rsidP="00C10892">
      <w:r w:rsidRPr="00192B6C">
        <w:t>Cystofixslangen ska sitta kvar så länge ascites rinner spontant, vilket sällan tar mer än 4 timmar. Låt aldrig slangen ligga kvar över natten p.g.a. infek</w:t>
      </w:r>
      <w:r w:rsidRPr="00192B6C">
        <w:softHyphen/>
        <w:t>tionsrisk. När slangen dragits ut bandageras stickhålet med kompresser. För att minska risken för läckage kan en rulle gasbinda appliceras över stickhålet för att ge ett visst tryck.</w:t>
      </w:r>
    </w:p>
    <w:p w14:paraId="001396A1" w14:textId="77777777" w:rsidR="00192B6C" w:rsidRPr="00192B6C" w:rsidRDefault="00192B6C" w:rsidP="00C10892">
      <w:pPr>
        <w:pStyle w:val="Rubrik3"/>
      </w:pPr>
      <w:bookmarkStart w:id="57" w:name="_Toc12458320"/>
      <w:bookmarkStart w:id="58" w:name="_Toc256000006"/>
      <w:bookmarkStart w:id="59" w:name="_Toc256000017"/>
      <w:bookmarkStart w:id="60" w:name="_Toc256000028"/>
      <w:bookmarkStart w:id="61" w:name="_Toc256000039"/>
      <w:bookmarkStart w:id="62" w:name="_Toc256000050"/>
      <w:bookmarkStart w:id="63" w:name="_Toc256000061"/>
      <w:bookmarkStart w:id="64" w:name="_Toc256000072"/>
      <w:bookmarkStart w:id="65" w:name="_Toc144109881"/>
      <w:r w:rsidRPr="00192B6C">
        <w:t>Provtagning och tolkning av analysresultat</w:t>
      </w:r>
      <w:bookmarkEnd w:id="57"/>
      <w:bookmarkEnd w:id="58"/>
      <w:bookmarkEnd w:id="59"/>
      <w:bookmarkEnd w:id="60"/>
      <w:bookmarkEnd w:id="61"/>
      <w:bookmarkEnd w:id="62"/>
      <w:bookmarkEnd w:id="63"/>
      <w:bookmarkEnd w:id="64"/>
      <w:bookmarkEnd w:id="65"/>
    </w:p>
    <w:p w14:paraId="0A8650C5" w14:textId="77777777" w:rsidR="00192B6C" w:rsidRPr="00192B6C" w:rsidRDefault="00192B6C" w:rsidP="00C10892">
      <w:r w:rsidRPr="00192B6C">
        <w:t>För analys av leukocyter och protein används EDTA-rör 4 ml (lila propp); ett och samma rör till båda analyserna.</w:t>
      </w:r>
    </w:p>
    <w:p w14:paraId="5DD54479" w14:textId="77777777" w:rsidR="00192B6C" w:rsidRPr="00192B6C" w:rsidRDefault="00192B6C" w:rsidP="00C10892">
      <w:r w:rsidRPr="00192B6C">
        <w:rPr>
          <w:b/>
        </w:rPr>
        <w:t>Leukocyter</w:t>
      </w:r>
      <w:r w:rsidRPr="00192B6C">
        <w:t>: Akutprov. Fråga efter antalet polymorfkärniga leukocyter. &gt;250 x 10</w:t>
      </w:r>
      <w:r w:rsidRPr="00192B6C">
        <w:rPr>
          <w:vertAlign w:val="superscript"/>
        </w:rPr>
        <w:t>6</w:t>
      </w:r>
      <w:r w:rsidRPr="00192B6C">
        <w:t>/L</w:t>
      </w:r>
      <w:r w:rsidRPr="00192B6C">
        <w:rPr>
          <w:vertAlign w:val="superscript"/>
        </w:rPr>
        <w:t xml:space="preserve"> </w:t>
      </w:r>
      <w:r w:rsidRPr="00192B6C">
        <w:t>talar för spontan bakteriell peritonit och är ett säkrare diagnosti</w:t>
      </w:r>
      <w:r w:rsidRPr="00192B6C">
        <w:softHyphen/>
        <w:t>kum än odling. Observera att blodtillblandad ascites kan ge höga LPK utan peritonit.</w:t>
      </w:r>
    </w:p>
    <w:p w14:paraId="59B0B236" w14:textId="77777777" w:rsidR="00192B6C" w:rsidRPr="00192B6C" w:rsidRDefault="00192B6C" w:rsidP="00C10892">
      <w:r w:rsidRPr="00192B6C">
        <w:rPr>
          <w:b/>
        </w:rPr>
        <w:t>Protein</w:t>
      </w:r>
      <w:r w:rsidRPr="00192B6C">
        <w:t>: Proteinhalten i ascites kan ge information om orsaken till ascites. Vid låga värden (&lt;10 g/l) är sannolikt portal hypertension orsaken medan höga värden indikerar annan orsak (malignitet? hjärtsvikt?).</w:t>
      </w:r>
    </w:p>
    <w:p w14:paraId="6AB1AA97" w14:textId="77777777" w:rsidR="00192B6C" w:rsidRPr="00192B6C" w:rsidRDefault="00192B6C" w:rsidP="00C10892">
      <w:r w:rsidRPr="00192B6C">
        <w:rPr>
          <w:b/>
        </w:rPr>
        <w:t>Cytologi</w:t>
      </w:r>
      <w:r w:rsidRPr="00192B6C">
        <w:t>: Cirka 300 ml i plastflaska. Tillsätt 2-3 droppar heparin 5000E/ml. Cytologi är viktigast att analysera vid förstagångsascites.</w:t>
      </w:r>
    </w:p>
    <w:p w14:paraId="3CEA4F0D" w14:textId="77777777" w:rsidR="00192B6C" w:rsidRPr="00192B6C" w:rsidRDefault="00192B6C" w:rsidP="00C10892">
      <w:r w:rsidRPr="00192B6C">
        <w:t>Odling: Blododlingsflaskor. Endast positiv i cirka 40% av fall med spontan bakteriell peritonit.</w:t>
      </w:r>
    </w:p>
    <w:p w14:paraId="03E78AA8" w14:textId="77777777" w:rsidR="00192B6C" w:rsidRPr="00192B6C" w:rsidRDefault="00192B6C" w:rsidP="008E2094">
      <w:pPr>
        <w:pStyle w:val="Rubrik3"/>
      </w:pPr>
      <w:bookmarkStart w:id="66" w:name="_Toc12458321"/>
      <w:bookmarkStart w:id="67" w:name="_Toc256000007"/>
      <w:bookmarkStart w:id="68" w:name="_Toc256000018"/>
      <w:bookmarkStart w:id="69" w:name="_Toc256000029"/>
      <w:bookmarkStart w:id="70" w:name="_Toc256000040"/>
      <w:bookmarkStart w:id="71" w:name="_Toc256000051"/>
      <w:bookmarkStart w:id="72" w:name="_Toc256000062"/>
      <w:bookmarkStart w:id="73" w:name="_Toc256000073"/>
      <w:bookmarkStart w:id="74" w:name="_Toc144109882"/>
      <w:r w:rsidRPr="00192B6C">
        <w:lastRenderedPageBreak/>
        <w:t>Tillförsel av volymexpander</w:t>
      </w:r>
      <w:bookmarkEnd w:id="66"/>
      <w:bookmarkEnd w:id="67"/>
      <w:bookmarkEnd w:id="68"/>
      <w:bookmarkEnd w:id="69"/>
      <w:bookmarkEnd w:id="70"/>
      <w:bookmarkEnd w:id="71"/>
      <w:bookmarkEnd w:id="72"/>
      <w:bookmarkEnd w:id="73"/>
      <w:bookmarkEnd w:id="74"/>
    </w:p>
    <w:p w14:paraId="64BEF5D8" w14:textId="77777777" w:rsidR="00192B6C" w:rsidRPr="00192B6C" w:rsidRDefault="00192B6C" w:rsidP="008E2094">
      <w:pPr>
        <w:keepNext/>
        <w:keepLines/>
      </w:pPr>
      <w:r w:rsidRPr="00192B6C">
        <w:t xml:space="preserve">Tillförsel av albumin baseras på hur stor mängd ascites som avtappats.  </w:t>
      </w:r>
    </w:p>
    <w:p w14:paraId="0CEA3CC2" w14:textId="77777777" w:rsidR="00192B6C" w:rsidRPr="00192B6C" w:rsidRDefault="00192B6C" w:rsidP="008E2094">
      <w:pPr>
        <w:keepNext/>
        <w:keepLines/>
      </w:pPr>
      <w:r w:rsidRPr="00192B6C">
        <w:t xml:space="preserve">&lt;3 liter: </w:t>
      </w:r>
      <w:r w:rsidRPr="00192B6C">
        <w:tab/>
        <w:t>ingen volymexpander</w:t>
      </w:r>
    </w:p>
    <w:p w14:paraId="1129976D" w14:textId="77777777" w:rsidR="00192B6C" w:rsidRPr="00192B6C" w:rsidRDefault="00192B6C" w:rsidP="008E2094">
      <w:pPr>
        <w:keepNext/>
        <w:keepLines/>
      </w:pPr>
      <w:r w:rsidRPr="00192B6C">
        <w:t>3-5 liter:</w:t>
      </w:r>
      <w:r w:rsidRPr="00192B6C">
        <w:tab/>
        <w:t>100 ml albumin 200 mg/ml i.v.</w:t>
      </w:r>
    </w:p>
    <w:p w14:paraId="03A2E5E0" w14:textId="77777777" w:rsidR="00192B6C" w:rsidRPr="00192B6C" w:rsidRDefault="00192B6C" w:rsidP="008E2094">
      <w:pPr>
        <w:keepNext/>
        <w:keepLines/>
      </w:pPr>
      <w:r w:rsidRPr="00192B6C">
        <w:t>5-9 liter:</w:t>
      </w:r>
      <w:r w:rsidRPr="00192B6C">
        <w:tab/>
        <w:t>200 ml albumin 200 mg/ml i.v.</w:t>
      </w:r>
    </w:p>
    <w:p w14:paraId="1B597B79" w14:textId="77777777" w:rsidR="00192B6C" w:rsidRPr="00192B6C" w:rsidRDefault="00192B6C" w:rsidP="008E2094">
      <w:pPr>
        <w:keepNext/>
        <w:keepLines/>
      </w:pPr>
      <w:r w:rsidRPr="00192B6C">
        <w:t xml:space="preserve">&gt;9 liter: </w:t>
      </w:r>
      <w:r w:rsidRPr="00192B6C">
        <w:tab/>
        <w:t>400 ml albumin 200 mg/ml i.v.</w:t>
      </w:r>
    </w:p>
    <w:p w14:paraId="52E2942B" w14:textId="77777777" w:rsidR="00192B6C" w:rsidRPr="008E2094" w:rsidRDefault="00192B6C" w:rsidP="008E2094">
      <w:pPr>
        <w:pStyle w:val="Rubrik3"/>
      </w:pPr>
      <w:bookmarkStart w:id="75" w:name="_Toc12458322"/>
      <w:bookmarkStart w:id="76" w:name="_Toc256000008"/>
      <w:bookmarkStart w:id="77" w:name="_Toc256000019"/>
      <w:bookmarkStart w:id="78" w:name="_Toc256000030"/>
      <w:bookmarkStart w:id="79" w:name="_Toc256000041"/>
      <w:bookmarkStart w:id="80" w:name="_Toc256000052"/>
      <w:bookmarkStart w:id="81" w:name="_Toc256000063"/>
      <w:bookmarkStart w:id="82" w:name="_Toc256000074"/>
      <w:bookmarkStart w:id="83" w:name="_Toc144109883"/>
      <w:r w:rsidRPr="008E2094">
        <w:t>Ascitestappning palliativ vård</w:t>
      </w:r>
      <w:bookmarkEnd w:id="75"/>
      <w:bookmarkEnd w:id="76"/>
      <w:bookmarkEnd w:id="77"/>
      <w:bookmarkEnd w:id="78"/>
      <w:bookmarkEnd w:id="79"/>
      <w:bookmarkEnd w:id="80"/>
      <w:bookmarkEnd w:id="81"/>
      <w:bookmarkEnd w:id="82"/>
      <w:bookmarkEnd w:id="83"/>
    </w:p>
    <w:p w14:paraId="595B0CD6" w14:textId="6E06DF67" w:rsidR="00192B6C" w:rsidRPr="00192B6C" w:rsidRDefault="00192B6C" w:rsidP="00C10892">
      <w:pPr>
        <w:rPr>
          <w:rFonts w:eastAsia="Calibri"/>
          <w:lang w:eastAsia="en-US"/>
        </w:rPr>
      </w:pPr>
      <w:r w:rsidRPr="00192B6C">
        <w:rPr>
          <w:rFonts w:eastAsia="Calibri"/>
          <w:lang w:eastAsia="en-US"/>
        </w:rPr>
        <w:t xml:space="preserve">Inom palliativ vård är ascites, sekundär till malign sjukdom, relativt vanligt förekommande och kan ge besvärande symtom som t.ex. dyspné, buksmärtor, illamående och tryckkänsla. Indikation för ascitestappning är enbart symtomlindring. </w:t>
      </w:r>
    </w:p>
    <w:p w14:paraId="15085812" w14:textId="77777777" w:rsidR="00192B6C" w:rsidRPr="00192B6C" w:rsidRDefault="00192B6C" w:rsidP="00C10892">
      <w:pPr>
        <w:rPr>
          <w:rFonts w:eastAsia="Calibri"/>
          <w:lang w:eastAsia="en-US"/>
        </w:rPr>
      </w:pPr>
      <w:r w:rsidRPr="00192B6C">
        <w:rPr>
          <w:rFonts w:eastAsia="Calibri"/>
          <w:lang w:eastAsia="en-US"/>
        </w:rPr>
        <w:t>Vid ascitestappning inom palliativ vård gäller följande förtydliganden av den generella rutinen.</w:t>
      </w:r>
    </w:p>
    <w:p w14:paraId="7C275459" w14:textId="77777777" w:rsidR="00192B6C" w:rsidRPr="00192B6C" w:rsidRDefault="00192B6C" w:rsidP="00C10892">
      <w:pPr>
        <w:pStyle w:val="Punktlista"/>
        <w:rPr>
          <w:rFonts w:eastAsia="Calibri"/>
          <w:lang w:eastAsia="en-US"/>
        </w:rPr>
      </w:pPr>
      <w:r w:rsidRPr="00192B6C">
        <w:rPr>
          <w:rFonts w:eastAsia="Calibri"/>
          <w:lang w:eastAsia="en-US"/>
        </w:rPr>
        <w:t>Ascitestappning ordineras och utförs av palliativa teamets läkare med assistans av sjuksköterska eller undersköterska.</w:t>
      </w:r>
    </w:p>
    <w:p w14:paraId="0BDBC1D0" w14:textId="77777777" w:rsidR="00192B6C" w:rsidRPr="00192B6C" w:rsidRDefault="00192B6C" w:rsidP="00C10892">
      <w:pPr>
        <w:pStyle w:val="Punktlista"/>
        <w:rPr>
          <w:rFonts w:eastAsia="Calibri"/>
          <w:lang w:eastAsia="en-US"/>
        </w:rPr>
      </w:pPr>
      <w:r w:rsidRPr="00192B6C">
        <w:rPr>
          <w:rFonts w:eastAsia="Calibri"/>
          <w:lang w:eastAsia="en-US"/>
        </w:rPr>
        <w:t>Tappning kan utföras på vårdavdelning eller i patientens hem/särskilt boende.</w:t>
      </w:r>
    </w:p>
    <w:p w14:paraId="08A6F633" w14:textId="77777777" w:rsidR="00192B6C" w:rsidRPr="00192B6C" w:rsidRDefault="00192B6C" w:rsidP="00C10892">
      <w:pPr>
        <w:pStyle w:val="Punktlista"/>
        <w:rPr>
          <w:rFonts w:eastAsia="Calibri"/>
          <w:lang w:eastAsia="en-US"/>
        </w:rPr>
      </w:pPr>
      <w:r w:rsidRPr="00192B6C">
        <w:rPr>
          <w:rFonts w:eastAsia="Calibri"/>
          <w:lang w:eastAsia="en-US"/>
        </w:rPr>
        <w:t>Vid tappning kan cystofixkatetern bytas mot perifer venkateter 2 mm (orange), som kopplas till infusionsslang med avklippt droppkammare; denna metod minskar risken för postoperativt ascitesläckage. Ascites samlas upp i hink.</w:t>
      </w:r>
    </w:p>
    <w:p w14:paraId="083FA765" w14:textId="77777777" w:rsidR="00192B6C" w:rsidRPr="00192B6C" w:rsidRDefault="00192B6C" w:rsidP="00C10892">
      <w:pPr>
        <w:pStyle w:val="Punktlista"/>
        <w:rPr>
          <w:rFonts w:eastAsia="Calibri"/>
          <w:lang w:eastAsia="en-US"/>
        </w:rPr>
      </w:pPr>
      <w:r w:rsidRPr="00192B6C">
        <w:rPr>
          <w:rFonts w:eastAsia="Calibri"/>
          <w:lang w:eastAsia="en-US"/>
        </w:rPr>
        <w:t>Preoperativ ultraljudsundersökning kan utföras bedside av operatören. Om tidigare tappningar kunnat utföras komplikationsfritt kan tappning ske utan föregående ultraljudskontroll.</w:t>
      </w:r>
    </w:p>
    <w:p w14:paraId="0D058F42" w14:textId="77777777" w:rsidR="00192B6C" w:rsidRPr="00192B6C" w:rsidRDefault="00192B6C" w:rsidP="00C10892">
      <w:pPr>
        <w:pStyle w:val="Punktlista"/>
        <w:rPr>
          <w:rFonts w:eastAsia="Calibri"/>
          <w:lang w:eastAsia="en-US"/>
        </w:rPr>
      </w:pPr>
      <w:r w:rsidRPr="00192B6C">
        <w:rPr>
          <w:rFonts w:eastAsia="Calibri"/>
          <w:lang w:eastAsia="en-US"/>
        </w:rPr>
        <w:t>Vid tappning av malign ascites finns ej indikation för volymsubstitution.</w:t>
      </w:r>
    </w:p>
    <w:p w14:paraId="295587FB" w14:textId="77777777" w:rsidR="00192B6C" w:rsidRPr="00192B6C" w:rsidRDefault="00192B6C" w:rsidP="00C10892">
      <w:pPr>
        <w:pStyle w:val="Punktlista"/>
        <w:rPr>
          <w:rFonts w:eastAsia="Calibri"/>
          <w:lang w:eastAsia="en-US"/>
        </w:rPr>
      </w:pPr>
      <w:r w:rsidRPr="00192B6C">
        <w:rPr>
          <w:rFonts w:eastAsia="Calibri"/>
          <w:lang w:eastAsia="en-US"/>
        </w:rPr>
        <w:t>Vid upprepade tappningsbehov bör man överväga anläggande av tunnelerat permanent ascitesdränage (PleurX), som möjliggör tappning i hemmet med hjälp av hemsjukvård.</w:t>
      </w:r>
    </w:p>
    <w:p w14:paraId="4AAE3F8F" w14:textId="77777777" w:rsidR="00192B6C" w:rsidRPr="008E2094" w:rsidRDefault="00192B6C" w:rsidP="008E2094">
      <w:pPr>
        <w:pStyle w:val="Rubrik2"/>
      </w:pPr>
      <w:bookmarkStart w:id="84" w:name="_Toc182366122"/>
      <w:bookmarkStart w:id="85" w:name="_Toc12458323"/>
      <w:bookmarkStart w:id="86" w:name="_Toc256000009"/>
      <w:bookmarkStart w:id="87" w:name="_Toc256000020"/>
      <w:bookmarkStart w:id="88" w:name="_Toc256000031"/>
      <w:bookmarkStart w:id="89" w:name="_Toc256000042"/>
      <w:bookmarkStart w:id="90" w:name="_Toc256000053"/>
      <w:bookmarkStart w:id="91" w:name="_Toc256000064"/>
      <w:bookmarkStart w:id="92" w:name="_Toc256000075"/>
      <w:bookmarkStart w:id="93" w:name="_Toc144109884"/>
      <w:r w:rsidRPr="008E2094">
        <w:lastRenderedPageBreak/>
        <w:t>Dokumentinformation</w:t>
      </w:r>
      <w:bookmarkEnd w:id="84"/>
      <w:bookmarkEnd w:id="85"/>
      <w:bookmarkEnd w:id="86"/>
      <w:bookmarkEnd w:id="87"/>
      <w:bookmarkEnd w:id="88"/>
      <w:bookmarkEnd w:id="89"/>
      <w:bookmarkEnd w:id="90"/>
      <w:bookmarkEnd w:id="91"/>
      <w:bookmarkEnd w:id="92"/>
      <w:bookmarkEnd w:id="93"/>
    </w:p>
    <w:p w14:paraId="19C9392D" w14:textId="77777777" w:rsidR="00192B6C" w:rsidRPr="001C46B7" w:rsidRDefault="00192B6C" w:rsidP="008E2094">
      <w:pPr>
        <w:keepNext/>
        <w:keepLines/>
        <w:spacing w:after="0"/>
        <w:rPr>
          <w:b/>
          <w:bCs/>
        </w:rPr>
      </w:pPr>
      <w:r w:rsidRPr="001C46B7">
        <w:rPr>
          <w:b/>
          <w:bCs/>
        </w:rPr>
        <w:t>För innehållet svarar</w:t>
      </w:r>
    </w:p>
    <w:p w14:paraId="57A34039" w14:textId="77777777" w:rsidR="00192B6C" w:rsidRDefault="00192B6C" w:rsidP="008E2094">
      <w:pPr>
        <w:keepNext/>
        <w:keepLines/>
        <w:rPr>
          <w:szCs w:val="20"/>
        </w:rPr>
      </w:pPr>
      <w:r w:rsidRPr="00192B6C">
        <w:rPr>
          <w:szCs w:val="20"/>
        </w:rPr>
        <w:t>Anders Lasson, överläkare, medicinkliniken, SÄS</w:t>
      </w:r>
      <w:r w:rsidRPr="00192B6C">
        <w:rPr>
          <w:szCs w:val="20"/>
        </w:rPr>
        <w:br/>
        <w:t>Claes-Håkan Björklund, överläkare, klinik för nära vård/PRIS, SÄS</w:t>
      </w:r>
    </w:p>
    <w:p w14:paraId="140B61CE" w14:textId="6F9DE763" w:rsidR="00050F7E" w:rsidRPr="00192B6C" w:rsidRDefault="00050F7E" w:rsidP="008E2094">
      <w:pPr>
        <w:keepNext/>
        <w:keepLines/>
        <w:rPr>
          <w:szCs w:val="20"/>
        </w:rPr>
      </w:pPr>
      <w:r>
        <w:rPr>
          <w:szCs w:val="20"/>
        </w:rPr>
        <w:t>Översyn i augusti 2023 utförd av Anders Lasson</w:t>
      </w:r>
      <w:r w:rsidR="002367F4">
        <w:rPr>
          <w:szCs w:val="20"/>
        </w:rPr>
        <w:t>, överläkare</w:t>
      </w:r>
    </w:p>
    <w:p w14:paraId="2CE3B27C" w14:textId="77777777" w:rsidR="00192B6C" w:rsidRPr="001C46B7" w:rsidRDefault="00192B6C" w:rsidP="008E2094">
      <w:pPr>
        <w:keepNext/>
        <w:keepLines/>
        <w:spacing w:after="0"/>
        <w:rPr>
          <w:b/>
          <w:bCs/>
        </w:rPr>
      </w:pPr>
      <w:r w:rsidRPr="001C46B7">
        <w:rPr>
          <w:b/>
          <w:bCs/>
        </w:rPr>
        <w:t>Remissinstanser</w:t>
      </w:r>
    </w:p>
    <w:p w14:paraId="3643087A" w14:textId="77777777" w:rsidR="00192B6C" w:rsidRPr="00192B6C" w:rsidRDefault="00192B6C" w:rsidP="008E2094">
      <w:pPr>
        <w:keepNext/>
        <w:keepLines/>
        <w:rPr>
          <w:szCs w:val="20"/>
        </w:rPr>
      </w:pPr>
      <w:r w:rsidRPr="00192B6C">
        <w:rPr>
          <w:szCs w:val="20"/>
        </w:rPr>
        <w:t>Verksamhetschefer, SÄS</w:t>
      </w:r>
    </w:p>
    <w:p w14:paraId="44A90A76" w14:textId="77777777" w:rsidR="00192B6C" w:rsidRPr="001C46B7" w:rsidRDefault="00192B6C" w:rsidP="008E2094">
      <w:pPr>
        <w:keepNext/>
        <w:keepLines/>
        <w:spacing w:after="0"/>
        <w:rPr>
          <w:b/>
          <w:bCs/>
        </w:rPr>
      </w:pPr>
      <w:r w:rsidRPr="001C46B7">
        <w:rPr>
          <w:b/>
          <w:bCs/>
        </w:rPr>
        <w:t>Fastställt av</w:t>
      </w:r>
    </w:p>
    <w:p w14:paraId="2403180D" w14:textId="2B166A13" w:rsidR="00192B6C" w:rsidRPr="00192B6C" w:rsidRDefault="001C46B7" w:rsidP="008E2094">
      <w:pPr>
        <w:keepNext/>
        <w:keepLines/>
        <w:rPr>
          <w:szCs w:val="20"/>
        </w:rPr>
      </w:pPr>
      <w:r>
        <w:rPr>
          <w:szCs w:val="20"/>
        </w:rPr>
        <w:t>Jerker Nilson</w:t>
      </w:r>
      <w:r w:rsidR="00192B6C" w:rsidRPr="00192B6C">
        <w:rPr>
          <w:szCs w:val="20"/>
        </w:rPr>
        <w:t>, chefläkare, SÄS</w:t>
      </w:r>
    </w:p>
    <w:p w14:paraId="25BE73A1" w14:textId="77777777" w:rsidR="00192B6C" w:rsidRPr="001C46B7" w:rsidRDefault="00192B6C" w:rsidP="008E2094">
      <w:pPr>
        <w:keepNext/>
        <w:keepLines/>
        <w:spacing w:after="0"/>
        <w:rPr>
          <w:b/>
          <w:bCs/>
        </w:rPr>
      </w:pPr>
      <w:r w:rsidRPr="001C46B7">
        <w:rPr>
          <w:b/>
          <w:bCs/>
        </w:rPr>
        <w:t>Nyckelord</w:t>
      </w:r>
    </w:p>
    <w:p w14:paraId="1666B737" w14:textId="77777777" w:rsidR="00192B6C" w:rsidRPr="00192B6C" w:rsidRDefault="00192B6C" w:rsidP="008E2094">
      <w:pPr>
        <w:keepNext/>
        <w:keepLines/>
        <w:rPr>
          <w:szCs w:val="20"/>
        </w:rPr>
      </w:pPr>
      <w:r w:rsidRPr="00192B6C">
        <w:rPr>
          <w:szCs w:val="20"/>
        </w:rPr>
        <w:t>vätska i buken, ascites, bukvätska, tappning, paracentes, laparocentes, provtagning</w:t>
      </w:r>
    </w:p>
    <w:p w14:paraId="03C78497" w14:textId="77777777" w:rsidR="00192B6C" w:rsidRPr="00EF0EAA" w:rsidRDefault="00192B6C" w:rsidP="00EF0EAA">
      <w:pPr>
        <w:pStyle w:val="Rubrik2"/>
      </w:pPr>
      <w:bookmarkStart w:id="94" w:name="_Toc534711065"/>
      <w:bookmarkStart w:id="95" w:name="_Toc12458324"/>
      <w:bookmarkStart w:id="96" w:name="_Toc256000010"/>
      <w:bookmarkStart w:id="97" w:name="_Toc256000021"/>
      <w:bookmarkStart w:id="98" w:name="_Toc256000032"/>
      <w:bookmarkStart w:id="99" w:name="_Toc256000043"/>
      <w:bookmarkStart w:id="100" w:name="_Toc256000054"/>
      <w:bookmarkStart w:id="101" w:name="_Toc256000065"/>
      <w:bookmarkStart w:id="102" w:name="_Toc256000076"/>
      <w:bookmarkStart w:id="103" w:name="_Toc144109885"/>
      <w:r w:rsidRPr="00EF0EAA">
        <w:t>Referensförteckning</w:t>
      </w:r>
      <w:bookmarkEnd w:id="94"/>
      <w:bookmarkEnd w:id="95"/>
      <w:bookmarkEnd w:id="96"/>
      <w:bookmarkEnd w:id="97"/>
      <w:bookmarkEnd w:id="98"/>
      <w:bookmarkEnd w:id="99"/>
      <w:bookmarkEnd w:id="100"/>
      <w:bookmarkEnd w:id="101"/>
      <w:bookmarkEnd w:id="102"/>
      <w:bookmarkEnd w:id="103"/>
    </w:p>
    <w:p w14:paraId="18365705" w14:textId="39C22B5E" w:rsidR="00192B6C" w:rsidRPr="00192B6C" w:rsidRDefault="00192B6C" w:rsidP="008E2094">
      <w:pPr>
        <w:pStyle w:val="Punktlistanumrerad"/>
        <w:keepNext/>
        <w:keepLines/>
      </w:pPr>
      <w:r w:rsidRPr="00192B6C">
        <w:t>Ascites och njursvikt vid levercirros – utredning och behandling. Nationella riktlinjer upprättade av Svensk Gastroenterologisk Förening.</w:t>
      </w:r>
      <w:r w:rsidR="00F570C0">
        <w:br/>
      </w:r>
      <w:hyperlink r:id="rId17" w:history="1">
        <w:r w:rsidR="00100052" w:rsidRPr="002D137C">
          <w:rPr>
            <w:rStyle w:val="Hyperlnk"/>
          </w:rPr>
          <w:t>https://svenskgastroenterologi.se/kunskap-dokument/kunskap/riktlinjer-och-rekommendationer</w:t>
        </w:r>
      </w:hyperlink>
      <w:r w:rsidR="00100052">
        <w:t xml:space="preserve"> (välj ämne </w:t>
      </w:r>
      <w:r w:rsidR="00100052" w:rsidRPr="00100052">
        <w:rPr>
          <w:i/>
          <w:iCs/>
        </w:rPr>
        <w:t>Lever-, gallvägs- och pankreassjukdomar</w:t>
      </w:r>
      <w:r w:rsidR="00100052">
        <w:t>)</w:t>
      </w:r>
    </w:p>
    <w:bookmarkEnd w:id="0"/>
    <w:sectPr w:rsidR="00192B6C" w:rsidRPr="00192B6C" w:rsidSect="00192B6C">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9698" w14:textId="77777777" w:rsidR="00363B23" w:rsidRDefault="00363B23">
      <w:r>
        <w:separator/>
      </w:r>
    </w:p>
  </w:endnote>
  <w:endnote w:type="continuationSeparator" w:id="0">
    <w:p w14:paraId="38030764" w14:textId="77777777" w:rsidR="00363B23" w:rsidRDefault="00363B23">
      <w:r>
        <w:continuationSeparator/>
      </w:r>
    </w:p>
  </w:endnote>
  <w:endnote w:type="continuationNotice" w:id="1">
    <w:p w14:paraId="0576E0AF" w14:textId="77777777" w:rsidR="00363B23" w:rsidRDefault="0036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26E6" w14:textId="77777777" w:rsidR="00363B23" w:rsidRDefault="00363B23"/>
  </w:footnote>
  <w:footnote w:type="continuationSeparator" w:id="0">
    <w:p w14:paraId="5C57738A" w14:textId="77777777" w:rsidR="00363B23" w:rsidRDefault="00363B23">
      <w:r>
        <w:continuationSeparator/>
      </w:r>
    </w:p>
  </w:footnote>
  <w:footnote w:type="continuationNotice" w:id="1">
    <w:p w14:paraId="4F5088BD" w14:textId="77777777" w:rsidR="00363B23" w:rsidRDefault="0036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72577"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725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70529"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70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7216"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053AC8DC"/>
    <w:lvl w:ilvl="0">
      <w:start w:val="1"/>
      <w:numFmt w:val="decimal"/>
      <w:pStyle w:val="Punktlistanumrerad"/>
      <w:lvlText w:val="%1."/>
      <w:lvlJc w:val="left"/>
      <w:pPr>
        <w:ind w:left="1352" w:hanging="360"/>
      </w:pPr>
      <w:rPr>
        <w:rFonts w:hint="default"/>
      </w:rPr>
    </w:lvl>
  </w:abstractNum>
  <w:abstractNum w:abstractNumId="2"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4"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0A631761"/>
    <w:multiLevelType w:val="hybridMultilevel"/>
    <w:tmpl w:val="7EFAD0F8"/>
    <w:lvl w:ilvl="0" w:tplc="FFFFFFFF">
      <w:numFmt w:val="bullet"/>
      <w:lvlText w:val="-"/>
      <w:lvlJc w:val="left"/>
      <w:pPr>
        <w:ind w:left="3036" w:hanging="360"/>
      </w:pPr>
      <w:rPr>
        <w:rFonts w:ascii="Times New Roman" w:eastAsia="Times New Roman" w:hAnsi="Times New Roman" w:cs="Times New Roman" w:hint="default"/>
      </w:rPr>
    </w:lvl>
    <w:lvl w:ilvl="1" w:tplc="FFFFFFFF" w:tentative="1">
      <w:start w:val="1"/>
      <w:numFmt w:val="bullet"/>
      <w:lvlText w:val="o"/>
      <w:lvlJc w:val="left"/>
      <w:pPr>
        <w:ind w:left="3756" w:hanging="360"/>
      </w:pPr>
      <w:rPr>
        <w:rFonts w:ascii="Courier New" w:hAnsi="Courier New" w:cs="Courier New" w:hint="default"/>
      </w:rPr>
    </w:lvl>
    <w:lvl w:ilvl="2" w:tplc="FFFFFFFF" w:tentative="1">
      <w:start w:val="1"/>
      <w:numFmt w:val="bullet"/>
      <w:lvlText w:val=""/>
      <w:lvlJc w:val="left"/>
      <w:pPr>
        <w:ind w:left="4476" w:hanging="360"/>
      </w:pPr>
      <w:rPr>
        <w:rFonts w:ascii="Wingdings" w:hAnsi="Wingdings" w:hint="default"/>
      </w:rPr>
    </w:lvl>
    <w:lvl w:ilvl="3" w:tplc="FFFFFFFF" w:tentative="1">
      <w:start w:val="1"/>
      <w:numFmt w:val="bullet"/>
      <w:lvlText w:val=""/>
      <w:lvlJc w:val="left"/>
      <w:pPr>
        <w:ind w:left="5196" w:hanging="360"/>
      </w:pPr>
      <w:rPr>
        <w:rFonts w:ascii="Symbol" w:hAnsi="Symbol" w:hint="default"/>
      </w:rPr>
    </w:lvl>
    <w:lvl w:ilvl="4" w:tplc="FFFFFFFF" w:tentative="1">
      <w:start w:val="1"/>
      <w:numFmt w:val="bullet"/>
      <w:lvlText w:val="o"/>
      <w:lvlJc w:val="left"/>
      <w:pPr>
        <w:ind w:left="5916" w:hanging="360"/>
      </w:pPr>
      <w:rPr>
        <w:rFonts w:ascii="Courier New" w:hAnsi="Courier New" w:cs="Courier New" w:hint="default"/>
      </w:rPr>
    </w:lvl>
    <w:lvl w:ilvl="5" w:tplc="FFFFFFFF" w:tentative="1">
      <w:start w:val="1"/>
      <w:numFmt w:val="bullet"/>
      <w:lvlText w:val=""/>
      <w:lvlJc w:val="left"/>
      <w:pPr>
        <w:ind w:left="6636" w:hanging="360"/>
      </w:pPr>
      <w:rPr>
        <w:rFonts w:ascii="Wingdings" w:hAnsi="Wingdings" w:hint="default"/>
      </w:rPr>
    </w:lvl>
    <w:lvl w:ilvl="6" w:tplc="FFFFFFFF" w:tentative="1">
      <w:start w:val="1"/>
      <w:numFmt w:val="bullet"/>
      <w:lvlText w:val=""/>
      <w:lvlJc w:val="left"/>
      <w:pPr>
        <w:ind w:left="7356" w:hanging="360"/>
      </w:pPr>
      <w:rPr>
        <w:rFonts w:ascii="Symbol" w:hAnsi="Symbol" w:hint="default"/>
      </w:rPr>
    </w:lvl>
    <w:lvl w:ilvl="7" w:tplc="FFFFFFFF" w:tentative="1">
      <w:start w:val="1"/>
      <w:numFmt w:val="bullet"/>
      <w:lvlText w:val="o"/>
      <w:lvlJc w:val="left"/>
      <w:pPr>
        <w:ind w:left="8076" w:hanging="360"/>
      </w:pPr>
      <w:rPr>
        <w:rFonts w:ascii="Courier New" w:hAnsi="Courier New" w:cs="Courier New" w:hint="default"/>
      </w:rPr>
    </w:lvl>
    <w:lvl w:ilvl="8" w:tplc="FFFFFFFF" w:tentative="1">
      <w:start w:val="1"/>
      <w:numFmt w:val="bullet"/>
      <w:lvlText w:val=""/>
      <w:lvlJc w:val="left"/>
      <w:pPr>
        <w:ind w:left="8796" w:hanging="360"/>
      </w:pPr>
      <w:rPr>
        <w:rFonts w:ascii="Wingdings" w:hAnsi="Wingdings" w:hint="default"/>
      </w:rPr>
    </w:lvl>
  </w:abstractNum>
  <w:abstractNum w:abstractNumId="6"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7"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8" w15:restartNumberingAfterBreak="0">
    <w:nsid w:val="1D074A65"/>
    <w:multiLevelType w:val="hybridMultilevel"/>
    <w:tmpl w:val="E104E4E6"/>
    <w:lvl w:ilvl="0" w:tplc="F49A55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9"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2A182708"/>
    <w:multiLevelType w:val="hybridMultilevel"/>
    <w:tmpl w:val="4156CF08"/>
    <w:lvl w:ilvl="0" w:tplc="0C4AF032">
      <w:start w:val="3"/>
      <w:numFmt w:val="bullet"/>
      <w:lvlText w:val="-"/>
      <w:lvlJc w:val="left"/>
      <w:pPr>
        <w:ind w:left="1352" w:hanging="360"/>
      </w:pPr>
      <w:rPr>
        <w:rFonts w:ascii="Times New Roman" w:eastAsia="Times New Roman" w:hAnsi="Times New Roman" w:cs="Times New Roman"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11"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74E09"/>
    <w:multiLevelType w:val="hybridMultilevel"/>
    <w:tmpl w:val="DDF0BC38"/>
    <w:lvl w:ilvl="0" w:tplc="34668BAA">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3"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6" w15:restartNumberingAfterBreak="0">
    <w:nsid w:val="54340635"/>
    <w:multiLevelType w:val="hybridMultilevel"/>
    <w:tmpl w:val="1B6660C0"/>
    <w:lvl w:ilvl="0" w:tplc="05061E3A">
      <w:start w:val="1"/>
      <w:numFmt w:val="decimal"/>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8"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9" w15:restartNumberingAfterBreak="0">
    <w:nsid w:val="7A0909C2"/>
    <w:multiLevelType w:val="multilevel"/>
    <w:tmpl w:val="EB8AB706"/>
    <w:lvl w:ilvl="0">
      <w:start w:val="1"/>
      <w:numFmt w:val="decimal"/>
      <w:pStyle w:val="Faktaruta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1" w15:restartNumberingAfterBreak="0">
    <w:nsid w:val="7D724660"/>
    <w:multiLevelType w:val="hybridMultilevel"/>
    <w:tmpl w:val="142E710E"/>
    <w:lvl w:ilvl="0" w:tplc="2E04C65E">
      <w:start w:val="1"/>
      <w:numFmt w:val="bullet"/>
      <w:pStyle w:val="Punktlista"/>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2"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1076823894">
    <w:abstractNumId w:val="1"/>
  </w:num>
  <w:num w:numId="2" w16cid:durableId="1657610838">
    <w:abstractNumId w:val="5"/>
  </w:num>
  <w:num w:numId="3" w16cid:durableId="1868787779">
    <w:abstractNumId w:val="19"/>
  </w:num>
  <w:num w:numId="4" w16cid:durableId="2101246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45302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08589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269358">
    <w:abstractNumId w:val="10"/>
  </w:num>
  <w:num w:numId="8" w16cid:durableId="1511141391">
    <w:abstractNumId w:val="21"/>
  </w:num>
  <w:num w:numId="9" w16cid:durableId="453326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2435C"/>
    <w:rsid w:val="00030DDD"/>
    <w:rsid w:val="000313BB"/>
    <w:rsid w:val="00033ED5"/>
    <w:rsid w:val="00050500"/>
    <w:rsid w:val="00050F7E"/>
    <w:rsid w:val="0005691C"/>
    <w:rsid w:val="00056ECB"/>
    <w:rsid w:val="00056ED5"/>
    <w:rsid w:val="000655CC"/>
    <w:rsid w:val="000700AE"/>
    <w:rsid w:val="00084024"/>
    <w:rsid w:val="0009062C"/>
    <w:rsid w:val="00095368"/>
    <w:rsid w:val="000954C4"/>
    <w:rsid w:val="000A4C35"/>
    <w:rsid w:val="000A611A"/>
    <w:rsid w:val="000B12D9"/>
    <w:rsid w:val="000B4536"/>
    <w:rsid w:val="000B7715"/>
    <w:rsid w:val="000E463B"/>
    <w:rsid w:val="000E5A7E"/>
    <w:rsid w:val="000F43A3"/>
    <w:rsid w:val="000F7681"/>
    <w:rsid w:val="00100052"/>
    <w:rsid w:val="00103031"/>
    <w:rsid w:val="001044FE"/>
    <w:rsid w:val="001139D4"/>
    <w:rsid w:val="00131B0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2B6C"/>
    <w:rsid w:val="0019632A"/>
    <w:rsid w:val="001A4E7C"/>
    <w:rsid w:val="001B762C"/>
    <w:rsid w:val="001C46B7"/>
    <w:rsid w:val="001C4D0A"/>
    <w:rsid w:val="001C5FEF"/>
    <w:rsid w:val="00211487"/>
    <w:rsid w:val="00211D91"/>
    <w:rsid w:val="00217DEC"/>
    <w:rsid w:val="00235B57"/>
    <w:rsid w:val="002367F4"/>
    <w:rsid w:val="00250F24"/>
    <w:rsid w:val="002523C5"/>
    <w:rsid w:val="0025380B"/>
    <w:rsid w:val="0025703A"/>
    <w:rsid w:val="00262F3D"/>
    <w:rsid w:val="00263281"/>
    <w:rsid w:val="002651D6"/>
    <w:rsid w:val="0026551F"/>
    <w:rsid w:val="00280A85"/>
    <w:rsid w:val="00284119"/>
    <w:rsid w:val="00290B5C"/>
    <w:rsid w:val="00294791"/>
    <w:rsid w:val="002B0B30"/>
    <w:rsid w:val="002B0C78"/>
    <w:rsid w:val="002C0C02"/>
    <w:rsid w:val="002C1277"/>
    <w:rsid w:val="002C60AD"/>
    <w:rsid w:val="002D0E0E"/>
    <w:rsid w:val="002D6023"/>
    <w:rsid w:val="002E263F"/>
    <w:rsid w:val="002E6F81"/>
    <w:rsid w:val="002F08BA"/>
    <w:rsid w:val="002F2CFF"/>
    <w:rsid w:val="002F568B"/>
    <w:rsid w:val="002F7818"/>
    <w:rsid w:val="003066D0"/>
    <w:rsid w:val="00311401"/>
    <w:rsid w:val="003203D7"/>
    <w:rsid w:val="00320F86"/>
    <w:rsid w:val="00324171"/>
    <w:rsid w:val="00326C24"/>
    <w:rsid w:val="00337F99"/>
    <w:rsid w:val="0034307B"/>
    <w:rsid w:val="00345EB1"/>
    <w:rsid w:val="00350CC4"/>
    <w:rsid w:val="00360E0D"/>
    <w:rsid w:val="0036357D"/>
    <w:rsid w:val="00363B23"/>
    <w:rsid w:val="0036594C"/>
    <w:rsid w:val="00367D19"/>
    <w:rsid w:val="00371BED"/>
    <w:rsid w:val="00384019"/>
    <w:rsid w:val="003854F1"/>
    <w:rsid w:val="0039118E"/>
    <w:rsid w:val="00397F54"/>
    <w:rsid w:val="003A0D43"/>
    <w:rsid w:val="003B2A4B"/>
    <w:rsid w:val="003D099E"/>
    <w:rsid w:val="003D21A2"/>
    <w:rsid w:val="003D29D2"/>
    <w:rsid w:val="003E0705"/>
    <w:rsid w:val="003E2FF7"/>
    <w:rsid w:val="003F1013"/>
    <w:rsid w:val="003F178F"/>
    <w:rsid w:val="003F1ACF"/>
    <w:rsid w:val="00404948"/>
    <w:rsid w:val="00406BEA"/>
    <w:rsid w:val="00413A60"/>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D7BA3"/>
    <w:rsid w:val="004F4518"/>
    <w:rsid w:val="004F4C62"/>
    <w:rsid w:val="00501433"/>
    <w:rsid w:val="00511CC4"/>
    <w:rsid w:val="00531E60"/>
    <w:rsid w:val="00536A5A"/>
    <w:rsid w:val="00541D07"/>
    <w:rsid w:val="00544BAB"/>
    <w:rsid w:val="00545F31"/>
    <w:rsid w:val="005578FA"/>
    <w:rsid w:val="00565129"/>
    <w:rsid w:val="00565CD0"/>
    <w:rsid w:val="00567820"/>
    <w:rsid w:val="005770AD"/>
    <w:rsid w:val="00581414"/>
    <w:rsid w:val="00582490"/>
    <w:rsid w:val="005826FA"/>
    <w:rsid w:val="00590E30"/>
    <w:rsid w:val="00597E28"/>
    <w:rsid w:val="005A2E3B"/>
    <w:rsid w:val="005A54ED"/>
    <w:rsid w:val="005A5D5B"/>
    <w:rsid w:val="005A6081"/>
    <w:rsid w:val="005A627D"/>
    <w:rsid w:val="005C0045"/>
    <w:rsid w:val="005C084E"/>
    <w:rsid w:val="005C4606"/>
    <w:rsid w:val="005D0B0C"/>
    <w:rsid w:val="005E02B3"/>
    <w:rsid w:val="005E1E24"/>
    <w:rsid w:val="0060596B"/>
    <w:rsid w:val="00606D97"/>
    <w:rsid w:val="00614E64"/>
    <w:rsid w:val="00617710"/>
    <w:rsid w:val="00617EE6"/>
    <w:rsid w:val="0062184C"/>
    <w:rsid w:val="00623724"/>
    <w:rsid w:val="00627BEA"/>
    <w:rsid w:val="006319DB"/>
    <w:rsid w:val="006549FC"/>
    <w:rsid w:val="0065595B"/>
    <w:rsid w:val="00660269"/>
    <w:rsid w:val="00665F89"/>
    <w:rsid w:val="00673C92"/>
    <w:rsid w:val="006753EC"/>
    <w:rsid w:val="006A2789"/>
    <w:rsid w:val="006A4978"/>
    <w:rsid w:val="006A7261"/>
    <w:rsid w:val="006B0D29"/>
    <w:rsid w:val="006B1819"/>
    <w:rsid w:val="006B5DE7"/>
    <w:rsid w:val="006C5048"/>
    <w:rsid w:val="006C6A4B"/>
    <w:rsid w:val="006C779F"/>
    <w:rsid w:val="006D01F5"/>
    <w:rsid w:val="006D0CFB"/>
    <w:rsid w:val="006D30C0"/>
    <w:rsid w:val="006D7535"/>
    <w:rsid w:val="006E450B"/>
    <w:rsid w:val="006F0749"/>
    <w:rsid w:val="006F0D7E"/>
    <w:rsid w:val="006F635C"/>
    <w:rsid w:val="00710B77"/>
    <w:rsid w:val="0072075B"/>
    <w:rsid w:val="007221C2"/>
    <w:rsid w:val="00725816"/>
    <w:rsid w:val="00730955"/>
    <w:rsid w:val="00733A9C"/>
    <w:rsid w:val="00736574"/>
    <w:rsid w:val="007367E0"/>
    <w:rsid w:val="00737215"/>
    <w:rsid w:val="00754905"/>
    <w:rsid w:val="00760038"/>
    <w:rsid w:val="00762EE0"/>
    <w:rsid w:val="00765C41"/>
    <w:rsid w:val="00771100"/>
    <w:rsid w:val="007759DD"/>
    <w:rsid w:val="0078609F"/>
    <w:rsid w:val="007917BA"/>
    <w:rsid w:val="007A5C6F"/>
    <w:rsid w:val="007D4241"/>
    <w:rsid w:val="007D4317"/>
    <w:rsid w:val="007D4EA3"/>
    <w:rsid w:val="007F1CFF"/>
    <w:rsid w:val="007F5DD5"/>
    <w:rsid w:val="00821A1B"/>
    <w:rsid w:val="008262E9"/>
    <w:rsid w:val="00827E69"/>
    <w:rsid w:val="00835C4D"/>
    <w:rsid w:val="00843F48"/>
    <w:rsid w:val="00851423"/>
    <w:rsid w:val="00857848"/>
    <w:rsid w:val="008654B6"/>
    <w:rsid w:val="0087139C"/>
    <w:rsid w:val="00880E83"/>
    <w:rsid w:val="00892F28"/>
    <w:rsid w:val="008A0C5F"/>
    <w:rsid w:val="008A3DEA"/>
    <w:rsid w:val="008A4EB9"/>
    <w:rsid w:val="008A74C0"/>
    <w:rsid w:val="008B1694"/>
    <w:rsid w:val="008C4B27"/>
    <w:rsid w:val="008C7F2A"/>
    <w:rsid w:val="008E2094"/>
    <w:rsid w:val="008E36F8"/>
    <w:rsid w:val="008E46B2"/>
    <w:rsid w:val="008E682C"/>
    <w:rsid w:val="008E78A1"/>
    <w:rsid w:val="008F589F"/>
    <w:rsid w:val="00906238"/>
    <w:rsid w:val="00907EF9"/>
    <w:rsid w:val="0091295C"/>
    <w:rsid w:val="00914D58"/>
    <w:rsid w:val="00921F47"/>
    <w:rsid w:val="009228AB"/>
    <w:rsid w:val="0093085B"/>
    <w:rsid w:val="00931C57"/>
    <w:rsid w:val="009347A5"/>
    <w:rsid w:val="00942257"/>
    <w:rsid w:val="009471BF"/>
    <w:rsid w:val="00950E4E"/>
    <w:rsid w:val="009529BD"/>
    <w:rsid w:val="009533B4"/>
    <w:rsid w:val="00971D93"/>
    <w:rsid w:val="009B1F6B"/>
    <w:rsid w:val="009C0D12"/>
    <w:rsid w:val="009C192E"/>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4A0B"/>
    <w:rsid w:val="00A65FD4"/>
    <w:rsid w:val="00A81198"/>
    <w:rsid w:val="00A81E48"/>
    <w:rsid w:val="00A82035"/>
    <w:rsid w:val="00A90D77"/>
    <w:rsid w:val="00A92E07"/>
    <w:rsid w:val="00AA0B3A"/>
    <w:rsid w:val="00AA6EB4"/>
    <w:rsid w:val="00AA767D"/>
    <w:rsid w:val="00AB0CC9"/>
    <w:rsid w:val="00AC3FF6"/>
    <w:rsid w:val="00AD73EC"/>
    <w:rsid w:val="00AE5BC7"/>
    <w:rsid w:val="00AF5AAF"/>
    <w:rsid w:val="00B046D8"/>
    <w:rsid w:val="00B13F4C"/>
    <w:rsid w:val="00B16219"/>
    <w:rsid w:val="00B16C59"/>
    <w:rsid w:val="00B33FDD"/>
    <w:rsid w:val="00B359CC"/>
    <w:rsid w:val="00B36107"/>
    <w:rsid w:val="00B41789"/>
    <w:rsid w:val="00B46C03"/>
    <w:rsid w:val="00B60C6C"/>
    <w:rsid w:val="00B619A9"/>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D58CD"/>
    <w:rsid w:val="00BE7978"/>
    <w:rsid w:val="00C07DDB"/>
    <w:rsid w:val="00C10892"/>
    <w:rsid w:val="00C4115D"/>
    <w:rsid w:val="00C43BDD"/>
    <w:rsid w:val="00C47778"/>
    <w:rsid w:val="00C5011E"/>
    <w:rsid w:val="00C50EE5"/>
    <w:rsid w:val="00C5240A"/>
    <w:rsid w:val="00C5398F"/>
    <w:rsid w:val="00C556F5"/>
    <w:rsid w:val="00C70E19"/>
    <w:rsid w:val="00C72574"/>
    <w:rsid w:val="00C7430C"/>
    <w:rsid w:val="00C85DA1"/>
    <w:rsid w:val="00C9071C"/>
    <w:rsid w:val="00C908FF"/>
    <w:rsid w:val="00C97BD3"/>
    <w:rsid w:val="00CA39EF"/>
    <w:rsid w:val="00CA521F"/>
    <w:rsid w:val="00CB0493"/>
    <w:rsid w:val="00CB17FF"/>
    <w:rsid w:val="00CB1ED7"/>
    <w:rsid w:val="00CC167C"/>
    <w:rsid w:val="00CC52D9"/>
    <w:rsid w:val="00CD6647"/>
    <w:rsid w:val="00CE4B73"/>
    <w:rsid w:val="00CF70BB"/>
    <w:rsid w:val="00D074DB"/>
    <w:rsid w:val="00D139CF"/>
    <w:rsid w:val="00D177A9"/>
    <w:rsid w:val="00D37E7F"/>
    <w:rsid w:val="00D47AD7"/>
    <w:rsid w:val="00D51529"/>
    <w:rsid w:val="00D85218"/>
    <w:rsid w:val="00D915B1"/>
    <w:rsid w:val="00DA299D"/>
    <w:rsid w:val="00DA65C4"/>
    <w:rsid w:val="00DD2BE0"/>
    <w:rsid w:val="00DE4447"/>
    <w:rsid w:val="00DE5DA2"/>
    <w:rsid w:val="00DF0033"/>
    <w:rsid w:val="00E026BF"/>
    <w:rsid w:val="00E07B1B"/>
    <w:rsid w:val="00E11853"/>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5006"/>
    <w:rsid w:val="00EC7053"/>
    <w:rsid w:val="00ED49C3"/>
    <w:rsid w:val="00ED6CE8"/>
    <w:rsid w:val="00ED7AA6"/>
    <w:rsid w:val="00EE09B7"/>
    <w:rsid w:val="00EE2A56"/>
    <w:rsid w:val="00EE3818"/>
    <w:rsid w:val="00EF0EAA"/>
    <w:rsid w:val="00F22264"/>
    <w:rsid w:val="00F2564D"/>
    <w:rsid w:val="00F33FD5"/>
    <w:rsid w:val="00F35B05"/>
    <w:rsid w:val="00F413D9"/>
    <w:rsid w:val="00F5135F"/>
    <w:rsid w:val="00F51F78"/>
    <w:rsid w:val="00F570C0"/>
    <w:rsid w:val="00F86F47"/>
    <w:rsid w:val="00F90B64"/>
    <w:rsid w:val="00F9763D"/>
    <w:rsid w:val="00FB2F0F"/>
    <w:rsid w:val="00FB5086"/>
    <w:rsid w:val="00FB5411"/>
    <w:rsid w:val="00FB6392"/>
    <w:rsid w:val="00FC1EB7"/>
    <w:rsid w:val="00FD3C70"/>
    <w:rsid w:val="00FD6820"/>
    <w:rsid w:val="00FE12D8"/>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1FE2B7EB"/>
  <w14:defaultImageDpi w14:val="330"/>
  <w15:docId w15:val="{05325872-151F-41A7-9AD9-8EFA6E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paragraph" w:styleId="Rubrik6">
    <w:name w:val="heading 6"/>
    <w:basedOn w:val="Normal"/>
    <w:next w:val="Normal"/>
    <w:link w:val="Rubrik6Char"/>
    <w:uiPriority w:val="9"/>
    <w:semiHidden/>
    <w:unhideWhenUsed/>
    <w:qFormat/>
    <w:rsid w:val="00192B6C"/>
    <w:pPr>
      <w:keepNext/>
      <w:keepLines/>
      <w:spacing w:before="40" w:after="0"/>
      <w:outlineLvl w:val="5"/>
    </w:pPr>
    <w:rPr>
      <w:rFonts w:asciiTheme="majorHAnsi" w:eastAsiaTheme="majorEastAsia" w:hAnsiTheme="majorHAnsi" w:cstheme="majorBidi"/>
      <w:color w:val="00304B" w:themeColor="accent1" w:themeShade="7F"/>
    </w:rPr>
  </w:style>
  <w:style w:type="paragraph" w:styleId="Rubrik7">
    <w:name w:val="heading 7"/>
    <w:basedOn w:val="Normal"/>
    <w:next w:val="Normal"/>
    <w:link w:val="Rubrik7Char"/>
    <w:uiPriority w:val="9"/>
    <w:semiHidden/>
    <w:unhideWhenUsed/>
    <w:qFormat/>
    <w:rsid w:val="00192B6C"/>
    <w:pPr>
      <w:keepNext/>
      <w:keepLines/>
      <w:spacing w:before="40" w:after="0"/>
      <w:outlineLvl w:val="6"/>
    </w:pPr>
    <w:rPr>
      <w:rFonts w:asciiTheme="majorHAnsi" w:eastAsiaTheme="majorEastAsia" w:hAnsiTheme="majorHAnsi" w:cstheme="majorBidi"/>
      <w:i/>
      <w:iCs/>
      <w:color w:val="00304B" w:themeColor="accent1" w:themeShade="7F"/>
    </w:rPr>
  </w:style>
  <w:style w:type="paragraph" w:styleId="Rubrik9">
    <w:name w:val="heading 9"/>
    <w:basedOn w:val="Normal"/>
    <w:next w:val="Normal"/>
    <w:link w:val="Rubrik9Char"/>
    <w:uiPriority w:val="9"/>
    <w:semiHidden/>
    <w:unhideWhenUsed/>
    <w:qFormat/>
    <w:rsid w:val="00192B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3"/>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tabs>
        <w:tab w:val="num" w:pos="720"/>
      </w:tabs>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8E2094"/>
    <w:pPr>
      <w:tabs>
        <w:tab w:val="right" w:leader="dot" w:pos="8779"/>
      </w:tabs>
      <w:spacing w:after="0"/>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8E2094"/>
    <w:pPr>
      <w:tabs>
        <w:tab w:val="right" w:leader="dot" w:pos="8777"/>
      </w:tabs>
      <w:spacing w:after="0"/>
      <w:ind w:left="1349"/>
    </w:pPr>
  </w:style>
  <w:style w:type="paragraph" w:styleId="Innehll3">
    <w:name w:val="toc 3"/>
    <w:basedOn w:val="Normal"/>
    <w:next w:val="Normal"/>
    <w:autoRedefine/>
    <w:uiPriority w:val="39"/>
    <w:unhideWhenUsed/>
    <w:rsid w:val="008E2094"/>
    <w:pPr>
      <w:tabs>
        <w:tab w:val="right" w:leader="dot" w:pos="8777"/>
      </w:tabs>
      <w:spacing w:after="0"/>
      <w:ind w:left="1707"/>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10892"/>
    <w:pPr>
      <w:numPr>
        <w:numId w:val="8"/>
      </w:numPr>
      <w:tabs>
        <w:tab w:val="left" w:pos="1349"/>
      </w:tabs>
      <w:ind w:left="1349"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character" w:customStyle="1" w:styleId="Rubrik6Char">
    <w:name w:val="Rubrik 6 Char"/>
    <w:basedOn w:val="Standardstycketeckensnitt"/>
    <w:link w:val="Rubrik6"/>
    <w:uiPriority w:val="9"/>
    <w:semiHidden/>
    <w:rsid w:val="00192B6C"/>
    <w:rPr>
      <w:rFonts w:asciiTheme="majorHAnsi" w:eastAsiaTheme="majorEastAsia" w:hAnsiTheme="majorHAnsi" w:cstheme="majorBidi"/>
      <w:color w:val="00304B" w:themeColor="accent1" w:themeShade="7F"/>
      <w:sz w:val="24"/>
      <w:szCs w:val="24"/>
    </w:rPr>
  </w:style>
  <w:style w:type="character" w:customStyle="1" w:styleId="Rubrik7Char">
    <w:name w:val="Rubrik 7 Char"/>
    <w:basedOn w:val="Standardstycketeckensnitt"/>
    <w:link w:val="Rubrik7"/>
    <w:uiPriority w:val="9"/>
    <w:semiHidden/>
    <w:rsid w:val="00192B6C"/>
    <w:rPr>
      <w:rFonts w:asciiTheme="majorHAnsi" w:eastAsiaTheme="majorEastAsia" w:hAnsiTheme="majorHAnsi" w:cstheme="majorBidi"/>
      <w:i/>
      <w:iCs/>
      <w:color w:val="00304B" w:themeColor="accent1" w:themeShade="7F"/>
      <w:sz w:val="24"/>
      <w:szCs w:val="24"/>
    </w:rPr>
  </w:style>
  <w:style w:type="character" w:customStyle="1" w:styleId="Rubrik9Char">
    <w:name w:val="Rubrik 9 Char"/>
    <w:basedOn w:val="Standardstycketeckensnitt"/>
    <w:link w:val="Rubrik9"/>
    <w:uiPriority w:val="9"/>
    <w:semiHidden/>
    <w:rsid w:val="00192B6C"/>
    <w:rPr>
      <w:rFonts w:asciiTheme="majorHAnsi" w:eastAsiaTheme="majorEastAsia" w:hAnsiTheme="majorHAnsi" w:cstheme="majorBidi"/>
      <w:i/>
      <w:iCs/>
      <w:color w:val="272727" w:themeColor="text1" w:themeTint="D8"/>
      <w:sz w:val="21"/>
      <w:szCs w:val="21"/>
    </w:rPr>
  </w:style>
  <w:style w:type="paragraph" w:customStyle="1" w:styleId="a">
    <w:next w:val="Numreradlista"/>
    <w:rsid w:val="00192B6C"/>
    <w:pPr>
      <w:tabs>
        <w:tab w:val="num" w:pos="3036"/>
      </w:tabs>
      <w:spacing w:after="80"/>
      <w:ind w:left="3033" w:hanging="357"/>
    </w:pPr>
    <w:rPr>
      <w:sz w:val="24"/>
    </w:rPr>
  </w:style>
  <w:style w:type="paragraph" w:styleId="Numreradlista">
    <w:name w:val="List Number"/>
    <w:basedOn w:val="Normal"/>
    <w:uiPriority w:val="99"/>
    <w:semiHidden/>
    <w:unhideWhenUsed/>
    <w:rsid w:val="00192B6C"/>
    <w:pPr>
      <w:tabs>
        <w:tab w:val="num" w:pos="720"/>
      </w:tabs>
      <w:ind w:left="720" w:hanging="720"/>
      <w:contextualSpacing/>
    </w:pPr>
  </w:style>
  <w:style w:type="paragraph" w:customStyle="1" w:styleId="Punktlistanumrerad">
    <w:name w:val="Punktlista numrerad"/>
    <w:qFormat/>
    <w:rsid w:val="00BD58CD"/>
    <w:pPr>
      <w:numPr>
        <w:numId w:val="1"/>
      </w:numPr>
      <w:tabs>
        <w:tab w:val="left" w:pos="1349"/>
      </w:tabs>
      <w:overflowPunct w:val="0"/>
      <w:autoSpaceDE w:val="0"/>
      <w:autoSpaceDN w:val="0"/>
      <w:adjustRightInd w:val="0"/>
      <w:spacing w:after="80" w:line="288" w:lineRule="auto"/>
      <w:ind w:right="868"/>
      <w:contextualSpacing/>
      <w:textAlignment w:val="baseline"/>
    </w:pPr>
    <w:rPr>
      <w:sz w:val="24"/>
    </w:rPr>
  </w:style>
  <w:style w:type="character" w:styleId="AnvndHyperlnk">
    <w:name w:val="FollowedHyperlink"/>
    <w:basedOn w:val="Standardstycketeckensnitt"/>
    <w:uiPriority w:val="99"/>
    <w:semiHidden/>
    <w:unhideWhenUsed/>
    <w:rsid w:val="002367F4"/>
    <w:rPr>
      <w:color w:val="9EA2A2" w:themeColor="followedHyperlink"/>
      <w:u w:val="single"/>
    </w:rPr>
  </w:style>
  <w:style w:type="character" w:styleId="Olstomnmnande">
    <w:name w:val="Unresolved Mention"/>
    <w:basedOn w:val="Standardstycketeckensnitt"/>
    <w:uiPriority w:val="99"/>
    <w:semiHidden/>
    <w:unhideWhenUsed/>
    <w:rsid w:val="00100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svenskgastroenterologi.se/kunskap-dokument/kunskap/riktlinjer-och-rekommendationer" TargetMode="External" Id="rId17" /><Relationship Type="http://schemas.openxmlformats.org/officeDocument/2006/relationships/footer" Target="foot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Dok_med_omslag_sd_red</Template>
  <TotalTime>61</TotalTime>
  <Pages>5</Pages>
  <Words>891</Words>
  <Characters>6900</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7776</CharactersWithSpaces>
  <SharedDoc>false</SharedDoc>
  <HyperlinkBase/>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Ascitestappning (laparocentes), SÄS</dc:title>
  <dc:subject/>
  <dc:creator>patrik.jens.johansson@vgregion.se</dc:creator>
  <keywords/>
  <lastModifiedBy>Karin Åhlin</lastModifiedBy>
  <revision>22</revision>
  <lastPrinted>2016-03-31T10:56:00.0000000Z</lastPrinted>
  <dcterms:created xsi:type="dcterms:W3CDTF">2022-03-28T05:29:00.0000000Z</dcterms:created>
  <dcterms:modified xsi:type="dcterms:W3CDTF">2023-08-28T08:11:00.0000000Z</dcterms:modified>
</coreProperties>
</file>