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A6DED7" w14:textId="77777777" w:rsidR="004C2949" w:rsidRDefault="004C2949" w:rsidP="00F35B05">
      <w:pPr>
        <w:pStyle w:val="Heading2"/>
        <w:sectPr w:rsidR="004C2949" w:rsidSect="004C294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BFCC19" w14:textId="77777777" w:rsidR="004C2949" w:rsidRPr="004C2949" w:rsidRDefault="004C2949" w:rsidP="00AC5585">
      <w:pPr>
        <w:pStyle w:val="Heading1"/>
      </w:pPr>
      <w:bookmarkStart w:id="1" w:name="_Toc314219120"/>
      <w:r w:rsidRPr="004C2949">
        <w:t>Antibiotika till vuxna intravenöst i hemmet, SÄS</w:t>
      </w:r>
    </w:p>
    <w:p w14:paraId="1F05CDCD" w14:textId="77777777" w:rsidR="004C2949" w:rsidRPr="004C2949" w:rsidRDefault="004C2949" w:rsidP="00AC5585">
      <w:pPr>
        <w:pStyle w:val="Heading2"/>
      </w:pPr>
      <w:bookmarkStart w:id="2" w:name="_Toc256000000"/>
      <w:bookmarkStart w:id="3" w:name="_Toc256000005"/>
      <w:bookmarkStart w:id="4" w:name="_Toc526869220"/>
      <w:bookmarkStart w:id="5" w:name="_Toc256000003"/>
      <w:bookmarkStart w:id="6" w:name="_Toc256000027"/>
      <w:bookmarkStart w:id="7" w:name="_Toc51657514"/>
      <w:bookmarkStart w:id="8" w:name="_Toc53993522"/>
      <w:bookmarkStart w:id="9" w:name="_Toc54016560"/>
      <w:bookmarkStart w:id="10" w:name="_Toc256000002"/>
      <w:bookmarkStart w:id="11" w:name="_Toc176524944"/>
      <w:r w:rsidRPr="004C2949">
        <w:t>Sammanfattning</w:t>
      </w:r>
      <w:bookmarkEnd w:id="1"/>
      <w:bookmarkEnd w:id="2"/>
      <w:bookmarkEnd w:id="3"/>
      <w:bookmarkEnd w:id="4"/>
      <w:bookmarkEnd w:id="5"/>
      <w:bookmarkEnd w:id="6"/>
      <w:bookmarkEnd w:id="7"/>
      <w:bookmarkEnd w:id="8"/>
      <w:bookmarkEnd w:id="9"/>
      <w:bookmarkEnd w:id="10"/>
      <w:bookmarkEnd w:id="11"/>
    </w:p>
    <w:p w14:paraId="3CB4E88C" w14:textId="77777777" w:rsidR="004C2949" w:rsidRPr="004C2949" w:rsidRDefault="004C2949" w:rsidP="00AC5585">
      <w:pPr>
        <w:rPr>
          <w:rFonts w:ascii="Arial" w:hAnsi="Arial"/>
          <w:bCs/>
          <w:sz w:val="28"/>
        </w:rPr>
      </w:pPr>
      <w:r w:rsidRPr="004C2949">
        <w:t>Patienter kan ordineras antibiotika intravenöst (iv) i hemmet, efter bedömning och ordination av ansvarig läkare. Denna rutin tydliggör rutiner och ansvarsfördelning när iv antibiotika ska ges i hemmet.</w:t>
      </w:r>
    </w:p>
    <w:p w14:paraId="034A09BF" w14:textId="693FA7C3" w:rsidR="004C2949" w:rsidRDefault="00AC5585" w:rsidP="00AC5585">
      <w:pPr>
        <w:pStyle w:val="Heading2"/>
      </w:pPr>
      <w:bookmarkStart w:id="12" w:name="_Toc176524945"/>
      <w:r>
        <w:t>Förändringar sedan föregående version</w:t>
      </w:r>
      <w:bookmarkEnd w:id="12"/>
    </w:p>
    <w:p w14:paraId="62832CDB" w14:textId="6B8C2E90" w:rsidR="66F94488" w:rsidRDefault="03347797" w:rsidP="003A5506">
      <w:pPr>
        <w:pStyle w:val="ListBullet"/>
      </w:pPr>
      <w:r>
        <w:t xml:space="preserve">Tillägg under “Ansvar” att patienten ska ges möjlighet till delaktighet och ställa sig accepterande till att behandlingen ges i hemmet. </w:t>
      </w:r>
    </w:p>
    <w:p w14:paraId="1CDF5305" w14:textId="527B5B4C" w:rsidR="5E8870F0" w:rsidRDefault="003A5506" w:rsidP="003A5506">
      <w:pPr>
        <w:pStyle w:val="ListBullet"/>
      </w:pPr>
      <w:r>
        <w:t>T</w:t>
      </w:r>
      <w:r w:rsidR="5E8870F0">
        <w:t>illägg under “Uppföljning, fortsatt handläggning av akut läkemedelsreaktion” att varningstriangel ska skapas i Melior</w:t>
      </w:r>
      <w:r w:rsidR="0B5AAFF0">
        <w:t>/Millennium</w:t>
      </w:r>
      <w:r w:rsidR="5E8870F0">
        <w:t xml:space="preserve">. </w:t>
      </w:r>
    </w:p>
    <w:p w14:paraId="4A64916B" w14:textId="77777777" w:rsidR="004C2949" w:rsidRPr="00915104" w:rsidRDefault="004C2949" w:rsidP="00351D5C">
      <w:pPr>
        <w:spacing w:before="360" w:after="20"/>
        <w:rPr>
          <w:rFonts w:asciiTheme="majorHAnsi" w:hAnsiTheme="majorHAnsi" w:cstheme="majorHAnsi"/>
          <w:kern w:val="32"/>
          <w:sz w:val="28"/>
          <w:szCs w:val="28"/>
        </w:rPr>
      </w:pPr>
      <w:bookmarkStart w:id="13" w:name="_Toc51657515"/>
      <w:bookmarkStart w:id="14" w:name="_Toc53993523"/>
      <w:bookmarkStart w:id="15" w:name="_Toc54016561"/>
      <w:bookmarkStart w:id="16" w:name="_Toc256000007"/>
      <w:r w:rsidRPr="00915104">
        <w:rPr>
          <w:rFonts w:asciiTheme="majorHAnsi" w:hAnsiTheme="majorHAnsi" w:cstheme="majorHAnsi"/>
          <w:kern w:val="32"/>
          <w:sz w:val="28"/>
          <w:szCs w:val="28"/>
        </w:rPr>
        <w:t>Innehållsförteckning</w:t>
      </w:r>
      <w:bookmarkEnd w:id="13"/>
      <w:bookmarkEnd w:id="14"/>
      <w:bookmarkEnd w:id="15"/>
      <w:bookmarkEnd w:id="16"/>
    </w:p>
    <w:p w14:paraId="50D41AB9" w14:textId="630F97BE" w:rsidR="005A2F0E" w:rsidRDefault="00C80BC9">
      <w:pPr>
        <w:pStyle w:val="TOC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3;2;Rubrik 4;3" </w:instrText>
      </w:r>
      <w:r>
        <w:rPr>
          <w:rFonts w:ascii="Arial" w:hAnsi="Arial"/>
          <w:noProof/>
          <w:sz w:val="22"/>
          <w:szCs w:val="32"/>
        </w:rPr>
        <w:fldChar w:fldCharType="separate"/>
      </w:r>
      <w:hyperlink w:anchor="_Toc176524944" w:history="1">
        <w:r w:rsidR="005A2F0E" w:rsidRPr="00793472">
          <w:rPr>
            <w:rStyle w:val="Hyperlink"/>
            <w:rFonts w:eastAsia="MS Gothic"/>
            <w:noProof/>
          </w:rPr>
          <w:t>Sammanfattning</w:t>
        </w:r>
        <w:r w:rsidR="005A2F0E">
          <w:rPr>
            <w:noProof/>
            <w:webHidden/>
          </w:rPr>
          <w:tab/>
        </w:r>
        <w:r w:rsidR="005A2F0E">
          <w:rPr>
            <w:noProof/>
            <w:webHidden/>
          </w:rPr>
          <w:fldChar w:fldCharType="begin"/>
        </w:r>
        <w:r w:rsidR="005A2F0E">
          <w:rPr>
            <w:noProof/>
            <w:webHidden/>
          </w:rPr>
          <w:instrText xml:space="preserve"> PAGEREF _Toc176524944 \h </w:instrText>
        </w:r>
        <w:r w:rsidR="005A2F0E">
          <w:rPr>
            <w:noProof/>
            <w:webHidden/>
          </w:rPr>
        </w:r>
        <w:r w:rsidR="005A2F0E">
          <w:rPr>
            <w:noProof/>
            <w:webHidden/>
          </w:rPr>
          <w:fldChar w:fldCharType="separate"/>
        </w:r>
        <w:r w:rsidR="005A2F0E">
          <w:rPr>
            <w:noProof/>
            <w:webHidden/>
          </w:rPr>
          <w:t>1</w:t>
        </w:r>
        <w:r w:rsidR="005A2F0E">
          <w:rPr>
            <w:noProof/>
            <w:webHidden/>
          </w:rPr>
          <w:fldChar w:fldCharType="end"/>
        </w:r>
      </w:hyperlink>
    </w:p>
    <w:p w14:paraId="7411FBAD" w14:textId="063EE9BA" w:rsidR="005A2F0E" w:rsidRDefault="005A2F0E">
      <w:pPr>
        <w:pStyle w:val="TOC1"/>
        <w:rPr>
          <w:rFonts w:asciiTheme="minorHAnsi" w:eastAsiaTheme="minorEastAsia" w:hAnsiTheme="minorHAnsi" w:cstheme="minorBidi"/>
          <w:noProof/>
          <w:kern w:val="2"/>
          <w:sz w:val="22"/>
          <w:szCs w:val="22"/>
          <w14:ligatures w14:val="standardContextual"/>
        </w:rPr>
      </w:pPr>
      <w:hyperlink w:anchor="_Toc176524945" w:history="1">
        <w:r w:rsidRPr="00793472">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_Toc176524945 \h </w:instrText>
        </w:r>
        <w:r>
          <w:rPr>
            <w:noProof/>
            <w:webHidden/>
          </w:rPr>
        </w:r>
        <w:r>
          <w:rPr>
            <w:noProof/>
            <w:webHidden/>
          </w:rPr>
          <w:fldChar w:fldCharType="separate"/>
        </w:r>
        <w:r>
          <w:rPr>
            <w:noProof/>
            <w:webHidden/>
          </w:rPr>
          <w:t>1</w:t>
        </w:r>
        <w:r>
          <w:rPr>
            <w:noProof/>
            <w:webHidden/>
          </w:rPr>
          <w:fldChar w:fldCharType="end"/>
        </w:r>
      </w:hyperlink>
    </w:p>
    <w:p w14:paraId="70F11F32" w14:textId="6F87568D" w:rsidR="005A2F0E" w:rsidRDefault="005A2F0E">
      <w:pPr>
        <w:pStyle w:val="TOC1"/>
        <w:rPr>
          <w:rFonts w:asciiTheme="minorHAnsi" w:eastAsiaTheme="minorEastAsia" w:hAnsiTheme="minorHAnsi" w:cstheme="minorBidi"/>
          <w:noProof/>
          <w:kern w:val="2"/>
          <w:sz w:val="22"/>
          <w:szCs w:val="22"/>
          <w14:ligatures w14:val="standardContextual"/>
        </w:rPr>
      </w:pPr>
      <w:hyperlink w:anchor="_Toc176524946" w:history="1">
        <w:r w:rsidRPr="00793472">
          <w:rPr>
            <w:rStyle w:val="Hyperlink"/>
            <w:rFonts w:eastAsia="MS Gothic"/>
            <w:noProof/>
          </w:rPr>
          <w:t>Förutsättningar</w:t>
        </w:r>
        <w:r>
          <w:rPr>
            <w:noProof/>
            <w:webHidden/>
          </w:rPr>
          <w:tab/>
        </w:r>
        <w:r>
          <w:rPr>
            <w:noProof/>
            <w:webHidden/>
          </w:rPr>
          <w:fldChar w:fldCharType="begin"/>
        </w:r>
        <w:r>
          <w:rPr>
            <w:noProof/>
            <w:webHidden/>
          </w:rPr>
          <w:instrText xml:space="preserve"> PAGEREF _Toc176524946 \h </w:instrText>
        </w:r>
        <w:r>
          <w:rPr>
            <w:noProof/>
            <w:webHidden/>
          </w:rPr>
        </w:r>
        <w:r>
          <w:rPr>
            <w:noProof/>
            <w:webHidden/>
          </w:rPr>
          <w:fldChar w:fldCharType="separate"/>
        </w:r>
        <w:r>
          <w:rPr>
            <w:noProof/>
            <w:webHidden/>
          </w:rPr>
          <w:t>2</w:t>
        </w:r>
        <w:r>
          <w:rPr>
            <w:noProof/>
            <w:webHidden/>
          </w:rPr>
          <w:fldChar w:fldCharType="end"/>
        </w:r>
      </w:hyperlink>
    </w:p>
    <w:p w14:paraId="6D46AB09" w14:textId="57D2E29C"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47" w:history="1">
        <w:r w:rsidRPr="00793472">
          <w:rPr>
            <w:rStyle w:val="Hyperlink"/>
            <w:rFonts w:eastAsia="MS Gothic"/>
            <w:noProof/>
          </w:rPr>
          <w:t>Avgränsning</w:t>
        </w:r>
        <w:r>
          <w:rPr>
            <w:noProof/>
            <w:webHidden/>
          </w:rPr>
          <w:tab/>
        </w:r>
        <w:r>
          <w:rPr>
            <w:noProof/>
            <w:webHidden/>
          </w:rPr>
          <w:fldChar w:fldCharType="begin"/>
        </w:r>
        <w:r>
          <w:rPr>
            <w:noProof/>
            <w:webHidden/>
          </w:rPr>
          <w:instrText xml:space="preserve"> PAGEREF _Toc176524947 \h </w:instrText>
        </w:r>
        <w:r>
          <w:rPr>
            <w:noProof/>
            <w:webHidden/>
          </w:rPr>
        </w:r>
        <w:r>
          <w:rPr>
            <w:noProof/>
            <w:webHidden/>
          </w:rPr>
          <w:fldChar w:fldCharType="separate"/>
        </w:r>
        <w:r>
          <w:rPr>
            <w:noProof/>
            <w:webHidden/>
          </w:rPr>
          <w:t>2</w:t>
        </w:r>
        <w:r>
          <w:rPr>
            <w:noProof/>
            <w:webHidden/>
          </w:rPr>
          <w:fldChar w:fldCharType="end"/>
        </w:r>
      </w:hyperlink>
    </w:p>
    <w:p w14:paraId="4B1C6B6F" w14:textId="1DE4131B"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48" w:history="1">
        <w:r w:rsidRPr="00793472">
          <w:rPr>
            <w:rStyle w:val="Hyperlink"/>
            <w:rFonts w:eastAsia="MS Gothic"/>
            <w:noProof/>
          </w:rPr>
          <w:t>Ansvar</w:t>
        </w:r>
        <w:r>
          <w:rPr>
            <w:noProof/>
            <w:webHidden/>
          </w:rPr>
          <w:tab/>
        </w:r>
        <w:r>
          <w:rPr>
            <w:noProof/>
            <w:webHidden/>
          </w:rPr>
          <w:fldChar w:fldCharType="begin"/>
        </w:r>
        <w:r>
          <w:rPr>
            <w:noProof/>
            <w:webHidden/>
          </w:rPr>
          <w:instrText xml:space="preserve"> PAGEREF _Toc176524948 \h </w:instrText>
        </w:r>
        <w:r>
          <w:rPr>
            <w:noProof/>
            <w:webHidden/>
          </w:rPr>
        </w:r>
        <w:r>
          <w:rPr>
            <w:noProof/>
            <w:webHidden/>
          </w:rPr>
          <w:fldChar w:fldCharType="separate"/>
        </w:r>
        <w:r>
          <w:rPr>
            <w:noProof/>
            <w:webHidden/>
          </w:rPr>
          <w:t>2</w:t>
        </w:r>
        <w:r>
          <w:rPr>
            <w:noProof/>
            <w:webHidden/>
          </w:rPr>
          <w:fldChar w:fldCharType="end"/>
        </w:r>
      </w:hyperlink>
    </w:p>
    <w:p w14:paraId="1C526236" w14:textId="2625F207" w:rsidR="005A2F0E" w:rsidRDefault="005A2F0E">
      <w:pPr>
        <w:pStyle w:val="TOC1"/>
        <w:rPr>
          <w:rFonts w:asciiTheme="minorHAnsi" w:eastAsiaTheme="minorEastAsia" w:hAnsiTheme="minorHAnsi" w:cstheme="minorBidi"/>
          <w:noProof/>
          <w:kern w:val="2"/>
          <w:sz w:val="22"/>
          <w:szCs w:val="22"/>
          <w14:ligatures w14:val="standardContextual"/>
        </w:rPr>
      </w:pPr>
      <w:hyperlink w:anchor="_Toc176524949" w:history="1">
        <w:r w:rsidRPr="00793472">
          <w:rPr>
            <w:rStyle w:val="Hyperlink"/>
            <w:rFonts w:eastAsia="MS Gothic"/>
            <w:noProof/>
          </w:rPr>
          <w:t>Genomförande</w:t>
        </w:r>
        <w:r>
          <w:rPr>
            <w:noProof/>
            <w:webHidden/>
          </w:rPr>
          <w:tab/>
        </w:r>
        <w:r>
          <w:rPr>
            <w:noProof/>
            <w:webHidden/>
          </w:rPr>
          <w:fldChar w:fldCharType="begin"/>
        </w:r>
        <w:r>
          <w:rPr>
            <w:noProof/>
            <w:webHidden/>
          </w:rPr>
          <w:instrText xml:space="preserve"> PAGEREF _Toc176524949 \h </w:instrText>
        </w:r>
        <w:r>
          <w:rPr>
            <w:noProof/>
            <w:webHidden/>
          </w:rPr>
        </w:r>
        <w:r>
          <w:rPr>
            <w:noProof/>
            <w:webHidden/>
          </w:rPr>
          <w:fldChar w:fldCharType="separate"/>
        </w:r>
        <w:r>
          <w:rPr>
            <w:noProof/>
            <w:webHidden/>
          </w:rPr>
          <w:t>2</w:t>
        </w:r>
        <w:r>
          <w:rPr>
            <w:noProof/>
            <w:webHidden/>
          </w:rPr>
          <w:fldChar w:fldCharType="end"/>
        </w:r>
      </w:hyperlink>
    </w:p>
    <w:p w14:paraId="1F8E5FC6" w14:textId="21EE5EAE"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50" w:history="1">
        <w:r w:rsidRPr="00793472">
          <w:rPr>
            <w:rStyle w:val="Hyperlink"/>
            <w:rFonts w:eastAsia="MS Gothic"/>
            <w:noProof/>
          </w:rPr>
          <w:t>Intravenös antibiotika via hembesök från SÄS eller via hemsjukvård</w:t>
        </w:r>
        <w:r>
          <w:rPr>
            <w:noProof/>
            <w:webHidden/>
          </w:rPr>
          <w:tab/>
        </w:r>
        <w:r>
          <w:rPr>
            <w:noProof/>
            <w:webHidden/>
          </w:rPr>
          <w:fldChar w:fldCharType="begin"/>
        </w:r>
        <w:r>
          <w:rPr>
            <w:noProof/>
            <w:webHidden/>
          </w:rPr>
          <w:instrText xml:space="preserve"> PAGEREF _Toc176524950 \h </w:instrText>
        </w:r>
        <w:r>
          <w:rPr>
            <w:noProof/>
            <w:webHidden/>
          </w:rPr>
        </w:r>
        <w:r>
          <w:rPr>
            <w:noProof/>
            <w:webHidden/>
          </w:rPr>
          <w:fldChar w:fldCharType="separate"/>
        </w:r>
        <w:r>
          <w:rPr>
            <w:noProof/>
            <w:webHidden/>
          </w:rPr>
          <w:t>2</w:t>
        </w:r>
        <w:r>
          <w:rPr>
            <w:noProof/>
            <w:webHidden/>
          </w:rPr>
          <w:fldChar w:fldCharType="end"/>
        </w:r>
      </w:hyperlink>
    </w:p>
    <w:p w14:paraId="33FD0493" w14:textId="04EC4B94"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51" w:history="1">
        <w:r w:rsidRPr="00793472">
          <w:rPr>
            <w:rStyle w:val="Hyperlink"/>
            <w:rFonts w:eastAsia="MS Gothic"/>
            <w:noProof/>
          </w:rPr>
          <w:t>Läkemedelsförsörjning till patient i hemmet</w:t>
        </w:r>
        <w:r>
          <w:rPr>
            <w:noProof/>
            <w:webHidden/>
          </w:rPr>
          <w:tab/>
        </w:r>
        <w:r>
          <w:rPr>
            <w:noProof/>
            <w:webHidden/>
          </w:rPr>
          <w:fldChar w:fldCharType="begin"/>
        </w:r>
        <w:r>
          <w:rPr>
            <w:noProof/>
            <w:webHidden/>
          </w:rPr>
          <w:instrText xml:space="preserve"> PAGEREF _Toc176524951 \h </w:instrText>
        </w:r>
        <w:r>
          <w:rPr>
            <w:noProof/>
            <w:webHidden/>
          </w:rPr>
        </w:r>
        <w:r>
          <w:rPr>
            <w:noProof/>
            <w:webHidden/>
          </w:rPr>
          <w:fldChar w:fldCharType="separate"/>
        </w:r>
        <w:r>
          <w:rPr>
            <w:noProof/>
            <w:webHidden/>
          </w:rPr>
          <w:t>3</w:t>
        </w:r>
        <w:r>
          <w:rPr>
            <w:noProof/>
            <w:webHidden/>
          </w:rPr>
          <w:fldChar w:fldCharType="end"/>
        </w:r>
      </w:hyperlink>
    </w:p>
    <w:p w14:paraId="0CA5467C" w14:textId="5CFD8575"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52" w:history="1">
        <w:r w:rsidRPr="00793472">
          <w:rPr>
            <w:rStyle w:val="Hyperlink"/>
            <w:rFonts w:eastAsia="MS Gothic"/>
            <w:noProof/>
          </w:rPr>
          <w:t>Komplikationer</w:t>
        </w:r>
        <w:r>
          <w:rPr>
            <w:noProof/>
            <w:webHidden/>
          </w:rPr>
          <w:tab/>
        </w:r>
        <w:r>
          <w:rPr>
            <w:noProof/>
            <w:webHidden/>
          </w:rPr>
          <w:fldChar w:fldCharType="begin"/>
        </w:r>
        <w:r>
          <w:rPr>
            <w:noProof/>
            <w:webHidden/>
          </w:rPr>
          <w:instrText xml:space="preserve"> PAGEREF _Toc176524952 \h </w:instrText>
        </w:r>
        <w:r>
          <w:rPr>
            <w:noProof/>
            <w:webHidden/>
          </w:rPr>
        </w:r>
        <w:r>
          <w:rPr>
            <w:noProof/>
            <w:webHidden/>
          </w:rPr>
          <w:fldChar w:fldCharType="separate"/>
        </w:r>
        <w:r>
          <w:rPr>
            <w:noProof/>
            <w:webHidden/>
          </w:rPr>
          <w:t>3</w:t>
        </w:r>
        <w:r>
          <w:rPr>
            <w:noProof/>
            <w:webHidden/>
          </w:rPr>
          <w:fldChar w:fldCharType="end"/>
        </w:r>
      </w:hyperlink>
    </w:p>
    <w:p w14:paraId="3B8DB6AC" w14:textId="171AC008" w:rsidR="005A2F0E" w:rsidRDefault="005A2F0E">
      <w:pPr>
        <w:pStyle w:val="TOC2"/>
        <w:rPr>
          <w:rFonts w:asciiTheme="minorHAnsi" w:eastAsiaTheme="minorEastAsia" w:hAnsiTheme="minorHAnsi" w:cstheme="minorBidi"/>
          <w:noProof/>
          <w:kern w:val="2"/>
          <w:sz w:val="22"/>
          <w:szCs w:val="22"/>
          <w14:ligatures w14:val="standardContextual"/>
        </w:rPr>
      </w:pPr>
      <w:hyperlink w:anchor="_Toc176524953" w:history="1">
        <w:r w:rsidRPr="00793472">
          <w:rPr>
            <w:rStyle w:val="Hyperlink"/>
            <w:rFonts w:eastAsia="MS Gothic"/>
            <w:noProof/>
          </w:rPr>
          <w:t>Uppföljning</w:t>
        </w:r>
        <w:r>
          <w:rPr>
            <w:noProof/>
            <w:webHidden/>
          </w:rPr>
          <w:tab/>
        </w:r>
        <w:r>
          <w:rPr>
            <w:noProof/>
            <w:webHidden/>
          </w:rPr>
          <w:fldChar w:fldCharType="begin"/>
        </w:r>
        <w:r>
          <w:rPr>
            <w:noProof/>
            <w:webHidden/>
          </w:rPr>
          <w:instrText xml:space="preserve"> PAGEREF _Toc176524953 \h </w:instrText>
        </w:r>
        <w:r>
          <w:rPr>
            <w:noProof/>
            <w:webHidden/>
          </w:rPr>
        </w:r>
        <w:r>
          <w:rPr>
            <w:noProof/>
            <w:webHidden/>
          </w:rPr>
          <w:fldChar w:fldCharType="separate"/>
        </w:r>
        <w:r>
          <w:rPr>
            <w:noProof/>
            <w:webHidden/>
          </w:rPr>
          <w:t>4</w:t>
        </w:r>
        <w:r>
          <w:rPr>
            <w:noProof/>
            <w:webHidden/>
          </w:rPr>
          <w:fldChar w:fldCharType="end"/>
        </w:r>
      </w:hyperlink>
    </w:p>
    <w:p w14:paraId="46A5C418" w14:textId="37284C2B" w:rsidR="005A2F0E" w:rsidRDefault="005A2F0E">
      <w:pPr>
        <w:pStyle w:val="TOC1"/>
        <w:rPr>
          <w:rFonts w:asciiTheme="minorHAnsi" w:eastAsiaTheme="minorEastAsia" w:hAnsiTheme="minorHAnsi" w:cstheme="minorBidi"/>
          <w:noProof/>
          <w:kern w:val="2"/>
          <w:sz w:val="22"/>
          <w:szCs w:val="22"/>
          <w14:ligatures w14:val="standardContextual"/>
        </w:rPr>
      </w:pPr>
      <w:hyperlink w:anchor="_Toc176524954" w:history="1">
        <w:r w:rsidRPr="00793472">
          <w:rPr>
            <w:rStyle w:val="Hyperlink"/>
            <w:rFonts w:eastAsia="MS Gothic"/>
            <w:noProof/>
          </w:rPr>
          <w:t>Dokumentinformation</w:t>
        </w:r>
        <w:r>
          <w:rPr>
            <w:noProof/>
            <w:webHidden/>
          </w:rPr>
          <w:tab/>
        </w:r>
        <w:r>
          <w:rPr>
            <w:noProof/>
            <w:webHidden/>
          </w:rPr>
          <w:fldChar w:fldCharType="begin"/>
        </w:r>
        <w:r>
          <w:rPr>
            <w:noProof/>
            <w:webHidden/>
          </w:rPr>
          <w:instrText xml:space="preserve"> PAGEREF _Toc176524954 \h </w:instrText>
        </w:r>
        <w:r>
          <w:rPr>
            <w:noProof/>
            <w:webHidden/>
          </w:rPr>
        </w:r>
        <w:r>
          <w:rPr>
            <w:noProof/>
            <w:webHidden/>
          </w:rPr>
          <w:fldChar w:fldCharType="separate"/>
        </w:r>
        <w:r>
          <w:rPr>
            <w:noProof/>
            <w:webHidden/>
          </w:rPr>
          <w:t>5</w:t>
        </w:r>
        <w:r>
          <w:rPr>
            <w:noProof/>
            <w:webHidden/>
          </w:rPr>
          <w:fldChar w:fldCharType="end"/>
        </w:r>
      </w:hyperlink>
    </w:p>
    <w:p w14:paraId="60609DDD" w14:textId="369DFCA2" w:rsidR="005A2F0E" w:rsidRDefault="005A2F0E">
      <w:pPr>
        <w:pStyle w:val="TOC1"/>
        <w:rPr>
          <w:rFonts w:asciiTheme="minorHAnsi" w:eastAsiaTheme="minorEastAsia" w:hAnsiTheme="minorHAnsi" w:cstheme="minorBidi"/>
          <w:noProof/>
          <w:kern w:val="2"/>
          <w:sz w:val="22"/>
          <w:szCs w:val="22"/>
          <w14:ligatures w14:val="standardContextual"/>
        </w:rPr>
      </w:pPr>
      <w:hyperlink w:anchor="_Toc176524955" w:history="1">
        <w:r w:rsidRPr="00793472">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_Toc176524955 \h </w:instrText>
        </w:r>
        <w:r>
          <w:rPr>
            <w:noProof/>
            <w:webHidden/>
          </w:rPr>
        </w:r>
        <w:r>
          <w:rPr>
            <w:noProof/>
            <w:webHidden/>
          </w:rPr>
          <w:fldChar w:fldCharType="separate"/>
        </w:r>
        <w:r>
          <w:rPr>
            <w:noProof/>
            <w:webHidden/>
          </w:rPr>
          <w:t>5</w:t>
        </w:r>
        <w:r>
          <w:rPr>
            <w:noProof/>
            <w:webHidden/>
          </w:rPr>
          <w:fldChar w:fldCharType="end"/>
        </w:r>
      </w:hyperlink>
    </w:p>
    <w:p w14:paraId="71776104" w14:textId="50DF17AB" w:rsidR="004C2949" w:rsidRPr="004C2949" w:rsidRDefault="00C80BC9" w:rsidP="00FC1289">
      <w:pPr>
        <w:pStyle w:val="Heading2"/>
      </w:pPr>
      <w:r>
        <w:rPr>
          <w:rFonts w:ascii="Arial" w:hAnsi="Arial"/>
          <w:noProof/>
          <w:sz w:val="22"/>
          <w:szCs w:val="32"/>
          <w:u w:val="single"/>
        </w:rPr>
        <w:fldChar w:fldCharType="end"/>
      </w:r>
      <w:bookmarkStart w:id="17" w:name="_Toc314219121"/>
      <w:bookmarkStart w:id="18" w:name="_Toc256000001"/>
      <w:bookmarkStart w:id="19" w:name="_Toc256000006"/>
      <w:bookmarkStart w:id="20" w:name="_Toc526869221"/>
      <w:bookmarkStart w:id="21" w:name="_Toc256000008"/>
      <w:bookmarkStart w:id="22" w:name="_Toc256000028"/>
      <w:bookmarkStart w:id="23" w:name="_Toc51657516"/>
      <w:bookmarkStart w:id="24" w:name="_Toc53993524"/>
      <w:bookmarkStart w:id="25" w:name="_Toc54016562"/>
      <w:bookmarkStart w:id="26" w:name="_Toc256000012"/>
      <w:bookmarkStart w:id="27" w:name="_Toc176524946"/>
      <w:r w:rsidR="004C2949" w:rsidRPr="004C2949">
        <w:t>Förutsättningar</w:t>
      </w:r>
      <w:bookmarkEnd w:id="17"/>
      <w:bookmarkEnd w:id="18"/>
      <w:bookmarkEnd w:id="19"/>
      <w:bookmarkEnd w:id="20"/>
      <w:bookmarkEnd w:id="21"/>
      <w:bookmarkEnd w:id="22"/>
      <w:bookmarkEnd w:id="23"/>
      <w:bookmarkEnd w:id="24"/>
      <w:bookmarkEnd w:id="25"/>
      <w:bookmarkEnd w:id="26"/>
      <w:bookmarkEnd w:id="27"/>
    </w:p>
    <w:p w14:paraId="0BD1C14E" w14:textId="77777777" w:rsidR="004C2949" w:rsidRPr="004C2949" w:rsidRDefault="004C2949" w:rsidP="00FC1289">
      <w:pPr>
        <w:pStyle w:val="Heading3"/>
        <w:spacing w:before="120"/>
      </w:pPr>
      <w:bookmarkStart w:id="28" w:name="_Toc526869222"/>
      <w:bookmarkStart w:id="29" w:name="_Toc256000010"/>
      <w:bookmarkStart w:id="30" w:name="_Toc256000029"/>
      <w:bookmarkStart w:id="31" w:name="_Toc51657517"/>
      <w:bookmarkStart w:id="32" w:name="_Toc53993525"/>
      <w:bookmarkStart w:id="33" w:name="_Toc54016563"/>
      <w:bookmarkStart w:id="34" w:name="_Toc256000013"/>
      <w:bookmarkStart w:id="35" w:name="_Toc176524947"/>
      <w:r w:rsidRPr="004C2949">
        <w:t>Avgränsning</w:t>
      </w:r>
      <w:bookmarkEnd w:id="28"/>
      <w:bookmarkEnd w:id="29"/>
      <w:bookmarkEnd w:id="30"/>
      <w:bookmarkEnd w:id="31"/>
      <w:bookmarkEnd w:id="32"/>
      <w:bookmarkEnd w:id="33"/>
      <w:bookmarkEnd w:id="34"/>
      <w:bookmarkEnd w:id="35"/>
    </w:p>
    <w:p w14:paraId="08F181B7" w14:textId="77777777" w:rsidR="004C2949" w:rsidRPr="004C2949" w:rsidRDefault="004C2949" w:rsidP="00FC1289">
      <w:pPr>
        <w:keepNext/>
        <w:keepLines/>
      </w:pPr>
      <w:r w:rsidRPr="004C2949">
        <w:t xml:space="preserve">Rutinen gäller de enheter på SÄS som kan komma att ansvara för/utföra dessa vårdinsatser i patientens hemmiljö. </w:t>
      </w:r>
    </w:p>
    <w:p w14:paraId="3409FBAF" w14:textId="77777777" w:rsidR="004C2949" w:rsidRPr="004C2949" w:rsidRDefault="004C2949" w:rsidP="00AC5585">
      <w:pPr>
        <w:pStyle w:val="Heading3"/>
      </w:pPr>
      <w:bookmarkStart w:id="36" w:name="_Toc526869223"/>
      <w:bookmarkStart w:id="37" w:name="_Toc256000011"/>
      <w:bookmarkStart w:id="38" w:name="_Toc256000030"/>
      <w:bookmarkStart w:id="39" w:name="_Toc51657518"/>
      <w:bookmarkStart w:id="40" w:name="_Toc53993526"/>
      <w:bookmarkStart w:id="41" w:name="_Toc54016564"/>
      <w:bookmarkStart w:id="42" w:name="_Toc256000014"/>
      <w:bookmarkStart w:id="43" w:name="_Toc176524948"/>
      <w:r w:rsidRPr="004C2949">
        <w:t>Ansvar</w:t>
      </w:r>
      <w:bookmarkEnd w:id="36"/>
      <w:bookmarkEnd w:id="37"/>
      <w:bookmarkEnd w:id="38"/>
      <w:bookmarkEnd w:id="39"/>
      <w:bookmarkEnd w:id="40"/>
      <w:bookmarkEnd w:id="41"/>
      <w:bookmarkEnd w:id="42"/>
      <w:bookmarkEnd w:id="43"/>
    </w:p>
    <w:p w14:paraId="7E0936DF" w14:textId="79133994" w:rsidR="004C2949" w:rsidRPr="004C2949" w:rsidRDefault="004C2949" w:rsidP="4E576371">
      <w:bookmarkStart w:id="44" w:name="_Toc41651039"/>
      <w:bookmarkStart w:id="45" w:name="_Toc41656991"/>
      <w:r>
        <w:t>Rutinen gäller behandlingar som i regel ges inom specialistsjukvården. Vid övervägande att istället ge detta utanför sjukhus ska man beakta nytta-/riskförhållande.</w:t>
      </w:r>
      <w:r w:rsidR="0470B3C8" w:rsidRPr="761D6F2B">
        <w:rPr>
          <w:color w:val="000000" w:themeColor="text2"/>
        </w:rPr>
        <w:t xml:space="preserve"> Patienten ska ges möjlighet till delaktighet och ställa sig accepterande till beslutet att få behandlingen i hemmet.</w:t>
      </w:r>
      <w:r>
        <w:t xml:space="preserve"> Komplicerande faktorer kan utgöras av exempelvis sjukdomstillstånd och behov av övervakning, läkemedel där koncentrationsbestämning följs tätt, kognitiv svikt eller risk för missbruk/misskötsel av kvarliggande PVK.</w:t>
      </w:r>
      <w:bookmarkEnd w:id="44"/>
      <w:bookmarkEnd w:id="45"/>
    </w:p>
    <w:p w14:paraId="428B0219" w14:textId="77777777" w:rsidR="004C2949" w:rsidRPr="004C2949" w:rsidRDefault="004C2949" w:rsidP="00AC5585">
      <w:bookmarkStart w:id="46" w:name="_Toc41651040"/>
      <w:bookmarkStart w:id="47" w:name="_Toc41656992"/>
      <w:r w:rsidRPr="004C2949">
        <w:t>Man bör också försäkra sig om en god kommunikation med hemsjukvården i de fall patienten är inskriven i sådan verksamhet.</w:t>
      </w:r>
      <w:bookmarkEnd w:id="46"/>
      <w:bookmarkEnd w:id="47"/>
    </w:p>
    <w:p w14:paraId="69DC40F0" w14:textId="77777777" w:rsidR="004C2949" w:rsidRPr="004C2949" w:rsidRDefault="004C2949" w:rsidP="00AC5585">
      <w:pPr>
        <w:pStyle w:val="Heading2"/>
      </w:pPr>
      <w:bookmarkStart w:id="48" w:name="_Toc51657519"/>
      <w:bookmarkStart w:id="49" w:name="_Toc53993527"/>
      <w:bookmarkStart w:id="50" w:name="_Toc54016565"/>
      <w:bookmarkStart w:id="51" w:name="_Toc256000015"/>
      <w:bookmarkStart w:id="52" w:name="_Toc176524949"/>
      <w:r w:rsidRPr="004C2949">
        <w:t>Genomförande</w:t>
      </w:r>
      <w:bookmarkEnd w:id="48"/>
      <w:bookmarkEnd w:id="49"/>
      <w:bookmarkEnd w:id="50"/>
      <w:bookmarkEnd w:id="51"/>
      <w:bookmarkEnd w:id="52"/>
    </w:p>
    <w:p w14:paraId="41B41872" w14:textId="77777777" w:rsidR="004C2949" w:rsidRPr="004C2949" w:rsidRDefault="004C2949" w:rsidP="00C80BC9">
      <w:pPr>
        <w:pStyle w:val="Heading3"/>
        <w:spacing w:before="120"/>
      </w:pPr>
      <w:bookmarkStart w:id="53" w:name="_Toc51657520"/>
      <w:bookmarkStart w:id="54" w:name="_Toc53993528"/>
      <w:bookmarkStart w:id="55" w:name="_Toc54016566"/>
      <w:bookmarkStart w:id="56" w:name="_Toc256000016"/>
      <w:bookmarkStart w:id="57" w:name="_Toc176524950"/>
      <w:r w:rsidRPr="004C2949">
        <w:t>Intravenös antibiotika via hembesök från SÄS eller via hemsjukvård</w:t>
      </w:r>
      <w:bookmarkEnd w:id="53"/>
      <w:bookmarkEnd w:id="54"/>
      <w:bookmarkEnd w:id="55"/>
      <w:bookmarkEnd w:id="56"/>
      <w:bookmarkEnd w:id="57"/>
    </w:p>
    <w:p w14:paraId="351A9E6A" w14:textId="4BBED8D3" w:rsidR="004C2949" w:rsidRPr="004C2949" w:rsidRDefault="004C2949" w:rsidP="00AC5585">
      <w:bookmarkStart w:id="58" w:name="_Toc41651042"/>
      <w:bookmarkStart w:id="59" w:name="_Toc41656994"/>
      <w:r w:rsidRPr="004C2949">
        <w:t>Injektion/infusion sker efter ordination samt dokumenterat beslut av läkare att behandlingen kan ges i hemmet. Patienten och/eller patientens företrädare ska informeras angående biverkningsrisk samt skötsel av/komplikationer från kvarliggande infart. Även om SÄS sköter administreringen i hemmet ska eventuell hemsjukvård informeras då de har det övergripande ansvaret för patientens vård</w:t>
      </w:r>
      <w:bookmarkEnd w:id="58"/>
      <w:bookmarkEnd w:id="59"/>
      <w:r w:rsidRPr="004C2949">
        <w:t>, och kan komma att bli kontaktade av patienten i efterförloppet angående biverkningar/komplikationer.</w:t>
      </w:r>
    </w:p>
    <w:p w14:paraId="593C098B" w14:textId="77777777" w:rsidR="004C2949" w:rsidRPr="004C2949" w:rsidRDefault="004C2949" w:rsidP="00AC5585">
      <w:r w:rsidRPr="004C2949">
        <w:t>Om administreringen ska utföras av hemsjukvården ska de kontaktas och gemensam planering läggas upp.</w:t>
      </w:r>
    </w:p>
    <w:p w14:paraId="6F470CCF" w14:textId="77777777" w:rsidR="004C2949" w:rsidRPr="004C2949" w:rsidRDefault="004C2949" w:rsidP="00AC5585">
      <w:r w:rsidRPr="004C2949">
        <w:t>Ansvarig verksamhet vid SÄS tillhandahåller:</w:t>
      </w:r>
    </w:p>
    <w:p w14:paraId="13C34FF2" w14:textId="53C60B03" w:rsidR="004C2949" w:rsidRPr="004C2949" w:rsidRDefault="004C2949" w:rsidP="00AC5585">
      <w:pPr>
        <w:pStyle w:val="ListBullet"/>
      </w:pPr>
      <w:r>
        <w:t>Skriftlig ordination i läkemedelslista i Melior</w:t>
      </w:r>
      <w:r w:rsidR="42B84140">
        <w:t>/Millenium</w:t>
      </w:r>
      <w:r>
        <w:t xml:space="preserve"> samt Pascal, i de fall patienten har dosexpedition.</w:t>
      </w:r>
    </w:p>
    <w:p w14:paraId="46DEBC5F" w14:textId="1505D125" w:rsidR="004C2949" w:rsidRPr="004C2949" w:rsidRDefault="004C2949" w:rsidP="00AC5585">
      <w:pPr>
        <w:pStyle w:val="ListBullet"/>
      </w:pPr>
      <w:r w:rsidRPr="004C2949">
        <w:t xml:space="preserve">Läkemedel (se rubrik </w:t>
      </w:r>
      <w:hyperlink w:anchor="_Läkemedelsförsörjning_till_patient" w:history="1">
        <w:r w:rsidRPr="00FC1289">
          <w:rPr>
            <w:rStyle w:val="Hyperlink"/>
          </w:rPr>
          <w:t>Läkemedelsförsörjning till patient i hemmet</w:t>
        </w:r>
      </w:hyperlink>
      <w:r w:rsidRPr="004C2949">
        <w:t>) inklusive material för iordningställande och administrering.</w:t>
      </w:r>
    </w:p>
    <w:p w14:paraId="69ED70F6" w14:textId="77777777" w:rsidR="004C2949" w:rsidRPr="004C2949" w:rsidRDefault="004C2949" w:rsidP="00AC5585">
      <w:pPr>
        <w:pStyle w:val="ListBullet"/>
      </w:pPr>
      <w:r w:rsidRPr="004C2949">
        <w:t>Kontaktuppgifter till ansvarig verksamhet.</w:t>
      </w:r>
    </w:p>
    <w:p w14:paraId="55136F26" w14:textId="77777777" w:rsidR="004C2949" w:rsidRPr="004C2949" w:rsidRDefault="004C2949" w:rsidP="00AC5585">
      <w:pPr>
        <w:pStyle w:val="ListBullet"/>
      </w:pPr>
      <w:r w:rsidRPr="004C2949">
        <w:t>Tydlig planering över när och hur uppföljning av sjukdomstillstånd/behandling ska ske.</w:t>
      </w:r>
    </w:p>
    <w:p w14:paraId="659BE037" w14:textId="77777777" w:rsidR="004C2949" w:rsidRPr="004C2949" w:rsidRDefault="004C2949" w:rsidP="008D6D98">
      <w:pPr>
        <w:pStyle w:val="Heading3"/>
      </w:pPr>
      <w:bookmarkStart w:id="60" w:name="_Läkemedelsförsörjning_till_patient"/>
      <w:bookmarkStart w:id="61" w:name="_Toc51657521"/>
      <w:bookmarkStart w:id="62" w:name="_Toc53993529"/>
      <w:bookmarkStart w:id="63" w:name="_Toc54016567"/>
      <w:bookmarkStart w:id="64" w:name="_Toc256000017"/>
      <w:bookmarkStart w:id="65" w:name="_Toc176524951"/>
      <w:bookmarkEnd w:id="60"/>
      <w:r w:rsidRPr="004C2949">
        <w:t>Läkemedelsförsörjning till patient i hemmet</w:t>
      </w:r>
      <w:bookmarkEnd w:id="61"/>
      <w:bookmarkEnd w:id="62"/>
      <w:bookmarkEnd w:id="63"/>
      <w:bookmarkEnd w:id="64"/>
      <w:bookmarkEnd w:id="65"/>
    </w:p>
    <w:p w14:paraId="27F58EE6" w14:textId="77777777" w:rsidR="004C2949" w:rsidRPr="004C2949" w:rsidRDefault="004C2949" w:rsidP="008D6D98">
      <w:r w:rsidRPr="004C2949">
        <w:t>Recept är förstahandsalternativet när man ska förse patienter i hemmet med läkemedel såsom antibiotika. Ibland är dock omständigheterna sådana att hela kurens doser tas ur kommunalt akutläkemedelsförråd (KAF) eller lämnas ut från sjukhuset, exempelvis vid så kort behandlingstid att receptet inte kommer hinna expedieras eller kommer leda till en icke försvarbar kassation av stor mängd antibiotika.</w:t>
      </w:r>
    </w:p>
    <w:p w14:paraId="1277DD22" w14:textId="61D6341B" w:rsidR="004C2949" w:rsidRPr="004C2949" w:rsidRDefault="004C2949" w:rsidP="008D6D98">
      <w:r>
        <w:t>Antibiotika för parenteralt bruk ingår i regel aldrig (sällan) i läkemedelsförmånen. För att patienten ska undkomma kostnad förskrivs recept med debitering till SÄS, enligt rutin ”</w:t>
      </w:r>
      <w:hyperlink r:id="rId17">
        <w:r w:rsidRPr="761D6F2B">
          <w:rPr>
            <w:rStyle w:val="Hyperlink"/>
          </w:rPr>
          <w:t>Läkemedel utan förmån, hantering på SÄS</w:t>
        </w:r>
      </w:hyperlink>
      <w:r>
        <w:t xml:space="preserve">” [1]. </w:t>
      </w:r>
      <w:r w:rsidRPr="761D6F2B">
        <w:rPr>
          <w:b/>
          <w:bCs/>
        </w:rPr>
        <w:t>Välj apotekskedja i samråd med patient/</w:t>
      </w:r>
      <w:r>
        <w:br/>
      </w:r>
      <w:r w:rsidRPr="761D6F2B">
        <w:rPr>
          <w:b/>
          <w:bCs/>
        </w:rPr>
        <w:t>hemsjukvård</w:t>
      </w:r>
      <w:r w:rsidR="49D3F5C6" w:rsidRPr="761D6F2B">
        <w:rPr>
          <w:b/>
          <w:bCs/>
        </w:rPr>
        <w:t xml:space="preserve"> alternativt skriv in samtliga kundnummer på receptet</w:t>
      </w:r>
      <w:r w:rsidR="5B233402" w:rsidRPr="761D6F2B">
        <w:rPr>
          <w:b/>
          <w:bCs/>
        </w:rPr>
        <w:t>!</w:t>
      </w:r>
      <w:r>
        <w:t xml:space="preserve"> Dessa läkemedel finns sällan i lager på öppenvårdsapotek, vilket kan leda till fördröjning i expeditionen.</w:t>
      </w:r>
    </w:p>
    <w:p w14:paraId="1B6B1115" w14:textId="77777777" w:rsidR="004C2949" w:rsidRPr="004C2949" w:rsidRDefault="004C2949" w:rsidP="008D6D98">
      <w:r w:rsidRPr="004C2949">
        <w:t>Läkemedel tillhandahålls patient enligt nedan:</w:t>
      </w:r>
    </w:p>
    <w:p w14:paraId="757B2127" w14:textId="51AD0A74" w:rsidR="004C2949" w:rsidRPr="004C2949" w:rsidRDefault="004C2949" w:rsidP="00DC38BD">
      <w:pPr>
        <w:pStyle w:val="ListBullet"/>
      </w:pPr>
      <w:r w:rsidRPr="004C2949">
        <w:t xml:space="preserve">Är patienten inskriven i hemsjukvården tas läkemedlet och eventuell spädningsvätska ur KAF i första hand. För sortiment, se </w:t>
      </w:r>
      <w:bookmarkStart w:id="66" w:name="_Hlk50363579"/>
      <w:r w:rsidRPr="004D0CE5">
        <w:rPr>
          <w:rStyle w:val="Hyperlink"/>
        </w:rPr>
        <w:fldChar w:fldCharType="begin"/>
      </w:r>
      <w:r w:rsidR="00490610">
        <w:rPr>
          <w:rStyle w:val="Hyperlink"/>
        </w:rPr>
        <w:instrText>HYPERLINK "https://reklistan.vgregion.se/" \l "/resource/Kommunala_akutlakemedelsforrad"</w:instrText>
      </w:r>
      <w:r w:rsidRPr="004D0CE5">
        <w:rPr>
          <w:rStyle w:val="Hyperlink"/>
        </w:rPr>
      </w:r>
      <w:r w:rsidRPr="004D0CE5">
        <w:rPr>
          <w:rStyle w:val="Hyperlink"/>
        </w:rPr>
        <w:fldChar w:fldCharType="separate"/>
      </w:r>
      <w:r w:rsidRPr="004D0CE5">
        <w:rPr>
          <w:rStyle w:val="Hyperlink"/>
        </w:rPr>
        <w:t>REK-lista, kommunala akutläkemedelsförråd</w:t>
      </w:r>
      <w:r w:rsidRPr="004D0CE5">
        <w:rPr>
          <w:rStyle w:val="Hyperlink"/>
        </w:rPr>
        <w:fldChar w:fldCharType="end"/>
      </w:r>
      <w:bookmarkEnd w:id="66"/>
      <w:r w:rsidRPr="004C2949">
        <w:t xml:space="preserve"> [2].</w:t>
      </w:r>
    </w:p>
    <w:p w14:paraId="0FB3BCCC" w14:textId="68AFBBA3" w:rsidR="004C2949" w:rsidRPr="004C2949" w:rsidRDefault="004C2949" w:rsidP="00DC38BD">
      <w:pPr>
        <w:pStyle w:val="ListBullet"/>
      </w:pPr>
      <w:r>
        <w:t>Är patienten inte inskriven i hemsjukvården eller om ordinerat läkemedel inte finns i sortimentet i KAF lämnas läkemedlet ut från SÄS, enligt hantering för s.k. jourdoser</w:t>
      </w:r>
      <w:r w:rsidR="75924B14">
        <w:t xml:space="preserve">. </w:t>
      </w:r>
      <w:r w:rsidR="009331AA">
        <w:t xml:space="preserve"> </w:t>
      </w:r>
      <w:hyperlink r:id="rId18">
        <w:r w:rsidR="25F863EE" w:rsidRPr="4E576371">
          <w:rPr>
            <w:rStyle w:val="Hyperlink"/>
          </w:rPr>
          <w:t>Regional rutin för läkemedelshantering i Västra Götalandsregionen</w:t>
        </w:r>
      </w:hyperlink>
      <w:r w:rsidR="00832177" w:rsidRPr="00832177">
        <w:rPr>
          <w:rStyle w:val="Hyperlink"/>
          <w:u w:val="none"/>
        </w:rPr>
        <w:t>,</w:t>
      </w:r>
      <w:r w:rsidR="25F863EE" w:rsidRPr="4E576371">
        <w:t xml:space="preserve"> </w:t>
      </w:r>
      <w:r w:rsidR="009331AA">
        <w:t xml:space="preserve">se </w:t>
      </w:r>
      <w:r>
        <w:t>avsnitt 5.1</w:t>
      </w:r>
      <w:r w:rsidR="78529B0F">
        <w:t>9</w:t>
      </w:r>
      <w:r>
        <w:t xml:space="preserve"> Permissionsläkemedel/jourdoser [3].</w:t>
      </w:r>
    </w:p>
    <w:p w14:paraId="7D5E99AD" w14:textId="77777777" w:rsidR="004C2949" w:rsidRPr="004C2949" w:rsidRDefault="004C2949" w:rsidP="003627D8">
      <w:pPr>
        <w:pStyle w:val="Normalmedindrag"/>
      </w:pPr>
      <w:r w:rsidRPr="004C2949">
        <w:t>Läkemedel i beredskap mot läkemedelsreaktion/anafylaxi, se avsnitt ”Komplikationer”, tas ur KAF om patienten är inskriven i hemsjukvården. Om SÄS sköter behandlingen tas läkemedel med från sjukhuset. Läkemedlen ska finnas tillgängliga under injiceringen.</w:t>
      </w:r>
    </w:p>
    <w:p w14:paraId="313A6B33" w14:textId="19998861" w:rsidR="004C2949" w:rsidRPr="004C2949" w:rsidRDefault="004C2949" w:rsidP="007F766F">
      <w:pPr>
        <w:pStyle w:val="Normalmedindrag"/>
      </w:pPr>
      <w:r w:rsidRPr="004C2949">
        <w:t>Läkemedel för iv administration kan ges via PVK, CVK, subkutan venport eller PICC-line, se</w:t>
      </w:r>
      <w:r w:rsidR="00B13653">
        <w:t xml:space="preserve"> </w:t>
      </w:r>
      <w:r w:rsidRPr="004C2949">
        <w:t xml:space="preserve">riktlinje </w:t>
      </w:r>
      <w:hyperlink r:id="rId19" w:history="1">
        <w:r w:rsidRPr="00434262">
          <w:rPr>
            <w:rStyle w:val="Hyperlink"/>
          </w:rPr>
          <w:t>Central venös infart (CVI) - inläggning och skötsel vid SÄS</w:t>
        </w:r>
      </w:hyperlink>
      <w:r w:rsidRPr="004C2949">
        <w:t xml:space="preserve"> [4].</w:t>
      </w:r>
    </w:p>
    <w:p w14:paraId="292F45FE" w14:textId="77777777" w:rsidR="004C2949" w:rsidRPr="004C2949" w:rsidRDefault="004C2949" w:rsidP="00434262">
      <w:pPr>
        <w:pStyle w:val="Heading3"/>
      </w:pPr>
      <w:bookmarkStart w:id="67" w:name="_Toc51657522"/>
      <w:bookmarkStart w:id="68" w:name="_Toc53993530"/>
      <w:bookmarkStart w:id="69" w:name="_Toc54016568"/>
      <w:bookmarkStart w:id="70" w:name="_Toc256000018"/>
      <w:bookmarkStart w:id="71" w:name="_Toc176524952"/>
      <w:r w:rsidRPr="004C2949">
        <w:t>Komplikationer</w:t>
      </w:r>
      <w:bookmarkEnd w:id="67"/>
      <w:bookmarkEnd w:id="68"/>
      <w:bookmarkEnd w:id="69"/>
      <w:bookmarkEnd w:id="70"/>
      <w:bookmarkEnd w:id="71"/>
    </w:p>
    <w:p w14:paraId="159CD92C" w14:textId="77777777" w:rsidR="004C2949" w:rsidRPr="004C2949" w:rsidRDefault="004C2949" w:rsidP="00DA10B2">
      <w:pPr>
        <w:pStyle w:val="MellanrubrikVGR"/>
        <w:spacing w:before="120"/>
      </w:pPr>
      <w:bookmarkStart w:id="72" w:name="_Toc51657523"/>
      <w:bookmarkStart w:id="73" w:name="_Toc53993531"/>
      <w:bookmarkStart w:id="74" w:name="_Toc54016569"/>
      <w:bookmarkStart w:id="75" w:name="_Toc256000019"/>
      <w:r w:rsidRPr="004C2949">
        <w:t xml:space="preserve">Akut </w:t>
      </w:r>
      <w:bookmarkEnd w:id="72"/>
      <w:r w:rsidRPr="004C2949">
        <w:t>läkemedels-/anafylaktisk reaktion</w:t>
      </w:r>
      <w:bookmarkEnd w:id="73"/>
      <w:bookmarkEnd w:id="74"/>
      <w:bookmarkEnd w:id="75"/>
    </w:p>
    <w:p w14:paraId="3D4433CB" w14:textId="77777777" w:rsidR="004C2949" w:rsidRPr="004C2949" w:rsidRDefault="004C2949" w:rsidP="00434262">
      <w:r w:rsidRPr="004C2949">
        <w:t>Avbryt pågående infusion/injektion omedelbart!</w:t>
      </w:r>
    </w:p>
    <w:p w14:paraId="7C83BF2B" w14:textId="77777777" w:rsidR="004C2949" w:rsidRPr="004C2949" w:rsidRDefault="004C2949" w:rsidP="00434262">
      <w:r w:rsidRPr="004C2949">
        <w:t>Kontrollera patienten avseende allmäntillstånd, andning, cirkulation.</w:t>
      </w:r>
    </w:p>
    <w:p w14:paraId="6549DF50" w14:textId="77777777" w:rsidR="004C2949" w:rsidRPr="004C2949" w:rsidRDefault="004C2949" w:rsidP="00434262">
      <w:r w:rsidRPr="004C2949">
        <w:t xml:space="preserve">Vid </w:t>
      </w:r>
      <w:r w:rsidRPr="004C2949">
        <w:rPr>
          <w:b/>
          <w:bCs/>
        </w:rPr>
        <w:t>lindrig läkemedelsreaktion</w:t>
      </w:r>
      <w:r w:rsidRPr="004C2949">
        <w:t xml:space="preserve"> (t.ex. klåda, urtikaria) ges antihistamin och kortison per os. Detta ska inte registreras som överkänslighet i journalen!</w:t>
      </w:r>
    </w:p>
    <w:p w14:paraId="5E08E24B" w14:textId="29DAD8FC" w:rsidR="004C2949" w:rsidRPr="004C2949" w:rsidRDefault="004C2949" w:rsidP="00434262">
      <w:r w:rsidRPr="004C2949">
        <w:t xml:space="preserve">Vid </w:t>
      </w:r>
      <w:r w:rsidRPr="004C2949">
        <w:rPr>
          <w:b/>
          <w:bCs/>
        </w:rPr>
        <w:t>svår läkemedelsreaktion/anafylaxi</w:t>
      </w:r>
      <w:r w:rsidRPr="004C2949">
        <w:t xml:space="preserve"> (t.ex. ångest, oro, andningssvårigheter, blodtrycksfall, takykardi) ges antihistamin per os, kortison parenteralt, adrenalin och Ringer-Acetat. </w:t>
      </w:r>
    </w:p>
    <w:p w14:paraId="15DE361C" w14:textId="77777777" w:rsidR="004C2949" w:rsidRPr="004C2949" w:rsidRDefault="004C2949" w:rsidP="00434262">
      <w:pPr>
        <w:pStyle w:val="MellanrubrikVGR"/>
      </w:pPr>
      <w:r w:rsidRPr="004C2949">
        <w:t>Behandling</w:t>
      </w:r>
    </w:p>
    <w:tbl>
      <w:tblPr>
        <w:tblW w:w="8177"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1415"/>
        <w:gridCol w:w="4678"/>
      </w:tblGrid>
      <w:tr w:rsidR="004C2949" w:rsidRPr="004C2949" w14:paraId="5A529975" w14:textId="77777777" w:rsidTr="00434262">
        <w:trPr>
          <w:tblHeader/>
        </w:trPr>
        <w:tc>
          <w:tcPr>
            <w:tcW w:w="2084" w:type="dxa"/>
            <w:shd w:val="clear" w:color="auto" w:fill="E7E6E6"/>
          </w:tcPr>
          <w:p w14:paraId="08CE8201" w14:textId="77777777" w:rsidR="004C2949" w:rsidRPr="004C2949" w:rsidRDefault="004C2949" w:rsidP="004C2949">
            <w:pPr>
              <w:spacing w:before="40" w:after="40" w:line="240" w:lineRule="auto"/>
              <w:ind w:left="0" w:right="0"/>
              <w:rPr>
                <w:rFonts w:ascii="Arial Fet" w:hAnsi="Arial Fet"/>
                <w:b/>
                <w:bCs/>
                <w:sz w:val="20"/>
                <w:szCs w:val="20"/>
              </w:rPr>
            </w:pPr>
            <w:r w:rsidRPr="004C2949">
              <w:rPr>
                <w:rFonts w:ascii="Arial Fet" w:hAnsi="Arial Fet"/>
                <w:b/>
                <w:bCs/>
                <w:sz w:val="20"/>
                <w:szCs w:val="20"/>
              </w:rPr>
              <w:t>Läkemedel</w:t>
            </w:r>
          </w:p>
        </w:tc>
        <w:tc>
          <w:tcPr>
            <w:tcW w:w="1415" w:type="dxa"/>
            <w:shd w:val="clear" w:color="auto" w:fill="E7E6E6"/>
          </w:tcPr>
          <w:p w14:paraId="755E0BD2" w14:textId="77777777" w:rsidR="004C2949" w:rsidRPr="004C2949" w:rsidRDefault="004C2949" w:rsidP="004C2949">
            <w:pPr>
              <w:spacing w:before="40" w:after="40" w:line="240" w:lineRule="auto"/>
              <w:ind w:left="0" w:right="0"/>
              <w:rPr>
                <w:rFonts w:ascii="Arial Fet" w:hAnsi="Arial Fet"/>
                <w:b/>
                <w:bCs/>
                <w:sz w:val="20"/>
                <w:szCs w:val="20"/>
              </w:rPr>
            </w:pPr>
            <w:r w:rsidRPr="004C2949">
              <w:rPr>
                <w:rFonts w:ascii="Arial Fet" w:hAnsi="Arial Fet"/>
                <w:b/>
                <w:bCs/>
                <w:sz w:val="20"/>
                <w:szCs w:val="20"/>
              </w:rPr>
              <w:t>Styrka</w:t>
            </w:r>
          </w:p>
        </w:tc>
        <w:tc>
          <w:tcPr>
            <w:tcW w:w="4678" w:type="dxa"/>
            <w:shd w:val="clear" w:color="auto" w:fill="E7E6E6"/>
          </w:tcPr>
          <w:p w14:paraId="33F85E9E" w14:textId="77777777" w:rsidR="004C2949" w:rsidRPr="004C2949" w:rsidRDefault="004C2949" w:rsidP="004C2949">
            <w:pPr>
              <w:spacing w:before="40" w:after="40" w:line="240" w:lineRule="auto"/>
              <w:ind w:left="0" w:right="0"/>
              <w:rPr>
                <w:rFonts w:ascii="Arial Fet" w:hAnsi="Arial Fet"/>
                <w:b/>
                <w:bCs/>
                <w:sz w:val="20"/>
                <w:szCs w:val="20"/>
              </w:rPr>
            </w:pPr>
            <w:r w:rsidRPr="004C2949">
              <w:rPr>
                <w:rFonts w:ascii="Arial Fet" w:hAnsi="Arial Fet"/>
                <w:b/>
                <w:bCs/>
                <w:sz w:val="20"/>
                <w:szCs w:val="20"/>
              </w:rPr>
              <w:t>Dosering</w:t>
            </w:r>
          </w:p>
        </w:tc>
      </w:tr>
      <w:tr w:rsidR="004C2949" w:rsidRPr="004C2949" w14:paraId="49C92F15" w14:textId="77777777" w:rsidTr="00434262">
        <w:tc>
          <w:tcPr>
            <w:tcW w:w="2084" w:type="dxa"/>
            <w:shd w:val="clear" w:color="auto" w:fill="auto"/>
          </w:tcPr>
          <w:p w14:paraId="2DD5F0FA" w14:textId="77777777" w:rsidR="004C2949" w:rsidRPr="004C2949" w:rsidRDefault="004C2949" w:rsidP="004C2949">
            <w:pPr>
              <w:spacing w:before="30" w:after="30" w:line="240" w:lineRule="auto"/>
              <w:ind w:left="0" w:right="0"/>
              <w:rPr>
                <w:sz w:val="23"/>
                <w:szCs w:val="20"/>
              </w:rPr>
            </w:pPr>
            <w:r w:rsidRPr="004C2949">
              <w:rPr>
                <w:sz w:val="23"/>
                <w:szCs w:val="20"/>
              </w:rPr>
              <w:t>Tabl Desloratadin</w:t>
            </w:r>
          </w:p>
        </w:tc>
        <w:tc>
          <w:tcPr>
            <w:tcW w:w="1415" w:type="dxa"/>
            <w:shd w:val="clear" w:color="auto" w:fill="auto"/>
          </w:tcPr>
          <w:p w14:paraId="038A67A3" w14:textId="77777777" w:rsidR="004C2949" w:rsidRPr="004C2949" w:rsidRDefault="004C2949" w:rsidP="004C2949">
            <w:pPr>
              <w:spacing w:before="30" w:after="30" w:line="240" w:lineRule="auto"/>
              <w:ind w:left="0" w:right="0"/>
              <w:rPr>
                <w:sz w:val="23"/>
                <w:szCs w:val="20"/>
              </w:rPr>
            </w:pPr>
            <w:r w:rsidRPr="004C2949">
              <w:rPr>
                <w:sz w:val="23"/>
                <w:szCs w:val="20"/>
              </w:rPr>
              <w:t>5 mg</w:t>
            </w:r>
          </w:p>
        </w:tc>
        <w:tc>
          <w:tcPr>
            <w:tcW w:w="4678" w:type="dxa"/>
            <w:shd w:val="clear" w:color="auto" w:fill="auto"/>
          </w:tcPr>
          <w:p w14:paraId="6FB69042" w14:textId="77777777" w:rsidR="004C2949" w:rsidRPr="004C2949" w:rsidRDefault="004C2949" w:rsidP="004C2949">
            <w:pPr>
              <w:spacing w:before="30" w:after="30" w:line="240" w:lineRule="auto"/>
              <w:ind w:left="0" w:right="0"/>
              <w:rPr>
                <w:sz w:val="23"/>
                <w:szCs w:val="20"/>
              </w:rPr>
            </w:pPr>
            <w:r w:rsidRPr="004C2949">
              <w:rPr>
                <w:sz w:val="23"/>
                <w:szCs w:val="20"/>
              </w:rPr>
              <w:t>2 x 5 mg (=10 mg)</w:t>
            </w:r>
          </w:p>
        </w:tc>
      </w:tr>
      <w:tr w:rsidR="004C2949" w:rsidRPr="004C2949" w14:paraId="35A7B938" w14:textId="77777777" w:rsidTr="00434262">
        <w:tc>
          <w:tcPr>
            <w:tcW w:w="2084" w:type="dxa"/>
            <w:shd w:val="clear" w:color="auto" w:fill="auto"/>
          </w:tcPr>
          <w:p w14:paraId="46202340" w14:textId="77777777" w:rsidR="004C2949" w:rsidRPr="004C2949" w:rsidRDefault="004C2949" w:rsidP="004C2949">
            <w:pPr>
              <w:spacing w:before="30" w:after="30" w:line="240" w:lineRule="auto"/>
              <w:ind w:left="0" w:right="0"/>
              <w:rPr>
                <w:sz w:val="23"/>
                <w:szCs w:val="20"/>
              </w:rPr>
            </w:pPr>
            <w:r w:rsidRPr="004C2949">
              <w:rPr>
                <w:sz w:val="23"/>
                <w:szCs w:val="20"/>
              </w:rPr>
              <w:t>Tabl Betametason</w:t>
            </w:r>
          </w:p>
          <w:p w14:paraId="59F53A4C" w14:textId="77777777" w:rsidR="004C2949" w:rsidRPr="004C2949" w:rsidRDefault="004C2949" w:rsidP="004C2949">
            <w:pPr>
              <w:spacing w:before="30" w:after="30" w:line="240" w:lineRule="auto"/>
              <w:ind w:left="0" w:right="0"/>
              <w:rPr>
                <w:sz w:val="23"/>
                <w:szCs w:val="20"/>
              </w:rPr>
            </w:pPr>
            <w:r w:rsidRPr="004C2949">
              <w:rPr>
                <w:sz w:val="23"/>
                <w:szCs w:val="20"/>
              </w:rPr>
              <w:t>(t.ex. Betapred)</w:t>
            </w:r>
          </w:p>
        </w:tc>
        <w:tc>
          <w:tcPr>
            <w:tcW w:w="1415" w:type="dxa"/>
            <w:shd w:val="clear" w:color="auto" w:fill="auto"/>
          </w:tcPr>
          <w:p w14:paraId="2FCA4C9A" w14:textId="77777777" w:rsidR="004C2949" w:rsidRPr="004C2949" w:rsidRDefault="004C2949" w:rsidP="004C2949">
            <w:pPr>
              <w:spacing w:before="30" w:after="30" w:line="240" w:lineRule="auto"/>
              <w:ind w:left="0" w:right="0"/>
              <w:rPr>
                <w:sz w:val="23"/>
                <w:szCs w:val="20"/>
              </w:rPr>
            </w:pPr>
            <w:r w:rsidRPr="004C2949">
              <w:rPr>
                <w:sz w:val="23"/>
                <w:szCs w:val="20"/>
              </w:rPr>
              <w:t>0,5 mg</w:t>
            </w:r>
          </w:p>
        </w:tc>
        <w:tc>
          <w:tcPr>
            <w:tcW w:w="4678" w:type="dxa"/>
            <w:shd w:val="clear" w:color="auto" w:fill="auto"/>
          </w:tcPr>
          <w:p w14:paraId="7EE9855C" w14:textId="77777777" w:rsidR="004C2949" w:rsidRPr="004C2949" w:rsidRDefault="004C2949" w:rsidP="004C2949">
            <w:pPr>
              <w:spacing w:before="30" w:after="30" w:line="240" w:lineRule="auto"/>
              <w:ind w:left="0" w:right="0"/>
              <w:rPr>
                <w:sz w:val="23"/>
                <w:szCs w:val="20"/>
              </w:rPr>
            </w:pPr>
            <w:r w:rsidRPr="004C2949">
              <w:rPr>
                <w:sz w:val="23"/>
                <w:szCs w:val="20"/>
              </w:rPr>
              <w:t xml:space="preserve">16 st tabl löses i vatten </w:t>
            </w:r>
          </w:p>
          <w:p w14:paraId="5FAE1D52" w14:textId="77777777" w:rsidR="004C2949" w:rsidRPr="004C2949" w:rsidRDefault="004C2949" w:rsidP="004C2949">
            <w:pPr>
              <w:spacing w:before="30" w:after="30" w:line="240" w:lineRule="auto"/>
              <w:ind w:left="0" w:right="0"/>
              <w:rPr>
                <w:sz w:val="23"/>
                <w:szCs w:val="20"/>
              </w:rPr>
            </w:pPr>
            <w:r w:rsidRPr="004C2949">
              <w:rPr>
                <w:sz w:val="23"/>
                <w:szCs w:val="20"/>
              </w:rPr>
              <w:t>Ytterligare doser kan ges vid utebliven effekt upp till 20 mg (totalt 40 tabl)</w:t>
            </w:r>
          </w:p>
        </w:tc>
      </w:tr>
      <w:tr w:rsidR="004C2949" w:rsidRPr="004C2949" w14:paraId="542D543A" w14:textId="77777777" w:rsidTr="00434262">
        <w:tc>
          <w:tcPr>
            <w:tcW w:w="2084" w:type="dxa"/>
            <w:shd w:val="clear" w:color="auto" w:fill="auto"/>
          </w:tcPr>
          <w:p w14:paraId="7E79586E" w14:textId="77777777" w:rsidR="004C2949" w:rsidRPr="004C2949" w:rsidRDefault="004C2949" w:rsidP="004C2949">
            <w:pPr>
              <w:keepNext/>
              <w:keepLines/>
              <w:spacing w:before="30" w:after="30" w:line="240" w:lineRule="auto"/>
              <w:ind w:left="0" w:right="0"/>
              <w:rPr>
                <w:sz w:val="23"/>
                <w:szCs w:val="20"/>
              </w:rPr>
            </w:pPr>
            <w:r w:rsidRPr="004C2949">
              <w:rPr>
                <w:sz w:val="23"/>
                <w:szCs w:val="20"/>
              </w:rPr>
              <w:t>Inj Betametason (t.ex. Betapred)</w:t>
            </w:r>
          </w:p>
        </w:tc>
        <w:tc>
          <w:tcPr>
            <w:tcW w:w="1415" w:type="dxa"/>
            <w:shd w:val="clear" w:color="auto" w:fill="auto"/>
          </w:tcPr>
          <w:p w14:paraId="104271EB" w14:textId="77777777" w:rsidR="004C2949" w:rsidRPr="004C2949" w:rsidRDefault="004C2949" w:rsidP="004C2949">
            <w:pPr>
              <w:keepNext/>
              <w:keepLines/>
              <w:spacing w:before="30" w:after="30" w:line="240" w:lineRule="auto"/>
              <w:ind w:left="0" w:right="0"/>
              <w:rPr>
                <w:sz w:val="23"/>
                <w:szCs w:val="20"/>
              </w:rPr>
            </w:pPr>
            <w:r w:rsidRPr="004C2949">
              <w:rPr>
                <w:sz w:val="23"/>
                <w:szCs w:val="20"/>
              </w:rPr>
              <w:t>4 mg/ml</w:t>
            </w:r>
          </w:p>
        </w:tc>
        <w:tc>
          <w:tcPr>
            <w:tcW w:w="4678" w:type="dxa"/>
            <w:shd w:val="clear" w:color="auto" w:fill="auto"/>
          </w:tcPr>
          <w:p w14:paraId="601904E2" w14:textId="77777777" w:rsidR="004C2949" w:rsidRPr="004C2949" w:rsidRDefault="004C2949" w:rsidP="004C2949">
            <w:pPr>
              <w:keepNext/>
              <w:keepLines/>
              <w:spacing w:before="30" w:after="30" w:line="240" w:lineRule="auto"/>
              <w:ind w:left="0" w:right="0"/>
              <w:rPr>
                <w:sz w:val="23"/>
                <w:szCs w:val="20"/>
              </w:rPr>
            </w:pPr>
            <w:r w:rsidRPr="004C2949">
              <w:rPr>
                <w:sz w:val="23"/>
                <w:szCs w:val="20"/>
              </w:rPr>
              <w:t xml:space="preserve">2 ml iv eller im </w:t>
            </w:r>
          </w:p>
          <w:p w14:paraId="3ADD3B00" w14:textId="77777777" w:rsidR="004C2949" w:rsidRPr="004C2949" w:rsidRDefault="004C2949" w:rsidP="004C2949">
            <w:pPr>
              <w:keepNext/>
              <w:keepLines/>
              <w:spacing w:before="30" w:after="30" w:line="240" w:lineRule="auto"/>
              <w:ind w:left="0" w:right="0"/>
              <w:rPr>
                <w:sz w:val="23"/>
                <w:szCs w:val="20"/>
              </w:rPr>
            </w:pPr>
            <w:r w:rsidRPr="004C2949">
              <w:rPr>
                <w:sz w:val="23"/>
                <w:szCs w:val="20"/>
              </w:rPr>
              <w:t>Ytterligare doser kan ges vid utebliven effekt upp till 20 mg (totalt 5 ml)</w:t>
            </w:r>
          </w:p>
        </w:tc>
      </w:tr>
      <w:tr w:rsidR="004C2949" w:rsidRPr="004C2949" w14:paraId="22A001E7" w14:textId="77777777" w:rsidTr="00434262">
        <w:tc>
          <w:tcPr>
            <w:tcW w:w="2084" w:type="dxa"/>
            <w:tcBorders>
              <w:bottom w:val="single" w:sz="4" w:space="0" w:color="auto"/>
            </w:tcBorders>
            <w:shd w:val="clear" w:color="auto" w:fill="auto"/>
          </w:tcPr>
          <w:p w14:paraId="6A051E1E" w14:textId="77777777" w:rsidR="004C2949" w:rsidRPr="004C2949" w:rsidRDefault="004C2949" w:rsidP="004C2949">
            <w:pPr>
              <w:spacing w:before="30" w:after="30" w:line="240" w:lineRule="auto"/>
              <w:ind w:left="0" w:right="0"/>
              <w:rPr>
                <w:sz w:val="23"/>
                <w:szCs w:val="20"/>
              </w:rPr>
            </w:pPr>
            <w:r w:rsidRPr="004C2949">
              <w:rPr>
                <w:sz w:val="23"/>
                <w:szCs w:val="20"/>
              </w:rPr>
              <w:t>Adrenalin (t.ex. Epipen, lösning i förfylld injektionspenna)</w:t>
            </w:r>
          </w:p>
        </w:tc>
        <w:tc>
          <w:tcPr>
            <w:tcW w:w="1415" w:type="dxa"/>
            <w:tcBorders>
              <w:bottom w:val="single" w:sz="4" w:space="0" w:color="auto"/>
            </w:tcBorders>
            <w:shd w:val="clear" w:color="auto" w:fill="auto"/>
          </w:tcPr>
          <w:p w14:paraId="61615810" w14:textId="77777777" w:rsidR="004C2949" w:rsidRPr="004C2949" w:rsidRDefault="004C2949" w:rsidP="004C2949">
            <w:pPr>
              <w:spacing w:before="30" w:after="30" w:line="240" w:lineRule="auto"/>
              <w:ind w:left="0" w:right="0"/>
              <w:rPr>
                <w:sz w:val="23"/>
                <w:szCs w:val="20"/>
              </w:rPr>
            </w:pPr>
            <w:r w:rsidRPr="004C2949">
              <w:rPr>
                <w:sz w:val="23"/>
                <w:szCs w:val="20"/>
              </w:rPr>
              <w:t>300 µg/dos</w:t>
            </w:r>
          </w:p>
        </w:tc>
        <w:tc>
          <w:tcPr>
            <w:tcW w:w="4678" w:type="dxa"/>
            <w:tcBorders>
              <w:bottom w:val="single" w:sz="4" w:space="0" w:color="auto"/>
            </w:tcBorders>
            <w:shd w:val="clear" w:color="auto" w:fill="auto"/>
          </w:tcPr>
          <w:p w14:paraId="6E7C3E9E" w14:textId="77777777" w:rsidR="004C2949" w:rsidRPr="004C2949" w:rsidRDefault="004C2949" w:rsidP="004C2949">
            <w:pPr>
              <w:spacing w:before="30" w:after="30" w:line="240" w:lineRule="auto"/>
              <w:ind w:left="0" w:right="0"/>
              <w:rPr>
                <w:sz w:val="23"/>
                <w:szCs w:val="20"/>
              </w:rPr>
            </w:pPr>
            <w:r w:rsidRPr="004C2949">
              <w:rPr>
                <w:sz w:val="23"/>
                <w:szCs w:val="20"/>
              </w:rPr>
              <w:t>300 µg im</w:t>
            </w:r>
          </w:p>
          <w:p w14:paraId="2F7B2750" w14:textId="77777777" w:rsidR="004C2949" w:rsidRPr="004C2949" w:rsidRDefault="004C2949" w:rsidP="004C2949">
            <w:pPr>
              <w:spacing w:before="30" w:after="30" w:line="240" w:lineRule="auto"/>
              <w:ind w:left="0" w:right="0"/>
              <w:rPr>
                <w:sz w:val="23"/>
                <w:szCs w:val="20"/>
              </w:rPr>
            </w:pPr>
            <w:r w:rsidRPr="004C2949">
              <w:rPr>
                <w:sz w:val="23"/>
                <w:szCs w:val="20"/>
              </w:rPr>
              <w:t>Dosen kan komma att upprepas efter läkar-ordination</w:t>
            </w:r>
          </w:p>
        </w:tc>
      </w:tr>
      <w:tr w:rsidR="004C2949" w:rsidRPr="004C2949" w14:paraId="1E1CAD29" w14:textId="77777777" w:rsidTr="00434262">
        <w:tc>
          <w:tcPr>
            <w:tcW w:w="2084" w:type="dxa"/>
            <w:tcBorders>
              <w:bottom w:val="single" w:sz="4" w:space="0" w:color="auto"/>
            </w:tcBorders>
            <w:shd w:val="clear" w:color="auto" w:fill="auto"/>
          </w:tcPr>
          <w:p w14:paraId="6F75CC96" w14:textId="77777777" w:rsidR="004C2949" w:rsidRPr="004C2949" w:rsidRDefault="004C2949" w:rsidP="004C2949">
            <w:pPr>
              <w:suppressAutoHyphens/>
              <w:spacing w:before="30" w:after="30" w:line="240" w:lineRule="auto"/>
              <w:ind w:left="0" w:right="0"/>
              <w:rPr>
                <w:sz w:val="23"/>
                <w:szCs w:val="20"/>
              </w:rPr>
            </w:pPr>
            <w:r w:rsidRPr="004C2949">
              <w:rPr>
                <w:sz w:val="23"/>
                <w:szCs w:val="20"/>
              </w:rPr>
              <w:t>Ringer-Acetat, infusionsvätska</w:t>
            </w:r>
          </w:p>
        </w:tc>
        <w:tc>
          <w:tcPr>
            <w:tcW w:w="1415" w:type="dxa"/>
            <w:tcBorders>
              <w:bottom w:val="single" w:sz="4" w:space="0" w:color="auto"/>
            </w:tcBorders>
            <w:shd w:val="clear" w:color="auto" w:fill="auto"/>
          </w:tcPr>
          <w:p w14:paraId="1536963F" w14:textId="77777777" w:rsidR="004C2949" w:rsidRPr="004C2949" w:rsidRDefault="004C2949" w:rsidP="004C2949">
            <w:pPr>
              <w:spacing w:before="30" w:after="30" w:line="240" w:lineRule="auto"/>
              <w:ind w:left="0" w:right="0"/>
              <w:rPr>
                <w:sz w:val="23"/>
                <w:szCs w:val="20"/>
              </w:rPr>
            </w:pPr>
            <w:r w:rsidRPr="004C2949">
              <w:rPr>
                <w:sz w:val="23"/>
                <w:szCs w:val="20"/>
              </w:rPr>
              <w:t>-</w:t>
            </w:r>
          </w:p>
        </w:tc>
        <w:tc>
          <w:tcPr>
            <w:tcW w:w="4678" w:type="dxa"/>
            <w:tcBorders>
              <w:bottom w:val="single" w:sz="4" w:space="0" w:color="auto"/>
            </w:tcBorders>
            <w:shd w:val="clear" w:color="auto" w:fill="auto"/>
          </w:tcPr>
          <w:p w14:paraId="6A2EBD2F" w14:textId="77777777" w:rsidR="004C2949" w:rsidRPr="004C2949" w:rsidRDefault="004C2949" w:rsidP="004C2949">
            <w:pPr>
              <w:spacing w:before="30" w:after="30" w:line="240" w:lineRule="auto"/>
              <w:ind w:left="0" w:right="0"/>
              <w:rPr>
                <w:sz w:val="23"/>
                <w:szCs w:val="20"/>
              </w:rPr>
            </w:pPr>
            <w:r w:rsidRPr="004C2949">
              <w:rPr>
                <w:sz w:val="23"/>
                <w:szCs w:val="20"/>
              </w:rPr>
              <w:t>Cirka 200 ml snabbt iv, vid utebliven effekt ges ytterligare cirka 500 ml eller mer enligt individuell ordination</w:t>
            </w:r>
          </w:p>
        </w:tc>
      </w:tr>
    </w:tbl>
    <w:p w14:paraId="4D2BC5C0" w14:textId="00163EED" w:rsidR="004C2949" w:rsidRPr="004C2949" w:rsidRDefault="004C2949" w:rsidP="00B92D5C">
      <w:pPr>
        <w:spacing w:before="160"/>
        <w:rPr>
          <w:szCs w:val="20"/>
        </w:rPr>
      </w:pPr>
      <w:r w:rsidRPr="004C2949">
        <w:rPr>
          <w:szCs w:val="20"/>
        </w:rPr>
        <w:t xml:space="preserve">Vid behov av ytterligare behandlingsförslag, se rutinen </w:t>
      </w:r>
      <w:hyperlink r:id="rId20" w:history="1">
        <w:r w:rsidRPr="00B92D5C">
          <w:rPr>
            <w:rStyle w:val="Hyperlink"/>
          </w:rPr>
          <w:t>Akut anafylaktisk reaktion hos vuxna, SÄS</w:t>
        </w:r>
      </w:hyperlink>
      <w:r w:rsidRPr="004C2949">
        <w:rPr>
          <w:szCs w:val="20"/>
        </w:rPr>
        <w:t xml:space="preserve"> [5].</w:t>
      </w:r>
    </w:p>
    <w:p w14:paraId="234E3802" w14:textId="77777777" w:rsidR="004C2949" w:rsidRPr="004C2949" w:rsidRDefault="004C2949" w:rsidP="00B92D5C">
      <w:pPr>
        <w:pStyle w:val="Heading3"/>
      </w:pPr>
      <w:bookmarkStart w:id="76" w:name="_Toc51657524"/>
      <w:bookmarkStart w:id="77" w:name="_Toc53993532"/>
      <w:bookmarkStart w:id="78" w:name="_Toc54016570"/>
      <w:bookmarkStart w:id="79" w:name="_Toc256000020"/>
      <w:bookmarkStart w:id="80" w:name="_Toc176524953"/>
      <w:r w:rsidRPr="004C2949">
        <w:t>Uppföljning</w:t>
      </w:r>
      <w:bookmarkEnd w:id="76"/>
      <w:bookmarkEnd w:id="77"/>
      <w:bookmarkEnd w:id="78"/>
      <w:bookmarkEnd w:id="79"/>
      <w:bookmarkEnd w:id="80"/>
    </w:p>
    <w:p w14:paraId="0AC775BA" w14:textId="77777777" w:rsidR="004C2949" w:rsidRPr="004C2949" w:rsidRDefault="004C2949" w:rsidP="00B92D5C">
      <w:pPr>
        <w:pStyle w:val="MellanrubrikVGR"/>
        <w:spacing w:before="120"/>
      </w:pPr>
      <w:bookmarkStart w:id="81" w:name="_Toc51657525"/>
      <w:bookmarkStart w:id="82" w:name="_Toc53993533"/>
      <w:bookmarkStart w:id="83" w:name="_Toc54016571"/>
      <w:bookmarkStart w:id="84" w:name="_Toc256000021"/>
      <w:r w:rsidRPr="004C2949">
        <w:t>Fortsatt handläggning av akut läkemedelsreaktion</w:t>
      </w:r>
      <w:bookmarkEnd w:id="81"/>
      <w:bookmarkEnd w:id="82"/>
      <w:bookmarkEnd w:id="83"/>
      <w:bookmarkEnd w:id="84"/>
    </w:p>
    <w:p w14:paraId="20FC219C" w14:textId="77777777" w:rsidR="004C2949" w:rsidRPr="004C2949" w:rsidRDefault="004C2949" w:rsidP="00B92D5C">
      <w:r>
        <w:t xml:space="preserve">Kontakta ansvarig alternativt jourhavande läkare för bedömning av fortsatt behandling. Vid svår reaktion eller utebliven förbättring, larma efter hjälp via </w:t>
      </w:r>
      <w:r w:rsidRPr="4E576371">
        <w:rPr>
          <w:b/>
          <w:bCs/>
        </w:rPr>
        <w:t>112</w:t>
      </w:r>
      <w:r>
        <w:t xml:space="preserve"> om det är motiverat med hänsyn till patientens grundsjukdom.</w:t>
      </w:r>
    </w:p>
    <w:p w14:paraId="2B0E426E" w14:textId="54A5B002" w:rsidR="23A63AC2" w:rsidRDefault="23A63AC2" w:rsidP="761D6F2B">
      <w:r>
        <w:t>Dokumentera i patientens journal</w:t>
      </w:r>
      <w:r w:rsidR="0096709D">
        <w:t>.</w:t>
      </w:r>
      <w:r w:rsidR="00F44961">
        <w:t xml:space="preserve"> V</w:t>
      </w:r>
      <w:r>
        <w:t xml:space="preserve">id svår </w:t>
      </w:r>
      <w:r w:rsidR="07C4D9DC">
        <w:t>reaktion ska varningstriangel skapas i Melior</w:t>
      </w:r>
      <w:r w:rsidR="481D9E1C">
        <w:t>/Millenium</w:t>
      </w:r>
      <w:r w:rsidR="6F3D83E4">
        <w:t>.</w:t>
      </w:r>
    </w:p>
    <w:p w14:paraId="03A22AA1" w14:textId="739CA98C" w:rsidR="004C2949" w:rsidRPr="004C2949" w:rsidRDefault="004C2949" w:rsidP="4E576371">
      <w:r>
        <w:t xml:space="preserve">För uppföljning/utredning efter anafylaxi, se sjukhusövergripande riktlinje </w:t>
      </w:r>
      <w:hyperlink r:id="rId21">
        <w:r w:rsidR="59252A51" w:rsidRPr="4E576371">
          <w:rPr>
            <w:rStyle w:val="Hyperlink"/>
          </w:rPr>
          <w:t>Anafylaxibehandling och utredning hos vuxna patienter inom SÄS samt råd om uppföljning</w:t>
        </w:r>
      </w:hyperlink>
      <w:r w:rsidR="59252A51" w:rsidRPr="4E576371">
        <w:t xml:space="preserve"> </w:t>
      </w:r>
      <w:r>
        <w:t>[6].</w:t>
      </w:r>
    </w:p>
    <w:p w14:paraId="5169C65B" w14:textId="77777777" w:rsidR="004C2949" w:rsidRPr="004C2949" w:rsidRDefault="004C2949" w:rsidP="000D56A6">
      <w:pPr>
        <w:pStyle w:val="Heading2"/>
      </w:pPr>
      <w:bookmarkStart w:id="85" w:name="_Toc182366122"/>
      <w:bookmarkStart w:id="86" w:name="_Toc314219124"/>
      <w:bookmarkStart w:id="87" w:name="_Toc256000004"/>
      <w:bookmarkStart w:id="88" w:name="_Toc256000009"/>
      <w:bookmarkStart w:id="89" w:name="_Toc526869237"/>
      <w:bookmarkStart w:id="90" w:name="_Toc256000025"/>
      <w:bookmarkStart w:id="91" w:name="_Toc256000044"/>
      <w:bookmarkStart w:id="92" w:name="_Toc51657526"/>
      <w:bookmarkStart w:id="93" w:name="_Toc53993534"/>
      <w:bookmarkStart w:id="94" w:name="_Toc54016572"/>
      <w:bookmarkStart w:id="95" w:name="_Toc256000022"/>
      <w:bookmarkStart w:id="96" w:name="_Toc176524954"/>
      <w:r w:rsidRPr="004C2949">
        <w:t>Dokumentinformation</w:t>
      </w:r>
      <w:bookmarkEnd w:id="85"/>
      <w:bookmarkEnd w:id="86"/>
      <w:bookmarkEnd w:id="87"/>
      <w:bookmarkEnd w:id="88"/>
      <w:bookmarkEnd w:id="89"/>
      <w:bookmarkEnd w:id="90"/>
      <w:bookmarkEnd w:id="91"/>
      <w:bookmarkEnd w:id="92"/>
      <w:bookmarkEnd w:id="93"/>
      <w:bookmarkEnd w:id="94"/>
      <w:bookmarkEnd w:id="95"/>
      <w:bookmarkEnd w:id="96"/>
    </w:p>
    <w:p w14:paraId="61EB820C" w14:textId="77777777" w:rsidR="004C2949" w:rsidRPr="00B92D5C" w:rsidRDefault="004C2949" w:rsidP="000D56A6">
      <w:pPr>
        <w:keepNext/>
        <w:keepLines/>
        <w:spacing w:after="0"/>
        <w:rPr>
          <w:b/>
          <w:bCs/>
        </w:rPr>
      </w:pPr>
      <w:r w:rsidRPr="00B92D5C">
        <w:rPr>
          <w:b/>
          <w:bCs/>
        </w:rPr>
        <w:t>För innehållet svarar</w:t>
      </w:r>
    </w:p>
    <w:p w14:paraId="22E90344" w14:textId="2F1E1395" w:rsidR="004C2949" w:rsidRPr="004C2949" w:rsidRDefault="004C2949" w:rsidP="000D56A6">
      <w:pPr>
        <w:pStyle w:val="ListBullet"/>
        <w:keepNext/>
        <w:keepLines/>
      </w:pPr>
      <w:r>
        <w:t>Cecilia Johansson, sjuksköterska, närsjukvårdsteamet/</w:t>
      </w:r>
      <w:r w:rsidR="2546391D">
        <w:t xml:space="preserve">VO </w:t>
      </w:r>
      <w:r w:rsidR="1C296D1C">
        <w:t>n</w:t>
      </w:r>
      <w:r w:rsidR="2546391D">
        <w:t>eurologi, rehabilitering och</w:t>
      </w:r>
      <w:r w:rsidR="308DFFDD">
        <w:t xml:space="preserve"> nära vård</w:t>
      </w:r>
      <w:r>
        <w:t>, SÄS</w:t>
      </w:r>
    </w:p>
    <w:p w14:paraId="602F19AC" w14:textId="7F42CCE4" w:rsidR="004C2949" w:rsidRPr="004C2949" w:rsidRDefault="082FC1DE" w:rsidP="000D56A6">
      <w:pPr>
        <w:pStyle w:val="ListBullet"/>
        <w:keepNext/>
        <w:keepLines/>
      </w:pPr>
      <w:r>
        <w:t>Anna-Karin Storhaug</w:t>
      </w:r>
      <w:r w:rsidR="004C2949">
        <w:t xml:space="preserve">, överläkare, </w:t>
      </w:r>
      <w:r w:rsidR="70F75EA9">
        <w:t>palliativt team</w:t>
      </w:r>
      <w:r w:rsidR="004C2949">
        <w:t xml:space="preserve">/ </w:t>
      </w:r>
      <w:r w:rsidR="6F32E50E">
        <w:t>VO neurologi, rehabilitering och nära vård</w:t>
      </w:r>
      <w:r w:rsidR="004C2949">
        <w:t>, SÄS</w:t>
      </w:r>
    </w:p>
    <w:p w14:paraId="296D137E" w14:textId="22805DD4" w:rsidR="004C2949" w:rsidRPr="004C2949" w:rsidRDefault="751D0B18" w:rsidP="000D56A6">
      <w:pPr>
        <w:pStyle w:val="ListBullet"/>
        <w:keepNext/>
        <w:keepLines/>
      </w:pPr>
      <w:r>
        <w:t xml:space="preserve">Carina Nyström, sjuksköterska, palliativt team/VO neurologi, rehabilitering och </w:t>
      </w:r>
      <w:r w:rsidR="004C2949">
        <w:t>nära vård, SÄS</w:t>
      </w:r>
    </w:p>
    <w:p w14:paraId="58919606" w14:textId="43B72752" w:rsidR="004C2949" w:rsidRPr="00F55D43" w:rsidRDefault="004C2949" w:rsidP="00B92D5C">
      <w:pPr>
        <w:spacing w:after="0"/>
      </w:pPr>
      <w:bookmarkStart w:id="97" w:name="_Toc149035757"/>
      <w:bookmarkStart w:id="98" w:name="_Toc149978547"/>
      <w:r w:rsidRPr="00B92D5C">
        <w:rPr>
          <w:b/>
          <w:bCs/>
        </w:rPr>
        <w:t>Remissinstanser</w:t>
      </w:r>
      <w:bookmarkEnd w:id="97"/>
      <w:bookmarkEnd w:id="98"/>
      <w:r w:rsidR="00F55D43" w:rsidRPr="00F55D43">
        <w:t xml:space="preserve"> (utgåva 1)</w:t>
      </w:r>
    </w:p>
    <w:p w14:paraId="6435486F" w14:textId="77777777" w:rsidR="004C2949" w:rsidRPr="004C2949" w:rsidRDefault="004C2949" w:rsidP="00B92D5C">
      <w:pPr>
        <w:rPr>
          <w:szCs w:val="20"/>
        </w:rPr>
      </w:pPr>
      <w:r w:rsidRPr="004C2949">
        <w:rPr>
          <w:szCs w:val="20"/>
        </w:rPr>
        <w:t>Verksamhetschefer, SÄS</w:t>
      </w:r>
    </w:p>
    <w:p w14:paraId="6B28A582" w14:textId="77777777" w:rsidR="004C2949" w:rsidRPr="00B92D5C" w:rsidRDefault="004C2949" w:rsidP="00B92D5C">
      <w:pPr>
        <w:spacing w:after="0"/>
        <w:rPr>
          <w:b/>
          <w:bCs/>
        </w:rPr>
      </w:pPr>
      <w:r w:rsidRPr="00B92D5C">
        <w:rPr>
          <w:b/>
          <w:bCs/>
        </w:rPr>
        <w:t>Fastställt av</w:t>
      </w:r>
    </w:p>
    <w:p w14:paraId="11626E9B" w14:textId="7D7EBAF1" w:rsidR="004C2949" w:rsidRPr="004C2949" w:rsidRDefault="00A633D7" w:rsidP="00B92D5C">
      <w:pPr>
        <w:rPr>
          <w:szCs w:val="20"/>
        </w:rPr>
      </w:pPr>
      <w:r>
        <w:rPr>
          <w:szCs w:val="20"/>
        </w:rPr>
        <w:t>Jerker Nilson</w:t>
      </w:r>
      <w:r w:rsidR="004C2949" w:rsidRPr="004C2949">
        <w:rPr>
          <w:szCs w:val="20"/>
        </w:rPr>
        <w:t>, chefläkare, SÄS</w:t>
      </w:r>
    </w:p>
    <w:p w14:paraId="0839E5E3" w14:textId="77777777" w:rsidR="004C2949" w:rsidRPr="00B92D5C" w:rsidRDefault="004C2949" w:rsidP="00B92D5C">
      <w:pPr>
        <w:spacing w:after="0"/>
        <w:rPr>
          <w:b/>
          <w:bCs/>
        </w:rPr>
      </w:pPr>
      <w:r w:rsidRPr="00B92D5C">
        <w:rPr>
          <w:b/>
          <w:bCs/>
        </w:rPr>
        <w:t>Nyckelord</w:t>
      </w:r>
    </w:p>
    <w:p w14:paraId="3034E412" w14:textId="77777777" w:rsidR="004C2949" w:rsidRPr="004C2949" w:rsidRDefault="004C2949" w:rsidP="00B92D5C">
      <w:pPr>
        <w:rPr>
          <w:b/>
          <w:i/>
          <w:szCs w:val="20"/>
        </w:rPr>
      </w:pPr>
      <w:r w:rsidRPr="004C2949">
        <w:rPr>
          <w:szCs w:val="20"/>
        </w:rPr>
        <w:t>Antibiotikabehandling, infusion, injektion, infartsvägar, läkemedel, medicinering, hemsjukvård</w:t>
      </w:r>
    </w:p>
    <w:p w14:paraId="781E5FA0" w14:textId="2B17516F" w:rsidR="004C2949" w:rsidRPr="004C2949" w:rsidRDefault="004C2949" w:rsidP="00C84B11">
      <w:pPr>
        <w:pStyle w:val="Heading2"/>
      </w:pPr>
      <w:bookmarkStart w:id="99" w:name="_Toc526869238"/>
      <w:bookmarkStart w:id="100" w:name="_Toc256000026"/>
      <w:bookmarkStart w:id="101" w:name="_Toc256000045"/>
      <w:bookmarkStart w:id="102" w:name="_Toc51657527"/>
      <w:bookmarkStart w:id="103" w:name="_Toc53993535"/>
      <w:bookmarkStart w:id="104" w:name="_Toc54016573"/>
      <w:bookmarkStart w:id="105" w:name="_Toc256000023"/>
      <w:bookmarkStart w:id="106" w:name="_Toc176524955"/>
      <w:r w:rsidRPr="004C2949">
        <w:t>Referens- och länkförteckning</w:t>
      </w:r>
      <w:bookmarkEnd w:id="99"/>
      <w:bookmarkEnd w:id="100"/>
      <w:bookmarkEnd w:id="101"/>
      <w:bookmarkEnd w:id="102"/>
      <w:bookmarkEnd w:id="103"/>
      <w:bookmarkEnd w:id="104"/>
      <w:bookmarkEnd w:id="105"/>
      <w:bookmarkEnd w:id="106"/>
    </w:p>
    <w:p w14:paraId="40477C34" w14:textId="634A6D0E" w:rsidR="004C2949" w:rsidRPr="004C2949" w:rsidRDefault="004C2949" w:rsidP="00C84B11">
      <w:pPr>
        <w:pStyle w:val="Punktlistanumrerad"/>
      </w:pPr>
      <w:r>
        <w:t>Läkemedel utan förmån, hantering på SÄS. Sjukhusövergripande riktlinje, SÄS. Läkemedelsrådet SÄS</w:t>
      </w:r>
      <w:r>
        <w:br/>
      </w:r>
      <w:hyperlink r:id="rId22">
        <w:r w:rsidR="003735DB" w:rsidRPr="4E576371">
          <w:rPr>
            <w:rStyle w:val="Hyperlink"/>
          </w:rPr>
          <w:t>https://hittadokument.vgregion.se/sas</w:t>
        </w:r>
      </w:hyperlink>
    </w:p>
    <w:p w14:paraId="1174B321" w14:textId="77777777" w:rsidR="004C2949" w:rsidRPr="004C2949" w:rsidRDefault="004C2949" w:rsidP="00C84B11">
      <w:pPr>
        <w:pStyle w:val="Punktlistanumrerad"/>
      </w:pPr>
      <w:r>
        <w:t>REK-lista, kommunala akutläkemedelsförråd. Läkemedelskommittén i Västra Götalandsregionen</w:t>
      </w:r>
      <w:r>
        <w:br/>
      </w:r>
      <w:hyperlink r:id="rId23" w:anchor="/resource/Kommunala_akutlakemedelsforrad">
        <w:r w:rsidRPr="4E576371">
          <w:rPr>
            <w:rStyle w:val="Hyperlink"/>
          </w:rPr>
          <w:t>https://reklistan.vgregion.se/#/resource/Kommunala_akutlakemedelsforrad</w:t>
        </w:r>
      </w:hyperlink>
    </w:p>
    <w:p w14:paraId="4508C378" w14:textId="3276F78E" w:rsidR="004C2949" w:rsidRPr="004C2949" w:rsidRDefault="004C2949" w:rsidP="197B9262">
      <w:pPr>
        <w:pStyle w:val="Punktlistanumrerad"/>
      </w:pPr>
      <w:r>
        <w:t>Regional rutin för läkemedelshantering. Sjukhusapoteket VGR</w:t>
      </w:r>
      <w:r>
        <w:br/>
      </w:r>
      <w:hyperlink r:id="rId24">
        <w:r w:rsidR="529D9076" w:rsidRPr="4E576371">
          <w:rPr>
            <w:rStyle w:val="Hyperlink"/>
          </w:rPr>
          <w:t>Regional rutin för läkemedelshantering i Västra Götalandsregionen.pdf (vgregion.se)</w:t>
        </w:r>
      </w:hyperlink>
    </w:p>
    <w:p w14:paraId="7C3F9B32" w14:textId="015DED30" w:rsidR="004C2949" w:rsidRPr="004C2949" w:rsidRDefault="004C2949" w:rsidP="00C84B11">
      <w:pPr>
        <w:pStyle w:val="Punktlistanumrerad"/>
      </w:pPr>
      <w:r>
        <w:t xml:space="preserve">Central venös infart (CVI) - inläggning och skötsel vid SÄS. Sjukhusövergripande riktlinje, SÄS. </w:t>
      </w:r>
      <w:r>
        <w:br/>
      </w:r>
      <w:hyperlink r:id="rId25">
        <w:r w:rsidRPr="4E576371">
          <w:rPr>
            <w:rStyle w:val="Hyperlink"/>
          </w:rPr>
          <w:t>http://hittadokument.vgregion.se/sas</w:t>
        </w:r>
      </w:hyperlink>
    </w:p>
    <w:p w14:paraId="2F31CDBE" w14:textId="669320C9" w:rsidR="004C2949" w:rsidRPr="004C2949" w:rsidRDefault="004C2949" w:rsidP="00C84B11">
      <w:pPr>
        <w:pStyle w:val="Punktlistanumrerad"/>
      </w:pPr>
      <w:r>
        <w:t>Akut anafylaktisk reaktion hos vuxna, SÄS. Sjukhusövergripande rutin, SÄS</w:t>
      </w:r>
      <w:r>
        <w:br/>
      </w:r>
      <w:hyperlink r:id="rId26">
        <w:r w:rsidRPr="4E576371">
          <w:rPr>
            <w:rStyle w:val="Hyperlink"/>
          </w:rPr>
          <w:t>http://hittadokument.vgregion.se/sas</w:t>
        </w:r>
      </w:hyperlink>
    </w:p>
    <w:p w14:paraId="76B9F95B" w14:textId="210F59C3" w:rsidR="00536A5A" w:rsidRPr="00DA10B2" w:rsidRDefault="005A2F0E" w:rsidP="00DA10B2">
      <w:pPr>
        <w:pStyle w:val="Punktlistanumrerad"/>
      </w:pPr>
      <w:hyperlink r:id="rId27">
        <w:r w:rsidR="004C2949">
          <w:t>Anafylaxibehandling och utredning hos vuxna patienter på SÄS samt råd om uppföljning</w:t>
        </w:r>
        <w:r w:rsidR="00FA655D">
          <w:br/>
        </w:r>
      </w:hyperlink>
      <w:bookmarkEnd w:id="0"/>
      <w:r w:rsidR="00F44961">
        <w:fldChar w:fldCharType="begin"/>
      </w:r>
      <w:r w:rsidR="00F44961">
        <w:instrText>HYPERLINK "https://mellanarkiv-offentlig.vgregion.se/alfresco/s/archive/stream/public/v1/source/available/sofia/sas9642-738863596-37/surrogate/Anafylaxibehandling%20och%20utredning%20hos%20vuxna%20patienter%20inom%20S%c3%84S%20samt%20r%c3%a5d%20om%20uppf%c3%b6ljning.pdf" \h</w:instrText>
      </w:r>
      <w:r w:rsidR="00F44961">
        <w:fldChar w:fldCharType="separate"/>
      </w:r>
      <w:r w:rsidR="72B561C7" w:rsidRPr="4E576371">
        <w:rPr>
          <w:rStyle w:val="Hyperlink"/>
        </w:rPr>
        <w:t>Anafylaxibehandling och utredning hos vuxna patienter inom SÄS samt råd om uppföljning (vgregion.se)</w:t>
      </w:r>
      <w:r w:rsidR="00F44961">
        <w:rPr>
          <w:rStyle w:val="Hyperlink"/>
        </w:rPr>
        <w:fldChar w:fldCharType="end"/>
      </w:r>
    </w:p>
    <w:sectPr w:rsidR="00536A5A" w:rsidRPr="00DA10B2" w:rsidSect="004C294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28CA8A" w14:textId="77777777" w:rsidR="00747EBE" w:rsidRDefault="00747EBE">
      <w:r>
        <w:separator/>
      </w:r>
    </w:p>
  </w:endnote>
  <w:endnote w:type="continuationSeparator" w:id="0">
    <w:p w14:paraId="6BD181C0" w14:textId="77777777" w:rsidR="00747EBE" w:rsidRDefault="00747EBE">
      <w:r>
        <w:continuationSeparator/>
      </w:r>
    </w:p>
  </w:endnote>
  <w:endnote w:type="continuationNotice" w:id="1">
    <w:p w14:paraId="3F03EB9A" w14:textId="77777777" w:rsidR="00747EBE" w:rsidRDefault="00747EB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Arial Fet">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05BD490" w14:textId="77777777" w:rsidR="00747EBE" w:rsidRDefault="00747EBE"/>
  </w:footnote>
  <w:footnote w:type="continuationSeparator" w:id="0">
    <w:p w14:paraId="104FCD52" w14:textId="77777777" w:rsidR="00747EBE" w:rsidRDefault="00747EBE">
      <w:r>
        <w:continuationSeparator/>
      </w:r>
    </w:p>
  </w:footnote>
  <w:footnote w:type="continuationNotice" w:id="1">
    <w:p w14:paraId="5597366A" w14:textId="77777777" w:rsidR="00747EBE" w:rsidRDefault="00747EB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07AE19BA"/>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DCD812"/>
    <w:multiLevelType w:val="hybridMultilevel"/>
    <w:tmpl w:val="9E5E2438"/>
    <w:lvl w:ilvl="0" w:tplc="C9AC6078">
      <w:start w:val="1"/>
      <w:numFmt w:val="decimal"/>
      <w:lvlText w:val="%1."/>
      <w:lvlJc w:val="left"/>
      <w:pPr>
        <w:ind w:left="1440" w:hanging="360"/>
      </w:pPr>
    </w:lvl>
    <w:lvl w:ilvl="1" w:tplc="5F28D6DE">
      <w:start w:val="1"/>
      <w:numFmt w:val="lowerLetter"/>
      <w:lvlText w:val="%2."/>
      <w:lvlJc w:val="left"/>
      <w:pPr>
        <w:ind w:left="2160" w:hanging="360"/>
      </w:pPr>
    </w:lvl>
    <w:lvl w:ilvl="2" w:tplc="88A8076E">
      <w:start w:val="1"/>
      <w:numFmt w:val="lowerRoman"/>
      <w:lvlText w:val="%3."/>
      <w:lvlJc w:val="right"/>
      <w:pPr>
        <w:ind w:left="2880" w:hanging="180"/>
      </w:pPr>
    </w:lvl>
    <w:lvl w:ilvl="3" w:tplc="8240469C">
      <w:start w:val="1"/>
      <w:numFmt w:val="decimal"/>
      <w:lvlText w:val="%4."/>
      <w:lvlJc w:val="left"/>
      <w:pPr>
        <w:ind w:left="3600" w:hanging="360"/>
      </w:pPr>
    </w:lvl>
    <w:lvl w:ilvl="4" w:tplc="237C983C">
      <w:start w:val="1"/>
      <w:numFmt w:val="lowerLetter"/>
      <w:lvlText w:val="%5."/>
      <w:lvlJc w:val="left"/>
      <w:pPr>
        <w:ind w:left="4320" w:hanging="360"/>
      </w:pPr>
    </w:lvl>
    <w:lvl w:ilvl="5" w:tplc="9A308DEA">
      <w:start w:val="1"/>
      <w:numFmt w:val="lowerRoman"/>
      <w:lvlText w:val="%6."/>
      <w:lvlJc w:val="right"/>
      <w:pPr>
        <w:ind w:left="5040" w:hanging="180"/>
      </w:pPr>
    </w:lvl>
    <w:lvl w:ilvl="6" w:tplc="CFB015C2">
      <w:start w:val="1"/>
      <w:numFmt w:val="decimal"/>
      <w:lvlText w:val="%7."/>
      <w:lvlJc w:val="left"/>
      <w:pPr>
        <w:ind w:left="5760" w:hanging="360"/>
      </w:pPr>
    </w:lvl>
    <w:lvl w:ilvl="7" w:tplc="24EE418E">
      <w:start w:val="1"/>
      <w:numFmt w:val="lowerLetter"/>
      <w:lvlText w:val="%8."/>
      <w:lvlJc w:val="left"/>
      <w:pPr>
        <w:ind w:left="6480" w:hanging="360"/>
      </w:pPr>
    </w:lvl>
    <w:lvl w:ilvl="8" w:tplc="7090B3BA">
      <w:start w:val="1"/>
      <w:numFmt w:val="lowerRoman"/>
      <w:lvlText w:val="%9."/>
      <w:lvlJc w:val="right"/>
      <w:pPr>
        <w:ind w:left="720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8190633"/>
    <w:multiLevelType w:val="multilevel"/>
    <w:tmpl w:val="12801EC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035876A"/>
    <w:multiLevelType w:val="hybridMultilevel"/>
    <w:tmpl w:val="DD1C3182"/>
    <w:lvl w:ilvl="0" w:tplc="B5389FD0">
      <w:start w:val="1"/>
      <w:numFmt w:val="decimal"/>
      <w:lvlText w:val="%1."/>
      <w:lvlJc w:val="left"/>
      <w:pPr>
        <w:ind w:left="720" w:hanging="360"/>
      </w:pPr>
    </w:lvl>
    <w:lvl w:ilvl="1" w:tplc="5CCC972C">
      <w:start w:val="1"/>
      <w:numFmt w:val="lowerLetter"/>
      <w:lvlText w:val="%2."/>
      <w:lvlJc w:val="left"/>
      <w:pPr>
        <w:ind w:left="1440" w:hanging="360"/>
      </w:pPr>
    </w:lvl>
    <w:lvl w:ilvl="2" w:tplc="11707542">
      <w:start w:val="1"/>
      <w:numFmt w:val="lowerRoman"/>
      <w:lvlText w:val="%3."/>
      <w:lvlJc w:val="right"/>
      <w:pPr>
        <w:ind w:left="2160" w:hanging="180"/>
      </w:pPr>
    </w:lvl>
    <w:lvl w:ilvl="3" w:tplc="DB90CE92">
      <w:start w:val="1"/>
      <w:numFmt w:val="decimal"/>
      <w:lvlText w:val="%4."/>
      <w:lvlJc w:val="left"/>
      <w:pPr>
        <w:ind w:left="2880" w:hanging="360"/>
      </w:pPr>
    </w:lvl>
    <w:lvl w:ilvl="4" w:tplc="55A04026">
      <w:start w:val="1"/>
      <w:numFmt w:val="lowerLetter"/>
      <w:lvlText w:val="%5."/>
      <w:lvlJc w:val="left"/>
      <w:pPr>
        <w:ind w:left="3600" w:hanging="360"/>
      </w:pPr>
    </w:lvl>
    <w:lvl w:ilvl="5" w:tplc="55A02E7E">
      <w:start w:val="1"/>
      <w:numFmt w:val="lowerRoman"/>
      <w:lvlText w:val="%6."/>
      <w:lvlJc w:val="right"/>
      <w:pPr>
        <w:ind w:left="4320" w:hanging="180"/>
      </w:pPr>
    </w:lvl>
    <w:lvl w:ilvl="6" w:tplc="02085B7A">
      <w:start w:val="1"/>
      <w:numFmt w:val="decimal"/>
      <w:lvlText w:val="%7."/>
      <w:lvlJc w:val="left"/>
      <w:pPr>
        <w:ind w:left="5040" w:hanging="360"/>
      </w:pPr>
    </w:lvl>
    <w:lvl w:ilvl="7" w:tplc="BB4625E2">
      <w:start w:val="1"/>
      <w:numFmt w:val="lowerLetter"/>
      <w:lvlText w:val="%8."/>
      <w:lvlJc w:val="left"/>
      <w:pPr>
        <w:ind w:left="5760" w:hanging="360"/>
      </w:pPr>
    </w:lvl>
    <w:lvl w:ilvl="8" w:tplc="B2306826">
      <w:start w:val="1"/>
      <w:numFmt w:val="lowerRoman"/>
      <w:lvlText w:val="%9."/>
      <w:lvlJc w:val="right"/>
      <w:pPr>
        <w:ind w:left="648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E9F31E4"/>
    <w:multiLevelType w:val="hybridMultilevel"/>
    <w:tmpl w:val="6F4EA698"/>
    <w:lvl w:ilvl="0" w:tplc="B3704BEA">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6C3ED0AA"/>
    <w:multiLevelType w:val="hybridMultilevel"/>
    <w:tmpl w:val="2E48F5F8"/>
    <w:lvl w:ilvl="0" w:tplc="EE2A702C">
      <w:start w:val="1"/>
      <w:numFmt w:val="decimal"/>
      <w:lvlText w:val="%1."/>
      <w:lvlJc w:val="left"/>
      <w:pPr>
        <w:ind w:left="1440" w:hanging="360"/>
      </w:pPr>
    </w:lvl>
    <w:lvl w:ilvl="1" w:tplc="BA5E61DA">
      <w:start w:val="1"/>
      <w:numFmt w:val="lowerLetter"/>
      <w:lvlText w:val="%2."/>
      <w:lvlJc w:val="left"/>
      <w:pPr>
        <w:ind w:left="2160" w:hanging="360"/>
      </w:pPr>
    </w:lvl>
    <w:lvl w:ilvl="2" w:tplc="4E0ECD42">
      <w:start w:val="1"/>
      <w:numFmt w:val="lowerRoman"/>
      <w:lvlText w:val="%3."/>
      <w:lvlJc w:val="right"/>
      <w:pPr>
        <w:ind w:left="2880" w:hanging="180"/>
      </w:pPr>
    </w:lvl>
    <w:lvl w:ilvl="3" w:tplc="EF4A6F44">
      <w:start w:val="1"/>
      <w:numFmt w:val="decimal"/>
      <w:lvlText w:val="%4."/>
      <w:lvlJc w:val="left"/>
      <w:pPr>
        <w:ind w:left="3600" w:hanging="360"/>
      </w:pPr>
    </w:lvl>
    <w:lvl w:ilvl="4" w:tplc="128A753C">
      <w:start w:val="1"/>
      <w:numFmt w:val="lowerLetter"/>
      <w:lvlText w:val="%5."/>
      <w:lvlJc w:val="left"/>
      <w:pPr>
        <w:ind w:left="4320" w:hanging="360"/>
      </w:pPr>
    </w:lvl>
    <w:lvl w:ilvl="5" w:tplc="E2F6B0A2">
      <w:start w:val="1"/>
      <w:numFmt w:val="lowerRoman"/>
      <w:lvlText w:val="%6."/>
      <w:lvlJc w:val="right"/>
      <w:pPr>
        <w:ind w:left="5040" w:hanging="180"/>
      </w:pPr>
    </w:lvl>
    <w:lvl w:ilvl="6" w:tplc="B55AF05C">
      <w:start w:val="1"/>
      <w:numFmt w:val="decimal"/>
      <w:lvlText w:val="%7."/>
      <w:lvlJc w:val="left"/>
      <w:pPr>
        <w:ind w:left="5760" w:hanging="360"/>
      </w:pPr>
    </w:lvl>
    <w:lvl w:ilvl="7" w:tplc="A386C3AE">
      <w:start w:val="1"/>
      <w:numFmt w:val="lowerLetter"/>
      <w:lvlText w:val="%8."/>
      <w:lvlJc w:val="left"/>
      <w:pPr>
        <w:ind w:left="6480" w:hanging="360"/>
      </w:pPr>
    </w:lvl>
    <w:lvl w:ilvl="8" w:tplc="5DDA06F8">
      <w:start w:val="1"/>
      <w:numFmt w:val="lowerRoman"/>
      <w:lvlText w:val="%9."/>
      <w:lvlJc w:val="right"/>
      <w:pPr>
        <w:ind w:left="7200"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367737">
    <w:abstractNumId w:val="20"/>
  </w:num>
  <w:num w:numId="2" w16cid:durableId="384643364">
    <w:abstractNumId w:val="5"/>
  </w:num>
  <w:num w:numId="3" w16cid:durableId="1554001976">
    <w:abstractNumId w:val="15"/>
  </w:num>
  <w:num w:numId="4" w16cid:durableId="1015883107">
    <w:abstractNumId w:val="1"/>
  </w:num>
  <w:num w:numId="5" w16cid:durableId="1685395134">
    <w:abstractNumId w:val="10"/>
  </w:num>
  <w:num w:numId="6" w16cid:durableId="17067160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684604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8659900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25090659">
    <w:abstractNumId w:val="19"/>
  </w:num>
  <w:num w:numId="10" w16cid:durableId="107585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56A6"/>
    <w:rsid w:val="000E463B"/>
    <w:rsid w:val="000E5A7E"/>
    <w:rsid w:val="000F43A3"/>
    <w:rsid w:val="000F7681"/>
    <w:rsid w:val="00103031"/>
    <w:rsid w:val="001044FE"/>
    <w:rsid w:val="001139D4"/>
    <w:rsid w:val="0012ACC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0C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4519"/>
    <w:rsid w:val="0028499C"/>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5CE4"/>
    <w:rsid w:val="00316CE5"/>
    <w:rsid w:val="003203D7"/>
    <w:rsid w:val="00320F86"/>
    <w:rsid w:val="00324171"/>
    <w:rsid w:val="00326C24"/>
    <w:rsid w:val="00337F99"/>
    <w:rsid w:val="0034307B"/>
    <w:rsid w:val="00345EB1"/>
    <w:rsid w:val="00350CC4"/>
    <w:rsid w:val="00351D5C"/>
    <w:rsid w:val="0035373B"/>
    <w:rsid w:val="00356DA0"/>
    <w:rsid w:val="00360E0D"/>
    <w:rsid w:val="003627D8"/>
    <w:rsid w:val="0036357D"/>
    <w:rsid w:val="00363B23"/>
    <w:rsid w:val="0036594C"/>
    <w:rsid w:val="00367D19"/>
    <w:rsid w:val="00371BED"/>
    <w:rsid w:val="003735DB"/>
    <w:rsid w:val="00384019"/>
    <w:rsid w:val="003854F1"/>
    <w:rsid w:val="0039118E"/>
    <w:rsid w:val="00397F54"/>
    <w:rsid w:val="003A0D43"/>
    <w:rsid w:val="003A5506"/>
    <w:rsid w:val="003B2A4B"/>
    <w:rsid w:val="003D099E"/>
    <w:rsid w:val="003D21A2"/>
    <w:rsid w:val="003D29D2"/>
    <w:rsid w:val="003E0705"/>
    <w:rsid w:val="003E2FF7"/>
    <w:rsid w:val="003F1013"/>
    <w:rsid w:val="003F1ACF"/>
    <w:rsid w:val="00401F78"/>
    <w:rsid w:val="00404948"/>
    <w:rsid w:val="00406BEA"/>
    <w:rsid w:val="00413A60"/>
    <w:rsid w:val="004230F7"/>
    <w:rsid w:val="0043167E"/>
    <w:rsid w:val="0043409A"/>
    <w:rsid w:val="00434262"/>
    <w:rsid w:val="00443C1E"/>
    <w:rsid w:val="00446255"/>
    <w:rsid w:val="00451935"/>
    <w:rsid w:val="00460ED0"/>
    <w:rsid w:val="00465651"/>
    <w:rsid w:val="00470CE7"/>
    <w:rsid w:val="00470F4F"/>
    <w:rsid w:val="00472482"/>
    <w:rsid w:val="004766D3"/>
    <w:rsid w:val="00480DC7"/>
    <w:rsid w:val="004876F6"/>
    <w:rsid w:val="00490610"/>
    <w:rsid w:val="0049236A"/>
    <w:rsid w:val="00492718"/>
    <w:rsid w:val="004A355D"/>
    <w:rsid w:val="004A4970"/>
    <w:rsid w:val="004B2183"/>
    <w:rsid w:val="004B2A01"/>
    <w:rsid w:val="004C2559"/>
    <w:rsid w:val="004C2949"/>
    <w:rsid w:val="004D0CE5"/>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02A6"/>
    <w:rsid w:val="005A2E3B"/>
    <w:rsid w:val="005A2F0E"/>
    <w:rsid w:val="005A54ED"/>
    <w:rsid w:val="005A5D5B"/>
    <w:rsid w:val="005A6081"/>
    <w:rsid w:val="005A627D"/>
    <w:rsid w:val="005B084A"/>
    <w:rsid w:val="005B3A54"/>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4EF"/>
    <w:rsid w:val="0065595B"/>
    <w:rsid w:val="00660269"/>
    <w:rsid w:val="00665F89"/>
    <w:rsid w:val="00673C92"/>
    <w:rsid w:val="006753EC"/>
    <w:rsid w:val="006A2789"/>
    <w:rsid w:val="006A4978"/>
    <w:rsid w:val="006A7261"/>
    <w:rsid w:val="006B0D29"/>
    <w:rsid w:val="006B1819"/>
    <w:rsid w:val="006B5DE7"/>
    <w:rsid w:val="006C2B0F"/>
    <w:rsid w:val="006C5048"/>
    <w:rsid w:val="006C6A4B"/>
    <w:rsid w:val="006C779F"/>
    <w:rsid w:val="006D01F5"/>
    <w:rsid w:val="006D0CFB"/>
    <w:rsid w:val="006D3054"/>
    <w:rsid w:val="006D30C0"/>
    <w:rsid w:val="006D7535"/>
    <w:rsid w:val="006E450B"/>
    <w:rsid w:val="006F0D7E"/>
    <w:rsid w:val="00710B77"/>
    <w:rsid w:val="0072075B"/>
    <w:rsid w:val="007221C2"/>
    <w:rsid w:val="00725816"/>
    <w:rsid w:val="00730955"/>
    <w:rsid w:val="00733A32"/>
    <w:rsid w:val="00733A9C"/>
    <w:rsid w:val="00736574"/>
    <w:rsid w:val="007367E0"/>
    <w:rsid w:val="00737215"/>
    <w:rsid w:val="00744923"/>
    <w:rsid w:val="00747EBE"/>
    <w:rsid w:val="00754905"/>
    <w:rsid w:val="00760038"/>
    <w:rsid w:val="00762EE0"/>
    <w:rsid w:val="00765C41"/>
    <w:rsid w:val="00771100"/>
    <w:rsid w:val="007732C4"/>
    <w:rsid w:val="007759DD"/>
    <w:rsid w:val="00783262"/>
    <w:rsid w:val="0078609F"/>
    <w:rsid w:val="007917BA"/>
    <w:rsid w:val="007A5C6F"/>
    <w:rsid w:val="007B4B61"/>
    <w:rsid w:val="007D4241"/>
    <w:rsid w:val="007D4317"/>
    <w:rsid w:val="007D4EA3"/>
    <w:rsid w:val="007F1CFF"/>
    <w:rsid w:val="007F5DD5"/>
    <w:rsid w:val="007F766F"/>
    <w:rsid w:val="00821A1B"/>
    <w:rsid w:val="008262E9"/>
    <w:rsid w:val="00827E69"/>
    <w:rsid w:val="00832177"/>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6D98"/>
    <w:rsid w:val="008E36F8"/>
    <w:rsid w:val="008E46B2"/>
    <w:rsid w:val="008E682C"/>
    <w:rsid w:val="008E78A1"/>
    <w:rsid w:val="008F589F"/>
    <w:rsid w:val="00906238"/>
    <w:rsid w:val="00907EF9"/>
    <w:rsid w:val="00912435"/>
    <w:rsid w:val="0091295C"/>
    <w:rsid w:val="00914D58"/>
    <w:rsid w:val="00915104"/>
    <w:rsid w:val="00921F47"/>
    <w:rsid w:val="009228AB"/>
    <w:rsid w:val="0093085B"/>
    <w:rsid w:val="00931C57"/>
    <w:rsid w:val="009331AA"/>
    <w:rsid w:val="009347A5"/>
    <w:rsid w:val="00942257"/>
    <w:rsid w:val="009471BF"/>
    <w:rsid w:val="00950E4E"/>
    <w:rsid w:val="00952563"/>
    <w:rsid w:val="009529BD"/>
    <w:rsid w:val="009533B4"/>
    <w:rsid w:val="0096709D"/>
    <w:rsid w:val="00971D93"/>
    <w:rsid w:val="009B1F6B"/>
    <w:rsid w:val="009B262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35D"/>
    <w:rsid w:val="00A514B7"/>
    <w:rsid w:val="00A54A0B"/>
    <w:rsid w:val="00A633D7"/>
    <w:rsid w:val="00A65FD4"/>
    <w:rsid w:val="00A81198"/>
    <w:rsid w:val="00A81E48"/>
    <w:rsid w:val="00A82035"/>
    <w:rsid w:val="00A90D77"/>
    <w:rsid w:val="00A92E07"/>
    <w:rsid w:val="00AA0B3A"/>
    <w:rsid w:val="00AA6EB4"/>
    <w:rsid w:val="00AA767D"/>
    <w:rsid w:val="00AB0CC9"/>
    <w:rsid w:val="00AC3FF6"/>
    <w:rsid w:val="00AC5585"/>
    <w:rsid w:val="00AD73EC"/>
    <w:rsid w:val="00AE5BC7"/>
    <w:rsid w:val="00AF5AAF"/>
    <w:rsid w:val="00B046D8"/>
    <w:rsid w:val="00B13653"/>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2D5C"/>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0BC9"/>
    <w:rsid w:val="00C84B11"/>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5422"/>
    <w:rsid w:val="00D208EB"/>
    <w:rsid w:val="00D37E7F"/>
    <w:rsid w:val="00D47AD7"/>
    <w:rsid w:val="00D50D55"/>
    <w:rsid w:val="00D51529"/>
    <w:rsid w:val="00D85218"/>
    <w:rsid w:val="00D915B1"/>
    <w:rsid w:val="00DA10B2"/>
    <w:rsid w:val="00DA299D"/>
    <w:rsid w:val="00DA65C4"/>
    <w:rsid w:val="00DB069E"/>
    <w:rsid w:val="00DC38BD"/>
    <w:rsid w:val="00DD2BE0"/>
    <w:rsid w:val="00DE3B9C"/>
    <w:rsid w:val="00DE4447"/>
    <w:rsid w:val="00DE5DA2"/>
    <w:rsid w:val="00DF0033"/>
    <w:rsid w:val="00E026BF"/>
    <w:rsid w:val="00E07B1B"/>
    <w:rsid w:val="00E11853"/>
    <w:rsid w:val="00E40FD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4038"/>
    <w:rsid w:val="00F44961"/>
    <w:rsid w:val="00F5135F"/>
    <w:rsid w:val="00F51F78"/>
    <w:rsid w:val="00F55D43"/>
    <w:rsid w:val="00F86F47"/>
    <w:rsid w:val="00F90B64"/>
    <w:rsid w:val="00FA655D"/>
    <w:rsid w:val="00FB2F0F"/>
    <w:rsid w:val="00FB5086"/>
    <w:rsid w:val="00FB5411"/>
    <w:rsid w:val="00FB6392"/>
    <w:rsid w:val="00FC1289"/>
    <w:rsid w:val="00FD3C70"/>
    <w:rsid w:val="00FD6820"/>
    <w:rsid w:val="00FE12D8"/>
    <w:rsid w:val="00FF7C02"/>
    <w:rsid w:val="016C7D11"/>
    <w:rsid w:val="024801E3"/>
    <w:rsid w:val="03347797"/>
    <w:rsid w:val="0470B3C8"/>
    <w:rsid w:val="07C4D9DC"/>
    <w:rsid w:val="082FC1DE"/>
    <w:rsid w:val="0A91590D"/>
    <w:rsid w:val="0B5AAFF0"/>
    <w:rsid w:val="0CD0CA91"/>
    <w:rsid w:val="0D7427FE"/>
    <w:rsid w:val="10F9E743"/>
    <w:rsid w:val="1502BEAB"/>
    <w:rsid w:val="15C0CCDE"/>
    <w:rsid w:val="17BDE4AA"/>
    <w:rsid w:val="183A5F6D"/>
    <w:rsid w:val="197B9262"/>
    <w:rsid w:val="1C038391"/>
    <w:rsid w:val="1C296D1C"/>
    <w:rsid w:val="1FC1A9C6"/>
    <w:rsid w:val="23A63AC2"/>
    <w:rsid w:val="2546391D"/>
    <w:rsid w:val="25F863EE"/>
    <w:rsid w:val="284358C8"/>
    <w:rsid w:val="2CB3970D"/>
    <w:rsid w:val="2E39A6E8"/>
    <w:rsid w:val="308DFFDD"/>
    <w:rsid w:val="33BCA9BA"/>
    <w:rsid w:val="36EF1D4E"/>
    <w:rsid w:val="3B92F54D"/>
    <w:rsid w:val="3E97686E"/>
    <w:rsid w:val="41E32613"/>
    <w:rsid w:val="42B84140"/>
    <w:rsid w:val="481D9E1C"/>
    <w:rsid w:val="49D3F5C6"/>
    <w:rsid w:val="4A928E4C"/>
    <w:rsid w:val="4AE1FAEB"/>
    <w:rsid w:val="4AF78A98"/>
    <w:rsid w:val="4DA34598"/>
    <w:rsid w:val="4E576371"/>
    <w:rsid w:val="4E91124D"/>
    <w:rsid w:val="51B88F08"/>
    <w:rsid w:val="529D9076"/>
    <w:rsid w:val="53228E55"/>
    <w:rsid w:val="560C2A00"/>
    <w:rsid w:val="582457CA"/>
    <w:rsid w:val="59252A51"/>
    <w:rsid w:val="5A0C4948"/>
    <w:rsid w:val="5A7140E2"/>
    <w:rsid w:val="5B233402"/>
    <w:rsid w:val="5D43EA0A"/>
    <w:rsid w:val="5DD9FF4F"/>
    <w:rsid w:val="5E8870F0"/>
    <w:rsid w:val="5F9382A1"/>
    <w:rsid w:val="63409FA5"/>
    <w:rsid w:val="647B2B65"/>
    <w:rsid w:val="6627A0E8"/>
    <w:rsid w:val="66F94488"/>
    <w:rsid w:val="6A0944B5"/>
    <w:rsid w:val="6B2CF8ED"/>
    <w:rsid w:val="6BAD3501"/>
    <w:rsid w:val="6BBD7E0C"/>
    <w:rsid w:val="6E4F268B"/>
    <w:rsid w:val="6F32E50E"/>
    <w:rsid w:val="6F3D83E4"/>
    <w:rsid w:val="70F75EA9"/>
    <w:rsid w:val="72B561C7"/>
    <w:rsid w:val="74A3E9EE"/>
    <w:rsid w:val="751D0B18"/>
    <w:rsid w:val="75924B14"/>
    <w:rsid w:val="761D6F2B"/>
    <w:rsid w:val="77C26253"/>
    <w:rsid w:val="78529B0F"/>
    <w:rsid w:val="793E1810"/>
    <w:rsid w:val="7BF7CE1C"/>
    <w:rsid w:val="7F7410A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74607A8-19EE-442F-B5AD-15298EEEE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C2949"/>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4C2949"/>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4C294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351D5C"/>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351D5C"/>
    <w:pPr>
      <w:tabs>
        <w:tab w:val="right" w:leader="dot" w:pos="8777"/>
      </w:tabs>
      <w:spacing w:after="0"/>
      <w:ind w:left="1349"/>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43426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8D6D98"/>
    <w:pPr>
      <w:numPr>
        <w:numId w:val="9"/>
      </w:numPr>
      <w:tabs>
        <w:tab w:val="left" w:pos="1349"/>
      </w:tabs>
      <w:spacing w:after="80"/>
      <w:ind w:left="1349"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4C2949"/>
    <w:rPr>
      <w:rFonts w:asciiTheme="majorHAnsi" w:eastAsiaTheme="majorEastAsia" w:hAnsiTheme="majorHAnsi" w:cstheme="majorBidi"/>
      <w:color w:val="00304B" w:themeColor="accent1" w:themeShade="7F"/>
      <w:sz w:val="24"/>
      <w:szCs w:val="24"/>
    </w:rPr>
  </w:style>
  <w:style w:type="character" w:customStyle="1" w:styleId="Heading9Char">
    <w:name w:val="Heading 9 Char"/>
    <w:basedOn w:val="DefaultParagraphFont"/>
    <w:link w:val="Heading9"/>
    <w:uiPriority w:val="9"/>
    <w:semiHidden/>
    <w:rsid w:val="004C2949"/>
    <w:rPr>
      <w:rFonts w:asciiTheme="majorHAnsi" w:eastAsiaTheme="majorEastAsia" w:hAnsiTheme="majorHAnsi" w:cstheme="majorBidi"/>
      <w:i/>
      <w:iCs/>
      <w:color w:val="272727" w:themeColor="text1" w:themeTint="D8"/>
      <w:sz w:val="21"/>
      <w:szCs w:val="21"/>
    </w:rPr>
  </w:style>
  <w:style w:type="paragraph" w:customStyle="1" w:styleId="a">
    <w:next w:val="ListNumber"/>
    <w:rsid w:val="004C2949"/>
    <w:pPr>
      <w:tabs>
        <w:tab w:val="num" w:pos="3036"/>
      </w:tabs>
      <w:spacing w:after="80"/>
      <w:ind w:left="3033" w:hanging="357"/>
    </w:pPr>
    <w:rPr>
      <w:sz w:val="24"/>
    </w:rPr>
  </w:style>
  <w:style w:type="paragraph" w:styleId="ListNumber">
    <w:name w:val="List Number"/>
    <w:basedOn w:val="Normal"/>
    <w:uiPriority w:val="99"/>
    <w:semiHidden/>
    <w:unhideWhenUsed/>
    <w:rsid w:val="004C2949"/>
    <w:pPr>
      <w:tabs>
        <w:tab w:val="num" w:pos="720"/>
      </w:tabs>
      <w:ind w:left="720" w:hanging="720"/>
      <w:contextualSpacing/>
    </w:pPr>
  </w:style>
  <w:style w:type="paragraph" w:customStyle="1" w:styleId="Normalmedindrag">
    <w:name w:val="Normal med indrag"/>
    <w:qFormat/>
    <w:rsid w:val="003627D8"/>
    <w:pPr>
      <w:spacing w:before="80" w:after="80" w:line="288" w:lineRule="auto"/>
      <w:ind w:left="1349"/>
    </w:pPr>
    <w:rPr>
      <w:sz w:val="24"/>
      <w:szCs w:val="24"/>
    </w:rPr>
  </w:style>
  <w:style w:type="character" w:styleId="FollowedHyperlink">
    <w:name w:val="FollowedHyperlink"/>
    <w:basedOn w:val="DefaultParagraphFont"/>
    <w:uiPriority w:val="99"/>
    <w:semiHidden/>
    <w:unhideWhenUsed/>
    <w:rsid w:val="004D0CE5"/>
    <w:rPr>
      <w:color w:val="9EA2A2" w:themeColor="followedHyperlink"/>
      <w:u w:val="single"/>
    </w:rPr>
  </w:style>
  <w:style w:type="paragraph" w:customStyle="1" w:styleId="Punktlistanumrerad">
    <w:name w:val="Punktlista numrerad"/>
    <w:qFormat/>
    <w:rsid w:val="00783262"/>
    <w:pPr>
      <w:numPr>
        <w:numId w:val="4"/>
      </w:numPr>
      <w:tabs>
        <w:tab w:val="left" w:pos="1349"/>
      </w:tabs>
      <w:overflowPunct w:val="0"/>
      <w:autoSpaceDE w:val="0"/>
      <w:autoSpaceDN w:val="0"/>
      <w:adjustRightInd w:val="0"/>
      <w:spacing w:after="120" w:line="288" w:lineRule="auto"/>
      <w:ind w:left="1349" w:hanging="357"/>
      <w:textAlignment w:val="baseline"/>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8"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26" /><Relationship Type="http://schemas.openxmlformats.org/officeDocument/2006/relationships/hyperlink" Target="https://mellanarkiv-offentlig.vgregion.se/alfresco/s/archive/stream/public/v1/source/available/sofia/sas9642-738863596-37/surrogate/Anafylaxibehandling%20och%20utredning%20hos%20vuxna%20patienter%20inom%20S%c3%84S%20samt%20r%c3%a5d%20om%20uppf%c3%b6ljnin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16/SURROGATE/L%c3%a4kemedel%20utan%20f%c3%b6rm%c3%a5n%2c%20hantering%20p%c3%a5%20S%c3%84S.pdf" TargetMode="External" Id="rId17"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217/SURROGATE/Akut%20anafylaktisk%20reaktion%20hos%20vuxna%2c%20S%c3%84S.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24" /><Relationship Type="http://schemas.openxmlformats.org/officeDocument/2006/relationships/header" Target="header2.xml" Id="rId15" /><Relationship Type="http://schemas.openxmlformats.org/officeDocument/2006/relationships/hyperlink" Target="https://reklistan.vgregion.se/"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116/SURROGATE/L%c3%a4kemedel%20utan%20f%c3%b6rm%c3%a5n%2c%20hantering%20p%c3%a5%20S%c3%84S.pdf" TargetMode="External" Id="rId22" /><Relationship Type="http://schemas.openxmlformats.org/officeDocument/2006/relationships/hyperlink" Target="https://alfresco.vgregion.se/alfresco/service/vgr/storage/node/content/44049/Akut%20anafylaktisk%20reaktion%20hos%20vuxna,%20S%c3%84S.pdf?a=false&amp;guest=true" TargetMode="Externa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20</TotalTime>
  <Pages>1</Pages>
  <Words>1717</Words>
  <Characters>9792</Characters>
  <Application>Microsoft Office Word</Application>
  <DocSecurity>4</DocSecurity>
  <Lines>81</Lines>
  <Paragraphs>22</Paragraphs>
  <ScaleCrop>false</ScaleCrop>
  <Manager/>
  <Company/>
  <LinksUpToDate>false</LinksUpToDate>
  <CharactersWithSpaces>11487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Antibiotika till vuxna intravenöst i hemmet, SÄS</dc:title>
  <dc:subject/>
  <dc:creator>patrik.jens.johansson@vgregion.se</dc:creator>
  <keywords/>
  <lastModifiedBy>Karin Åhlin</lastModifiedBy>
  <revision>50</revision>
  <lastPrinted>2016-03-31T19:56:00.0000000Z</lastPrinted>
  <dcterms:created xsi:type="dcterms:W3CDTF">2022-03-28T14:29:00.0000000Z</dcterms:created>
  <dcterms:modified xsi:type="dcterms:W3CDTF">2024-09-06T21:22:00.0000000Z</dcterms:modified>
</coreProperties>
</file>