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0D52E27" w14:textId="77777777" w:rsidR="001A1672" w:rsidRPr="001A1672" w:rsidRDefault="001A1672" w:rsidP="00451A51">
      <w:pPr>
        <w:pStyle w:val="Rubrik1"/>
      </w:pPr>
      <w:bookmarkStart w:id="0" w:name="_Toc314219120"/>
      <w:bookmarkStart w:id="1" w:name="_Toc321146591"/>
      <w:r w:rsidRPr="001A1672">
        <w:t>Akut anafylaktisk reaktion hos vuxna, SÄS</w:t>
      </w:r>
    </w:p>
    <w:p w14:paraId="5D585174" w14:textId="77777777" w:rsidR="001A1672" w:rsidRPr="001A1672" w:rsidRDefault="001A1672" w:rsidP="00451A51">
      <w:pPr>
        <w:pStyle w:val="Rubrik2"/>
      </w:pPr>
      <w:bookmarkStart w:id="2" w:name="_Toc256000000"/>
      <w:bookmarkStart w:id="3" w:name="_Toc256000005"/>
      <w:bookmarkStart w:id="4" w:name="_Toc256000010"/>
      <w:r w:rsidRPr="001A1672">
        <w:t>Sammanfattning</w:t>
      </w:r>
      <w:bookmarkEnd w:id="0"/>
      <w:bookmarkEnd w:id="2"/>
      <w:bookmarkEnd w:id="3"/>
      <w:bookmarkEnd w:id="4"/>
    </w:p>
    <w:p w14:paraId="2039AD54" w14:textId="750FAD7B" w:rsidR="001A1672" w:rsidRDefault="001A1672" w:rsidP="00451A51">
      <w:r w:rsidRPr="001A1672">
        <w:t xml:space="preserve">Rutinen beskriver akut behandling vid misstanke om anafylaxi (allergisk chock) hos vuxna patienter. </w:t>
      </w:r>
      <w:r>
        <w:t>För barn hänvisas till barnläkarföreningens riktlinjer för allergi</w:t>
      </w:r>
      <w:r w:rsidR="00E55616">
        <w:t xml:space="preserve">, </w:t>
      </w:r>
      <w:hyperlink r:id="rId12">
        <w:r w:rsidR="7B2C2D41" w:rsidRPr="1BAFE024">
          <w:rPr>
            <w:rStyle w:val="Hyperlnk"/>
          </w:rPr>
          <w:t>Riktlinjer Allergi och Astma - Barnläkarföreningens delförening för allergi och lungmedicin</w:t>
        </w:r>
      </w:hyperlink>
      <w:r w:rsidR="00E511B9" w:rsidRPr="00E511B9">
        <w:rPr>
          <w:rStyle w:val="Hyperlnk"/>
          <w:u w:val="none"/>
        </w:rPr>
        <w:t>.</w:t>
      </w:r>
    </w:p>
    <w:p w14:paraId="32199852" w14:textId="29E3D5EB" w:rsidR="00451A51" w:rsidRPr="004E2A14" w:rsidRDefault="00451A51" w:rsidP="00451A51">
      <w:pPr>
        <w:pStyle w:val="Rubrik2"/>
      </w:pPr>
      <w:r w:rsidRPr="004E2A14">
        <w:t>Förändringar sedan föregående version</w:t>
      </w:r>
    </w:p>
    <w:p w14:paraId="1CD62599" w14:textId="152ACB82" w:rsidR="00451A51" w:rsidRPr="004E2A14" w:rsidRDefault="00BC06B7" w:rsidP="00451A51">
      <w:r>
        <w:t>Giltighetstiden förlängd</w:t>
      </w:r>
      <w:r w:rsidR="68242768" w:rsidRPr="004E2A14">
        <w:t>.</w:t>
      </w:r>
    </w:p>
    <w:p w14:paraId="2B14869C" w14:textId="77777777" w:rsidR="001A1672" w:rsidRPr="001A1672" w:rsidRDefault="001A1672" w:rsidP="00451A51">
      <w:pPr>
        <w:pStyle w:val="Rubrik2"/>
      </w:pPr>
      <w:bookmarkStart w:id="5" w:name="_Toc314219121"/>
      <w:bookmarkStart w:id="6" w:name="_Toc256000001"/>
      <w:bookmarkStart w:id="7" w:name="_Toc256000006"/>
      <w:bookmarkStart w:id="8" w:name="_Toc256000011"/>
      <w:r w:rsidRPr="004E2A14">
        <w:t>Förutsättningar</w:t>
      </w:r>
      <w:bookmarkEnd w:id="5"/>
      <w:bookmarkEnd w:id="6"/>
      <w:bookmarkEnd w:id="7"/>
      <w:bookmarkEnd w:id="8"/>
    </w:p>
    <w:p w14:paraId="2152EDC0" w14:textId="77777777" w:rsidR="0050092D" w:rsidRDefault="001A1672" w:rsidP="00451A51">
      <w:r w:rsidRPr="001A1672">
        <w:t>Verksamhetschef bör tillse att generella ordinationer av läkemedel enligt riktlinjen finns. Dessutom att rutin finns för ordination av dessa läkemedel i samband med att läkemedel med särskild risk för reaktion ordineras en patient.</w:t>
      </w:r>
    </w:p>
    <w:p w14:paraId="4D7CCC43" w14:textId="45146813" w:rsidR="001A1672" w:rsidRPr="00A812F1" w:rsidRDefault="001A1672" w:rsidP="00451A51">
      <w:r w:rsidRPr="001A1672">
        <w:t>Se sjukhusövergripande rutin som beskriver ansvarsförhållanden avseende akutläkemedel och innehåll i akutaskar</w:t>
      </w:r>
      <w:r w:rsidR="00F154BC">
        <w:t xml:space="preserve">: </w:t>
      </w:r>
      <w:hyperlink r:id="rId13" w:history="1">
        <w:r w:rsidRPr="00F154BC">
          <w:rPr>
            <w:rStyle w:val="Hyperlnk"/>
          </w:rPr>
          <w:t>Akutläkemedel för HLR respektive anafylaxi, SÄS</w:t>
        </w:r>
      </w:hyperlink>
      <w:r w:rsidR="00A812F1">
        <w:rPr>
          <w:color w:val="0000FF"/>
        </w:rPr>
        <w:t>.</w:t>
      </w:r>
    </w:p>
    <w:p w14:paraId="079AE1F4" w14:textId="77777777" w:rsidR="001A1672" w:rsidRPr="001A1672" w:rsidRDefault="001A1672" w:rsidP="0050092D">
      <w:pPr>
        <w:pStyle w:val="Rubrik2"/>
      </w:pPr>
      <w:bookmarkStart w:id="9" w:name="_Toc314219122"/>
      <w:bookmarkStart w:id="10" w:name="_Toc256000002"/>
      <w:bookmarkStart w:id="11" w:name="_Toc256000007"/>
      <w:bookmarkStart w:id="12" w:name="_Toc256000012"/>
      <w:r w:rsidRPr="001A1672">
        <w:t>Genomförande</w:t>
      </w:r>
      <w:bookmarkEnd w:id="9"/>
      <w:bookmarkEnd w:id="10"/>
      <w:bookmarkEnd w:id="11"/>
      <w:bookmarkEnd w:id="12"/>
    </w:p>
    <w:p w14:paraId="5BDB01B7" w14:textId="77777777" w:rsidR="001A1672" w:rsidRPr="001A1672" w:rsidRDefault="001A1672" w:rsidP="00A53390">
      <w:pPr>
        <w:pStyle w:val="Rubrik3"/>
        <w:spacing w:before="120"/>
      </w:pPr>
      <w:r w:rsidRPr="001A1672">
        <w:t>Omedelbara åtgärder</w:t>
      </w:r>
    </w:p>
    <w:p w14:paraId="7BDDAC88" w14:textId="77777777" w:rsidR="001A1672" w:rsidRPr="0050092D" w:rsidRDefault="001A1672" w:rsidP="0050092D">
      <w:pPr>
        <w:rPr>
          <w:b/>
          <w:bCs/>
        </w:rPr>
      </w:pPr>
      <w:r w:rsidRPr="0050092D">
        <w:rPr>
          <w:b/>
          <w:bCs/>
        </w:rPr>
        <w:t>Vid livshotande tillstånd: Akutlarma enligt ordinarie rutin, tfn 2010!</w:t>
      </w:r>
    </w:p>
    <w:p w14:paraId="0230E28F" w14:textId="77777777" w:rsidR="001A1672" w:rsidRPr="001A1672" w:rsidRDefault="001A1672" w:rsidP="00CA609B">
      <w:r w:rsidRPr="001A1672">
        <w:t xml:space="preserve">Det är svårt att bedöma hur en allergisk reaktion kommer att utvecklas, därför är det viktigt att redan tidigt behandla med adrenalin. Därefter kan man behandla med kortison och antihistamin. </w:t>
      </w:r>
    </w:p>
    <w:p w14:paraId="287032E3" w14:textId="77777777" w:rsidR="001A1672" w:rsidRPr="001A1672" w:rsidRDefault="001A1672" w:rsidP="0050092D">
      <w:pPr>
        <w:pStyle w:val="Punktlista"/>
      </w:pPr>
      <w:r w:rsidRPr="001A1672">
        <w:t>Avbryt om möjligt exponeringen för det ämne som utlöst den allergiska reaktionen.</w:t>
      </w:r>
    </w:p>
    <w:p w14:paraId="735CE503" w14:textId="77777777" w:rsidR="001A1672" w:rsidRPr="001A1672" w:rsidRDefault="001A1672" w:rsidP="0050092D">
      <w:pPr>
        <w:pStyle w:val="Punktlista"/>
      </w:pPr>
      <w:r w:rsidRPr="001A1672">
        <w:t xml:space="preserve">Adrenalin 1 mg/ml - 0,3-0,5 mg ges intramuskulärt i lårets utsida. Om en dos inte räcker för att häva den anafylaktisk reaktionen, kan ytterligare injektion ges efter 5-10 minuter. </w:t>
      </w:r>
    </w:p>
    <w:p w14:paraId="4DCA9DEC" w14:textId="62956E08" w:rsidR="001A1672" w:rsidRPr="001A1672" w:rsidRDefault="001A1672" w:rsidP="0050092D">
      <w:pPr>
        <w:pStyle w:val="Punktlista"/>
      </w:pPr>
      <w:r w:rsidRPr="001A1672">
        <w:lastRenderedPageBreak/>
        <w:t>Ett praktiskt alternativ om patienten har känd allergi och har adrenalinpenna för självinjektion; 300 mikrogram/dos alternativt 500 mikrogram/ dos till de som väger &gt;60 kg. Alla injektionspennorna kan användas genom tunna kläder.</w:t>
      </w:r>
    </w:p>
    <w:p w14:paraId="71194E0F" w14:textId="77777777" w:rsidR="001A1672" w:rsidRPr="001A1672" w:rsidRDefault="001A1672" w:rsidP="0050092D">
      <w:pPr>
        <w:pStyle w:val="Punktlista"/>
      </w:pPr>
      <w:r w:rsidRPr="001A1672">
        <w:t>Om intravenös venväg och EKG-registrering finns, kan adrenalin ges intravenöst. Detta bör endast göras av personal med erfarenhet av att behandla med adrenalin. Adrenalin 0,1 mg/ml (1 ml Adrenalin 1 mg/ml späds i 9 ml NaCl) 1-5 ml ges långsamt, injektionstiden bör vara minst en minut.</w:t>
      </w:r>
    </w:p>
    <w:p w14:paraId="72D481CB" w14:textId="77777777" w:rsidR="001A1672" w:rsidRPr="001A1672" w:rsidRDefault="001A1672" w:rsidP="0050092D">
      <w:pPr>
        <w:pStyle w:val="Punktlista"/>
      </w:pPr>
      <w:r w:rsidRPr="001A1672">
        <w:t>Ge snabb vätsketillförsel intravenöst, t.ex. Ringer-acetat.</w:t>
      </w:r>
    </w:p>
    <w:p w14:paraId="5D843BC2" w14:textId="77777777" w:rsidR="001A1672" w:rsidRPr="001A1672" w:rsidRDefault="001A1672" w:rsidP="0050092D">
      <w:pPr>
        <w:pStyle w:val="Punktlista"/>
      </w:pPr>
      <w:r w:rsidRPr="001A1672">
        <w:t>Låt patienten ligga horisontellt för att undvika blodtrycksfall.</w:t>
      </w:r>
    </w:p>
    <w:p w14:paraId="34F57AC9" w14:textId="77777777" w:rsidR="001A1672" w:rsidRPr="001A1672" w:rsidRDefault="001A1672" w:rsidP="0050092D">
      <w:pPr>
        <w:pStyle w:val="Punktlista"/>
      </w:pPr>
      <w:r w:rsidRPr="001A1672">
        <w:t>Ge kortikosteroider (betametason, hydrokortison, metylprednisolon eller dexametason) t.ex. Betapred – intravenös injektion 2 ml av Betapred 4 mg/ml alternativt i tablettform, 10 tabletter á 0,5 mg löses i vatten. Ytterligare doser kan ges vid utebliven effekt upp till 20 mg. Alternativt Solu-Cortef 200 mg intravenöst (kan upprepas efter 15-30 minuter).</w:t>
      </w:r>
    </w:p>
    <w:p w14:paraId="48744DC8" w14:textId="77777777" w:rsidR="001A1672" w:rsidRPr="001A1672" w:rsidRDefault="001A1672" w:rsidP="0050092D">
      <w:pPr>
        <w:pStyle w:val="Punktlista"/>
      </w:pPr>
      <w:r w:rsidRPr="001A1672">
        <w:t>Ge antihistamin, t.ex. 2 st munlöslig tablett Aerius 5 mg alternativt 2 st tabletter cetirizin 10 mg eller loratadin 10 mg.</w:t>
      </w:r>
    </w:p>
    <w:p w14:paraId="30D8C68D" w14:textId="77777777" w:rsidR="001A1672" w:rsidRPr="001A1672" w:rsidRDefault="001A1672" w:rsidP="0050092D">
      <w:pPr>
        <w:pStyle w:val="Punktlista"/>
      </w:pPr>
      <w:r w:rsidRPr="001A1672">
        <w:t>Vid bronkospasm ges inhalation av t.ex. salbutamol (Ventoline) inhala-tionsvätska 5 mg/ml 2 ml.</w:t>
      </w:r>
    </w:p>
    <w:p w14:paraId="0745E159" w14:textId="62EF11CB" w:rsidR="001A1672" w:rsidRPr="001A1672" w:rsidRDefault="001A1672" w:rsidP="00083EC8">
      <w:r w:rsidRPr="001A1672">
        <w:t xml:space="preserve">Patienten bör övervakas 4-12 timmar efter en anafylaktisk reaktion. Utredning och uppföljning enligt sjukhusövergripande riktlinje </w:t>
      </w:r>
      <w:hyperlink r:id="rId14" w:history="1">
        <w:r w:rsidRPr="00083EC8">
          <w:rPr>
            <w:rStyle w:val="Hyperlnk"/>
          </w:rPr>
          <w:t>Anafylaxibehandling och utredning hos vuxna patienter på SÄS samt råd om uppföljning</w:t>
        </w:r>
      </w:hyperlink>
      <w:r w:rsidRPr="001A1672">
        <w:t>.</w:t>
      </w:r>
    </w:p>
    <w:p w14:paraId="1EE2C9CF" w14:textId="77777777" w:rsidR="001A1672" w:rsidRPr="001A1672" w:rsidRDefault="001A1672" w:rsidP="0086359F">
      <w:pPr>
        <w:pStyle w:val="Rubrik3"/>
      </w:pPr>
      <w:r w:rsidRPr="001A1672">
        <w:t>Dokumentera i journalen</w:t>
      </w:r>
    </w:p>
    <w:p w14:paraId="7D64BFB2" w14:textId="77777777" w:rsidR="001A1672" w:rsidRPr="001A1672" w:rsidRDefault="001A1672" w:rsidP="0086359F">
      <w:pPr>
        <w:tabs>
          <w:tab w:val="left" w:pos="4820"/>
        </w:tabs>
        <w:rPr>
          <w:color w:val="191919"/>
          <w:szCs w:val="20"/>
        </w:rPr>
      </w:pPr>
      <w:r w:rsidRPr="001A1672">
        <w:rPr>
          <w:color w:val="191919"/>
          <w:szCs w:val="20"/>
        </w:rPr>
        <w:t xml:space="preserve">Anafylaxi UNS </w:t>
      </w:r>
      <w:r w:rsidRPr="001A1672">
        <w:rPr>
          <w:color w:val="191919"/>
          <w:szCs w:val="20"/>
        </w:rPr>
        <w:tab/>
      </w:r>
      <w:hyperlink r:id="rId15" w:tgtFrame="_blank" w:history="1">
        <w:r w:rsidRPr="001A1672">
          <w:rPr>
            <w:b/>
            <w:szCs w:val="20"/>
          </w:rPr>
          <w:t>T78.2B</w:t>
        </w:r>
      </w:hyperlink>
      <w:r w:rsidRPr="001A1672">
        <w:rPr>
          <w:color w:val="191919"/>
          <w:szCs w:val="20"/>
        </w:rPr>
        <w:br/>
        <w:t>Anafylaktisk chock, ospecificerad</w:t>
      </w:r>
      <w:r w:rsidRPr="001A1672">
        <w:rPr>
          <w:color w:val="191919"/>
          <w:szCs w:val="20"/>
        </w:rPr>
        <w:tab/>
      </w:r>
      <w:hyperlink r:id="rId16" w:tgtFrame="_blank" w:history="1">
        <w:r w:rsidRPr="001A1672">
          <w:rPr>
            <w:b/>
            <w:szCs w:val="20"/>
          </w:rPr>
          <w:t>T78.2X</w:t>
        </w:r>
      </w:hyperlink>
    </w:p>
    <w:p w14:paraId="1D1B0408" w14:textId="77777777" w:rsidR="001A1672" w:rsidRPr="001A1672" w:rsidRDefault="001A1672" w:rsidP="005A2D95">
      <w:pPr>
        <w:pStyle w:val="Rubrik2"/>
      </w:pPr>
      <w:bookmarkStart w:id="13" w:name="_Toc182366122"/>
      <w:bookmarkStart w:id="14" w:name="_Toc314219124"/>
      <w:bookmarkStart w:id="15" w:name="_Toc256000004"/>
      <w:bookmarkStart w:id="16" w:name="_Toc256000009"/>
      <w:bookmarkStart w:id="17" w:name="_Toc256000014"/>
      <w:r w:rsidRPr="001A1672">
        <w:lastRenderedPageBreak/>
        <w:t>Dokumentinformation</w:t>
      </w:r>
      <w:bookmarkEnd w:id="13"/>
      <w:bookmarkEnd w:id="14"/>
      <w:bookmarkEnd w:id="15"/>
      <w:bookmarkEnd w:id="16"/>
      <w:bookmarkEnd w:id="17"/>
    </w:p>
    <w:p w14:paraId="30765DD4" w14:textId="77777777" w:rsidR="001A1672" w:rsidRPr="0086359F" w:rsidRDefault="001A1672" w:rsidP="005A2D95">
      <w:pPr>
        <w:keepNext/>
        <w:keepLines/>
        <w:spacing w:after="0"/>
        <w:rPr>
          <w:b/>
          <w:bCs/>
        </w:rPr>
      </w:pPr>
      <w:r w:rsidRPr="0086359F">
        <w:rPr>
          <w:b/>
          <w:bCs/>
        </w:rPr>
        <w:t>För innehållet svarar</w:t>
      </w:r>
    </w:p>
    <w:p w14:paraId="47FA6D53" w14:textId="01804985" w:rsidR="001A1672" w:rsidRPr="001A1672" w:rsidRDefault="00D22B5A" w:rsidP="005A2D95">
      <w:pPr>
        <w:keepNext/>
        <w:keepLines/>
        <w:rPr>
          <w:szCs w:val="20"/>
        </w:rPr>
      </w:pPr>
      <w:r>
        <w:rPr>
          <w:szCs w:val="20"/>
        </w:rPr>
        <w:t>Jerker Nilson</w:t>
      </w:r>
      <w:r w:rsidR="001A1672" w:rsidRPr="001A1672">
        <w:rPr>
          <w:szCs w:val="20"/>
        </w:rPr>
        <w:t xml:space="preserve">, </w:t>
      </w:r>
      <w:r>
        <w:rPr>
          <w:szCs w:val="20"/>
        </w:rPr>
        <w:t>chefläkare</w:t>
      </w:r>
      <w:r w:rsidR="001A1672" w:rsidRPr="001A1672">
        <w:rPr>
          <w:szCs w:val="20"/>
        </w:rPr>
        <w:t>, SÄS</w:t>
      </w:r>
    </w:p>
    <w:p w14:paraId="6D40E4CA" w14:textId="6CA2B1D7" w:rsidR="001A1672" w:rsidRPr="00D22B5A" w:rsidRDefault="001A1672" w:rsidP="005A2D95">
      <w:pPr>
        <w:keepNext/>
        <w:keepLines/>
        <w:spacing w:after="0"/>
      </w:pPr>
      <w:bookmarkStart w:id="18" w:name="_Toc149035757"/>
      <w:bookmarkStart w:id="19" w:name="_Toc149978547"/>
      <w:r w:rsidRPr="0086359F">
        <w:rPr>
          <w:b/>
          <w:bCs/>
        </w:rPr>
        <w:t>Remissinstanser</w:t>
      </w:r>
      <w:bookmarkEnd w:id="18"/>
      <w:bookmarkEnd w:id="19"/>
      <w:r w:rsidR="00D22B5A">
        <w:rPr>
          <w:b/>
          <w:bCs/>
        </w:rPr>
        <w:t xml:space="preserve"> </w:t>
      </w:r>
      <w:r w:rsidR="00D22B5A" w:rsidRPr="00D22B5A">
        <w:t>(utgåva 1)</w:t>
      </w:r>
    </w:p>
    <w:p w14:paraId="6D95F8D7" w14:textId="77777777" w:rsidR="001A1672" w:rsidRPr="001A1672" w:rsidRDefault="001A1672" w:rsidP="005A2D95">
      <w:pPr>
        <w:keepNext/>
        <w:keepLines/>
        <w:rPr>
          <w:szCs w:val="20"/>
        </w:rPr>
      </w:pPr>
      <w:r w:rsidRPr="001A1672">
        <w:rPr>
          <w:szCs w:val="20"/>
        </w:rPr>
        <w:t>Dan Weinfeld, överläkare i allergologi (vuxna), medicinkliniken, SÄS</w:t>
      </w:r>
      <w:r w:rsidRPr="001A1672">
        <w:rPr>
          <w:szCs w:val="20"/>
        </w:rPr>
        <w:br/>
        <w:t>Verksamhetschefer, SÄS</w:t>
      </w:r>
    </w:p>
    <w:p w14:paraId="2D7839D5" w14:textId="77777777" w:rsidR="001A1672" w:rsidRPr="0086359F" w:rsidRDefault="001A1672" w:rsidP="005A2D95">
      <w:pPr>
        <w:keepNext/>
        <w:keepLines/>
        <w:spacing w:after="0"/>
        <w:rPr>
          <w:b/>
          <w:bCs/>
        </w:rPr>
      </w:pPr>
      <w:r w:rsidRPr="0086359F">
        <w:rPr>
          <w:b/>
          <w:bCs/>
        </w:rPr>
        <w:t>Fastställt av</w:t>
      </w:r>
    </w:p>
    <w:p w14:paraId="784F5F3E" w14:textId="27C6FA54" w:rsidR="001A1672" w:rsidRPr="001A1672" w:rsidRDefault="004D5936" w:rsidP="005A2D95">
      <w:pPr>
        <w:keepNext/>
        <w:keepLines/>
        <w:rPr>
          <w:szCs w:val="20"/>
        </w:rPr>
      </w:pPr>
      <w:r>
        <w:rPr>
          <w:szCs w:val="20"/>
        </w:rPr>
        <w:t>Jerker Nilson</w:t>
      </w:r>
      <w:r w:rsidR="001A1672" w:rsidRPr="001A1672">
        <w:rPr>
          <w:szCs w:val="20"/>
        </w:rPr>
        <w:t>, chefläkare, SÄS</w:t>
      </w:r>
    </w:p>
    <w:p w14:paraId="1805B693" w14:textId="77777777" w:rsidR="001A1672" w:rsidRPr="0086359F" w:rsidRDefault="001A1672" w:rsidP="005A2D95">
      <w:pPr>
        <w:keepNext/>
        <w:keepLines/>
        <w:spacing w:after="0"/>
        <w:rPr>
          <w:b/>
          <w:bCs/>
        </w:rPr>
      </w:pPr>
      <w:r w:rsidRPr="0086359F">
        <w:rPr>
          <w:b/>
          <w:bCs/>
        </w:rPr>
        <w:t>Nyckelord</w:t>
      </w:r>
    </w:p>
    <w:p w14:paraId="2E39F25B" w14:textId="77777777" w:rsidR="001A1672" w:rsidRPr="001A1672" w:rsidRDefault="001A1672" w:rsidP="005A2D95">
      <w:pPr>
        <w:keepNext/>
        <w:keepLines/>
        <w:rPr>
          <w:szCs w:val="20"/>
        </w:rPr>
      </w:pPr>
      <w:r w:rsidRPr="001A1672">
        <w:rPr>
          <w:szCs w:val="20"/>
        </w:rPr>
        <w:t>Anafylaxi, allergisk chock, adrenalin, överkänslighet, attack-S-Tryptas och baseline-S-Tryptas, mastocytos, astma</w:t>
      </w:r>
    </w:p>
    <w:p w14:paraId="00135572" w14:textId="77777777" w:rsidR="001A1672" w:rsidRPr="001A1672" w:rsidRDefault="001A1672" w:rsidP="0086359F">
      <w:pPr>
        <w:pStyle w:val="Rubrik2"/>
      </w:pPr>
      <w:r w:rsidRPr="001A1672">
        <w:t>Länkförteckning</w:t>
      </w:r>
    </w:p>
    <w:p w14:paraId="00C1955D" w14:textId="2A151FAE" w:rsidR="001A1672" w:rsidRPr="001A1672" w:rsidRDefault="001A1672" w:rsidP="0086359F">
      <w:pPr>
        <w:pStyle w:val="Punktlista"/>
      </w:pPr>
      <w:r>
        <w:t>Barnläkarföreningens riktlinjer för allergi</w:t>
      </w:r>
      <w:r w:rsidR="3B2D9F5B">
        <w:t>.</w:t>
      </w:r>
      <w:r>
        <w:br/>
      </w:r>
      <w:hyperlink r:id="rId17">
        <w:r w:rsidRPr="1BAFE024">
          <w:rPr>
            <w:rStyle w:val="Hyperlnk"/>
          </w:rPr>
          <w:t>https://aol.barnlakarforeningen.se/riktlinjer/riktlinjer-allergi/</w:t>
        </w:r>
      </w:hyperlink>
    </w:p>
    <w:p w14:paraId="1D8BC4F0" w14:textId="7984855A" w:rsidR="001A1672" w:rsidRPr="001A1672" w:rsidRDefault="001A1672" w:rsidP="0086359F">
      <w:pPr>
        <w:pStyle w:val="Punktlista"/>
      </w:pPr>
      <w:r w:rsidRPr="001A1672">
        <w:t>Anafylaxibehandling och utredning hos vuxna patienter inom akutsjukvården på SÄS samt råd om uppföljning. Sjukhusövergripande riktlinje, SÄS</w:t>
      </w:r>
      <w:r w:rsidRPr="001A1672">
        <w:br/>
      </w:r>
      <w:hyperlink r:id="rId18" w:history="1">
        <w:r w:rsidR="00442061">
          <w:rPr>
            <w:rStyle w:val="Hyperlnk"/>
          </w:rPr>
          <w:t>https://insidan.vgregion.se/forvaltningar/sodra-alvsborgs-sjukhus/styrdokument</w:t>
        </w:r>
      </w:hyperlink>
    </w:p>
    <w:p w14:paraId="76B9F95B" w14:textId="560AFF1B" w:rsidR="00536A5A" w:rsidRPr="00536A5A" w:rsidRDefault="001A1672" w:rsidP="005A2D95">
      <w:pPr>
        <w:pStyle w:val="Punktlista"/>
      </w:pPr>
      <w:r w:rsidRPr="001A1672">
        <w:rPr>
          <w:iCs/>
        </w:rPr>
        <w:t>Akutläkemedel för HLR respektive anafylaxi, SÄS. Sjukhusövergripande rutin, SÄS.</w:t>
      </w:r>
      <w:r w:rsidRPr="001A1672">
        <w:rPr>
          <w:iCs/>
        </w:rPr>
        <w:br/>
      </w:r>
      <w:hyperlink r:id="rId19" w:history="1">
        <w:r w:rsidR="00442061">
          <w:rPr>
            <w:rStyle w:val="Hyperlnk"/>
          </w:rPr>
          <w:t>https://insidan.vgregion.se/forvaltningar/sodra-alvsborgs-sjukhus/styrdokument</w:t>
        </w:r>
      </w:hyperlink>
      <w:bookmarkEnd w:id="1"/>
    </w:p>
    <w:sectPr w:rsidR="00536A5A" w:rsidRPr="00536A5A" w:rsidSect="001A1672">
      <w:headerReference w:type="default" r:id="rId20"/>
      <w:footerReference w:type="even" r:id="rId21"/>
      <w:footerReference w:type="default" r:id="rId22"/>
      <w:headerReference w:type="first" r:id="rId23"/>
      <w:footerReference w:type="first" r:id="rId24"/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CD59C03" w14:textId="77777777" w:rsidR="00363B23" w:rsidRDefault="00363B23">
      <w:r>
        <w:separator/>
      </w:r>
    </w:p>
  </w:endnote>
  <w:endnote w:type="continuationSeparator" w:id="0">
    <w:p w14:paraId="0846E523" w14:textId="77777777" w:rsidR="00363B23" w:rsidRDefault="00363B23">
      <w:r>
        <w:continuationSeparator/>
      </w:r>
    </w:p>
  </w:endnote>
  <w:endnote w:type="continuationNotice" w:id="1">
    <w:p w14:paraId="4CA47BF2" w14:textId="77777777" w:rsidR="00363B23" w:rsidRDefault="00363B2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5C8D8E3" w14:textId="77777777" w:rsidR="00363B23" w:rsidRDefault="00363B23"/>
  </w:footnote>
  <w:footnote w:type="continuationSeparator" w:id="0">
    <w:p w14:paraId="05BC2AE0" w14:textId="77777777" w:rsidR="00363B23" w:rsidRDefault="00363B23">
      <w:r>
        <w:continuationSeparator/>
      </w:r>
    </w:p>
  </w:footnote>
  <w:footnote w:type="continuationNotice" w:id="1">
    <w:p w14:paraId="19D63640" w14:textId="77777777" w:rsidR="00363B23" w:rsidRDefault="00363B2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708144271">
    <w:abstractNumId w:val="17"/>
  </w:num>
  <w:num w:numId="2" w16cid:durableId="271130603">
    <w:abstractNumId w:val="14"/>
  </w:num>
  <w:num w:numId="3" w16cid:durableId="839999952">
    <w:abstractNumId w:val="0"/>
  </w:num>
  <w:num w:numId="4" w16cid:durableId="869731929">
    <w:abstractNumId w:val="6"/>
  </w:num>
  <w:num w:numId="5" w16cid:durableId="558594677">
    <w:abstractNumId w:val="15"/>
  </w:num>
  <w:num w:numId="6" w16cid:durableId="2094155351">
    <w:abstractNumId w:val="2"/>
  </w:num>
  <w:num w:numId="7" w16cid:durableId="502746772">
    <w:abstractNumId w:val="11"/>
  </w:num>
  <w:num w:numId="8" w16cid:durableId="562716165">
    <w:abstractNumId w:val="8"/>
  </w:num>
  <w:num w:numId="9" w16cid:durableId="899554173">
    <w:abstractNumId w:val="1"/>
  </w:num>
  <w:num w:numId="10" w16cid:durableId="1251350463">
    <w:abstractNumId w:val="1"/>
  </w:num>
  <w:num w:numId="11" w16cid:durableId="252326897">
    <w:abstractNumId w:val="3"/>
  </w:num>
  <w:num w:numId="12" w16cid:durableId="217589445">
    <w:abstractNumId w:val="4"/>
  </w:num>
  <w:num w:numId="13" w16cid:durableId="2127431453">
    <w:abstractNumId w:val="13"/>
  </w:num>
  <w:num w:numId="14" w16cid:durableId="2054034275">
    <w:abstractNumId w:val="9"/>
  </w:num>
  <w:num w:numId="15" w16cid:durableId="1545479436">
    <w:abstractNumId w:val="7"/>
  </w:num>
  <w:num w:numId="16" w16cid:durableId="86003412">
    <w:abstractNumId w:val="12"/>
  </w:num>
  <w:num w:numId="17" w16cid:durableId="1746565614">
    <w:abstractNumId w:val="5"/>
  </w:num>
  <w:num w:numId="18" w16cid:durableId="1981838074">
    <w:abstractNumId w:val="10"/>
  </w:num>
  <w:num w:numId="19" w16cid:durableId="1970546218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4337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3EC8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1672"/>
    <w:rsid w:val="001A4E7C"/>
    <w:rsid w:val="001B762C"/>
    <w:rsid w:val="001C4D0A"/>
    <w:rsid w:val="001C5FEF"/>
    <w:rsid w:val="00211487"/>
    <w:rsid w:val="00211D91"/>
    <w:rsid w:val="00214782"/>
    <w:rsid w:val="00217DEC"/>
    <w:rsid w:val="00235B57"/>
    <w:rsid w:val="00250F24"/>
    <w:rsid w:val="002523C5"/>
    <w:rsid w:val="0025380B"/>
    <w:rsid w:val="0025703A"/>
    <w:rsid w:val="00261150"/>
    <w:rsid w:val="00262F3D"/>
    <w:rsid w:val="00263281"/>
    <w:rsid w:val="002651D6"/>
    <w:rsid w:val="0026551F"/>
    <w:rsid w:val="00274F97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02CD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07BD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2061"/>
    <w:rsid w:val="00443C1E"/>
    <w:rsid w:val="00446255"/>
    <w:rsid w:val="00451935"/>
    <w:rsid w:val="00451A51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5936"/>
    <w:rsid w:val="004D7BA3"/>
    <w:rsid w:val="004E2A14"/>
    <w:rsid w:val="004F4518"/>
    <w:rsid w:val="004F4C62"/>
    <w:rsid w:val="0050092D"/>
    <w:rsid w:val="00501433"/>
    <w:rsid w:val="00511CC4"/>
    <w:rsid w:val="00531E60"/>
    <w:rsid w:val="00536A5A"/>
    <w:rsid w:val="00541D07"/>
    <w:rsid w:val="00544BAB"/>
    <w:rsid w:val="00545107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D95"/>
    <w:rsid w:val="005A2E3B"/>
    <w:rsid w:val="005A54ED"/>
    <w:rsid w:val="005A5D5B"/>
    <w:rsid w:val="005A6081"/>
    <w:rsid w:val="005A627D"/>
    <w:rsid w:val="005A7542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47A7"/>
    <w:rsid w:val="007F5DD5"/>
    <w:rsid w:val="00821A1B"/>
    <w:rsid w:val="008262E9"/>
    <w:rsid w:val="00827E69"/>
    <w:rsid w:val="00835C4D"/>
    <w:rsid w:val="00843F48"/>
    <w:rsid w:val="008473AD"/>
    <w:rsid w:val="00851423"/>
    <w:rsid w:val="00857848"/>
    <w:rsid w:val="0086359F"/>
    <w:rsid w:val="0086476D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D1FF5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3390"/>
    <w:rsid w:val="00A54A0B"/>
    <w:rsid w:val="00A65FD4"/>
    <w:rsid w:val="00A81198"/>
    <w:rsid w:val="00A812F1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06B7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A609B"/>
    <w:rsid w:val="00CB0493"/>
    <w:rsid w:val="00CB17FF"/>
    <w:rsid w:val="00CB1ED7"/>
    <w:rsid w:val="00CC167C"/>
    <w:rsid w:val="00CC52D9"/>
    <w:rsid w:val="00CD6647"/>
    <w:rsid w:val="00CE4B73"/>
    <w:rsid w:val="00CF666C"/>
    <w:rsid w:val="00CF70BB"/>
    <w:rsid w:val="00D074DB"/>
    <w:rsid w:val="00D139CF"/>
    <w:rsid w:val="00D22B5A"/>
    <w:rsid w:val="00D37E7F"/>
    <w:rsid w:val="00D47AD7"/>
    <w:rsid w:val="00D51529"/>
    <w:rsid w:val="00D56D52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11B9"/>
    <w:rsid w:val="00E52A86"/>
    <w:rsid w:val="00E54B47"/>
    <w:rsid w:val="00E553BF"/>
    <w:rsid w:val="00E55616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154BC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1BAFE024"/>
    <w:rsid w:val="1EE780E6"/>
    <w:rsid w:val="364780CA"/>
    <w:rsid w:val="3B2D9F5B"/>
    <w:rsid w:val="3E699440"/>
    <w:rsid w:val="647B2B65"/>
    <w:rsid w:val="68242768"/>
    <w:rsid w:val="6B2CF8ED"/>
    <w:rsid w:val="7B2C2D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4337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274F97"/>
    <w:pPr>
      <w:keepNext/>
      <w:spacing w:before="1500" w:after="240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6">
    <w:name w:val="heading 6"/>
    <w:basedOn w:val="Normal"/>
    <w:next w:val="Normal"/>
    <w:link w:val="Rubrik6Char"/>
    <w:uiPriority w:val="9"/>
    <w:semiHidden/>
    <w:unhideWhenUsed/>
    <w:qFormat/>
    <w:rsid w:val="001A1672"/>
    <w:pPr>
      <w:keepNext/>
      <w:keepLines/>
      <w:spacing w:before="40" w:after="0"/>
      <w:outlineLvl w:val="5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1A1672"/>
    <w:pPr>
      <w:keepNext/>
      <w:keepLines/>
      <w:spacing w:before="40" w:after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274F97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083EC8"/>
    <w:pPr>
      <w:numPr>
        <w:numId w:val="14"/>
      </w:numPr>
      <w:spacing w:after="80"/>
      <w:ind w:left="1349" w:hanging="357"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6Char">
    <w:name w:val="Rubrik 6 Char"/>
    <w:basedOn w:val="Standardstycketeckensnitt"/>
    <w:link w:val="Rubrik6"/>
    <w:uiPriority w:val="9"/>
    <w:semiHidden/>
    <w:rsid w:val="001A1672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1A1672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styleId="AnvndHyperlnk">
    <w:name w:val="FollowedHyperlink"/>
    <w:basedOn w:val="Standardstycketeckensnitt"/>
    <w:uiPriority w:val="99"/>
    <w:semiHidden/>
    <w:unhideWhenUsed/>
    <w:rsid w:val="00545107"/>
    <w:rPr>
      <w:color w:val="9EA2A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yperlink" Target="https://mellanarkiv-offentlig.vgregion.se/alfresco/s/archive/stream/public/v1/source/available/SOFIA/SAS9642-738863596-487/SURROGATE/Akutl%c3%a4kemedel%20f%c3%b6r%20HLR%20respektive%20anafylaxi%2c%20S%c3%84S.pdf" TargetMode="External" Id="rId13" /><Relationship Type="http://schemas.openxmlformats.org/officeDocument/2006/relationships/hyperlink" Target="https://mellanarkiv-offentlig.vgregion.se/alfresco/s/archive/stream/public/v1/source/available/SOFIA/SAS9642-738863596-37/SURROGATE/Anafylaxibehandling%20och%20utredning%20hos%20vuxna%20patienter%20inom%20S%c3%84S%20samt%20r%c3%a5d%20om%20uppf%c3%b6ljning.pdf" TargetMode="External" Id="rId18" /><Relationship Type="http://schemas.openxmlformats.org/officeDocument/2006/relationships/theme" Target="theme/theme1.xml" Id="rId26" /><Relationship Type="http://schemas.openxmlformats.org/officeDocument/2006/relationships/footer" Target="footer1.xml" Id="rId21" /><Relationship Type="http://schemas.openxmlformats.org/officeDocument/2006/relationships/styles" Target="styles.xml" Id="rId7" /><Relationship Type="http://schemas.openxmlformats.org/officeDocument/2006/relationships/hyperlink" Target="https://aol.barnlakarforeningen.se/riktlinjer/riktlinjer-allergi/" TargetMode="External" Id="rId12" /><Relationship Type="http://schemas.openxmlformats.org/officeDocument/2006/relationships/hyperlink" Target="https://aol.barnlakarforeningen.se/riktlinjer/riktlinjer-allergi/" TargetMode="External" Id="rId17" /><Relationship Type="http://schemas.openxmlformats.org/officeDocument/2006/relationships/fontTable" Target="fontTable.xml" Id="rId25" /><Relationship Type="http://schemas.openxmlformats.org/officeDocument/2006/relationships/hyperlink" Target="http://icd.internetmedicin.se/diagnos/T782X" TargetMode="External" Id="rId16" /><Relationship Type="http://schemas.openxmlformats.org/officeDocument/2006/relationships/header" Target="header1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footer" Target="footer3.xml" Id="rId24" /><Relationship Type="http://schemas.openxmlformats.org/officeDocument/2006/relationships/hyperlink" Target="http://icd.internetmedicin.se/diagnos/T782B" TargetMode="External" Id="rId15" /><Relationship Type="http://schemas.openxmlformats.org/officeDocument/2006/relationships/header" Target="header2.xml" Id="rId23" /><Relationship Type="http://schemas.openxmlformats.org/officeDocument/2006/relationships/footnotes" Target="footnotes.xml" Id="rId10" /><Relationship Type="http://schemas.openxmlformats.org/officeDocument/2006/relationships/hyperlink" Target="https://mellanarkiv-offentlig.vgregion.se/alfresco/s/archive/stream/public/v1/source/available/SOFIA/SAS9642-738863596-487/SURROGATE/Akutl%c3%a4kemedel%20f%c3%b6r%20HLR%20respektive%20anafylaxi%2c%20S%c3%84S.pdf" TargetMode="External" Id="rId19" /><Relationship Type="http://schemas.openxmlformats.org/officeDocument/2006/relationships/webSettings" Target="webSettings.xml" Id="rId9" /><Relationship Type="http://schemas.openxmlformats.org/officeDocument/2006/relationships/hyperlink" Target="https://mellanarkiv-offentlig.vgregion.se/alfresco/s/archive/stream/public/v1/source/available/SOFIA/SAS9642-738863596-37/SURROGATE/Anafylaxibehandling%20och%20utredning%20hos%20vuxna%20patienter%20inom%20S%c3%84S%20samt%20r%c3%a5d%20om%20uppf%c3%b6ljning.pdf" TargetMode="External" Id="rId14" /><Relationship Type="http://schemas.openxmlformats.org/officeDocument/2006/relationships/footer" Target="footer2.xml" Id="rId22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27</TotalTime>
  <Pages>3</Pages>
  <Words>464</Words>
  <Characters>4591</Characters>
  <Application>Microsoft Office Word</Application>
  <DocSecurity>0</DocSecurity>
  <Lines>38</Lines>
  <Paragraphs>10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5045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Akut anafylaktisk reaktion hos vuxna, SÄS</dc:title>
  <dc:subject/>
  <dc:creator>patrik.jens.johansson@vgregion.se</dc:creator>
  <keywords/>
  <lastModifiedBy>Karin Åhlin</lastModifiedBy>
  <revision>32</revision>
  <lastPrinted>2016-03-31T10:56:00.0000000Z</lastPrinted>
  <dcterms:created xsi:type="dcterms:W3CDTF">2022-03-28T05:28:00.0000000Z</dcterms:created>
  <dcterms:modified xsi:type="dcterms:W3CDTF">2024-10-22T14:03:00.0000000Z</dcterms:modified>
</coreProperties>
</file>