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F4148E" w:rsidP="001D4131" w:rsidRDefault="00F4148E" w14:paraId="19CBAD81" w14:textId="77777777">
      <w:pPr>
        <w:pStyle w:val="Rubrik1"/>
      </w:pPr>
      <w:bookmarkStart w:name="_Toc100327184" w:id="0"/>
      <w:r w:rsidRPr="00F4148E">
        <w:t>Ordination och hantering av läkemedel i hälso- och sjukvård enligt HSLF­FS 2017:37, SÄS</w:t>
      </w:r>
    </w:p>
    <w:p w:rsidR="009A32ED" w:rsidP="001D4131" w:rsidRDefault="009A32ED" w14:paraId="11BC1DCA" w14:textId="6C83DD3F">
      <w:pPr>
        <w:pStyle w:val="Rubrik2"/>
      </w:pPr>
      <w:bookmarkStart w:name="_Toc223341444" w:id="1"/>
      <w:r w:rsidRPr="001D4131">
        <w:t>Förändringar</w:t>
      </w:r>
      <w:r>
        <w:t xml:space="preserve"> sedan föregående version</w:t>
      </w:r>
      <w:bookmarkEnd w:id="0"/>
      <w:bookmarkEnd w:id="1"/>
    </w:p>
    <w:p w:rsidR="00AB687C" w:rsidP="00F179F8" w:rsidRDefault="00AB687C" w14:paraId="0E549E05" w14:textId="77777777">
      <w:pPr>
        <w:rPr>
          <w:bCs/>
        </w:rPr>
      </w:pPr>
      <w:bookmarkStart w:name="_Toc100327185" w:id="2"/>
      <w:bookmarkStart w:name="_Toc72840807" w:id="3"/>
      <w:r w:rsidRPr="00AB687C">
        <w:t xml:space="preserve">Uppdatering av hänvisningar/länkar. </w:t>
      </w:r>
    </w:p>
    <w:p w:rsidR="009A32ED" w:rsidP="001D4131" w:rsidRDefault="009A32ED" w14:paraId="69BCFD87" w14:textId="273DF109">
      <w:pPr>
        <w:pStyle w:val="Rubrik2"/>
      </w:pPr>
      <w:bookmarkStart w:name="_Toc223341445" w:id="4"/>
      <w:r w:rsidRPr="001D4131">
        <w:t>Sammanfattning</w:t>
      </w:r>
      <w:bookmarkEnd w:id="2"/>
      <w:bookmarkEnd w:id="4"/>
    </w:p>
    <w:p w:rsidR="00AB687C" w:rsidP="00F179F8" w:rsidRDefault="00F608C3" w14:paraId="70BA6B18" w14:textId="0D2984AC">
      <w:pPr/>
      <w:r w:rsidR="00F608C3">
        <w:rPr/>
        <w:t>En </w:t>
      </w:r>
      <w:hyperlink r:id="R26e818d6f9bb4dc6">
        <w:r w:rsidRPr="07E2E2A7" w:rsidR="00F608C3">
          <w:rPr>
            <w:rStyle w:val="Hyperlnk"/>
          </w:rPr>
          <w:t>regional riktlinje för tillämpning av Socialstyrelsens föreskrifter för läkemedelshantering</w:t>
        </w:r>
      </w:hyperlink>
      <w:r w:rsidR="1C1FFE4E">
        <w:rPr/>
        <w:t xml:space="preserve"> </w:t>
      </w:r>
      <w:r w:rsidR="00F608C3">
        <w:rPr/>
        <w:t>har tagits fram [1]. Den regionala riktlinjen är av nödvändighet allmänt hållen och kan inte täcka in alla de scenarier som kan uppstå i den kliniska verkligheten. Denna riktlinje har därför tagits fram som ett lokalt tillägg till den regionala riktlinjen. Även vissa verksamheter kan komma att behöva lokala tillägg. </w:t>
      </w:r>
    </w:p>
    <w:p w:rsidR="00B405A1" w:rsidP="00831C35" w:rsidRDefault="00B405A1" w14:paraId="6660DA9D" w14:textId="325B3985">
      <w:pPr>
        <w:pStyle w:val="Rubrik2"/>
      </w:pPr>
      <w:bookmarkStart w:name="_Toc223341446" w:id="5"/>
      <w:r>
        <w:t>Innehållsförteckning</w:t>
      </w:r>
      <w:bookmarkEnd w:id="5"/>
    </w:p>
    <w:p w:rsidR="001C761E" w:rsidRDefault="00D67C88" w14:paraId="25E3AF6B" w14:textId="36E7038A">
      <w:pPr>
        <w:pStyle w:val="Innehll2"/>
        <w:rPr>
          <w:rFonts w:asciiTheme="minorHAnsi" w:hAnsiTheme="minorHAnsi" w:eastAsiaTheme="minorEastAsia" w:cstheme="minorBidi"/>
          <w:noProof/>
          <w:kern w:val="2"/>
          <w14:ligatures w14:val="standardContextual"/>
        </w:rPr>
      </w:pPr>
      <w:r>
        <w:fldChar w:fldCharType="begin"/>
      </w:r>
      <w:r>
        <w:instrText xml:space="preserve"> TOC \o "2-2" \h \z \u \t "Rubrik;1" </w:instrText>
      </w:r>
      <w:r>
        <w:fldChar w:fldCharType="separate"/>
      </w:r>
      <w:hyperlink w:history="1" w:anchor="_Toc223341444">
        <w:r w:rsidRPr="00C451B3" w:rsidR="001C761E">
          <w:rPr>
            <w:rStyle w:val="Hyperlnk"/>
            <w:rFonts w:eastAsia="MS Gothic"/>
            <w:noProof/>
          </w:rPr>
          <w:t>Förändringar sedan föregående version</w:t>
        </w:r>
        <w:r w:rsidR="001C761E">
          <w:rPr>
            <w:noProof/>
            <w:webHidden/>
          </w:rPr>
          <w:tab/>
        </w:r>
        <w:r w:rsidR="001C761E">
          <w:rPr>
            <w:noProof/>
            <w:webHidden/>
          </w:rPr>
          <w:fldChar w:fldCharType="begin"/>
        </w:r>
        <w:r w:rsidR="001C761E">
          <w:rPr>
            <w:noProof/>
            <w:webHidden/>
          </w:rPr>
          <w:instrText xml:space="preserve"> PAGEREF _Toc223341444 \h </w:instrText>
        </w:r>
        <w:r w:rsidR="001C761E">
          <w:rPr>
            <w:noProof/>
            <w:webHidden/>
          </w:rPr>
        </w:r>
        <w:r w:rsidR="001C761E">
          <w:rPr>
            <w:noProof/>
            <w:webHidden/>
          </w:rPr>
          <w:fldChar w:fldCharType="separate"/>
        </w:r>
        <w:r w:rsidR="001C761E">
          <w:rPr>
            <w:noProof/>
            <w:webHidden/>
          </w:rPr>
          <w:t>1</w:t>
        </w:r>
        <w:r w:rsidR="001C761E">
          <w:rPr>
            <w:noProof/>
            <w:webHidden/>
          </w:rPr>
          <w:fldChar w:fldCharType="end"/>
        </w:r>
      </w:hyperlink>
    </w:p>
    <w:p w:rsidR="001C761E" w:rsidRDefault="001C761E" w14:paraId="2ACD6FDE" w14:textId="561F46D6">
      <w:pPr>
        <w:pStyle w:val="Innehll2"/>
        <w:rPr>
          <w:rFonts w:asciiTheme="minorHAnsi" w:hAnsiTheme="minorHAnsi" w:eastAsiaTheme="minorEastAsia" w:cstheme="minorBidi"/>
          <w:noProof/>
          <w:kern w:val="2"/>
          <w14:ligatures w14:val="standardContextual"/>
        </w:rPr>
      </w:pPr>
      <w:hyperlink w:history="1" w:anchor="_Toc223341445">
        <w:r w:rsidRPr="00C451B3">
          <w:rPr>
            <w:rStyle w:val="Hyperlnk"/>
            <w:rFonts w:eastAsia="MS Gothic"/>
            <w:noProof/>
          </w:rPr>
          <w:t>Sammanfattning</w:t>
        </w:r>
        <w:r>
          <w:rPr>
            <w:noProof/>
            <w:webHidden/>
          </w:rPr>
          <w:tab/>
        </w:r>
        <w:r>
          <w:rPr>
            <w:noProof/>
            <w:webHidden/>
          </w:rPr>
          <w:fldChar w:fldCharType="begin"/>
        </w:r>
        <w:r>
          <w:rPr>
            <w:noProof/>
            <w:webHidden/>
          </w:rPr>
          <w:instrText xml:space="preserve"> PAGEREF _Toc223341445 \h </w:instrText>
        </w:r>
        <w:r>
          <w:rPr>
            <w:noProof/>
            <w:webHidden/>
          </w:rPr>
        </w:r>
        <w:r>
          <w:rPr>
            <w:noProof/>
            <w:webHidden/>
          </w:rPr>
          <w:fldChar w:fldCharType="separate"/>
        </w:r>
        <w:r>
          <w:rPr>
            <w:noProof/>
            <w:webHidden/>
          </w:rPr>
          <w:t>1</w:t>
        </w:r>
        <w:r>
          <w:rPr>
            <w:noProof/>
            <w:webHidden/>
          </w:rPr>
          <w:fldChar w:fldCharType="end"/>
        </w:r>
      </w:hyperlink>
    </w:p>
    <w:p w:rsidR="001C761E" w:rsidRDefault="001C761E" w14:paraId="264962E1" w14:textId="1414007E">
      <w:pPr>
        <w:pStyle w:val="Innehll2"/>
        <w:rPr>
          <w:rFonts w:asciiTheme="minorHAnsi" w:hAnsiTheme="minorHAnsi" w:eastAsiaTheme="minorEastAsia" w:cstheme="minorBidi"/>
          <w:noProof/>
          <w:kern w:val="2"/>
          <w14:ligatures w14:val="standardContextual"/>
        </w:rPr>
      </w:pPr>
      <w:hyperlink w:history="1" w:anchor="_Toc223341446">
        <w:r w:rsidRPr="00C451B3">
          <w:rPr>
            <w:rStyle w:val="Hyperlnk"/>
            <w:rFonts w:eastAsia="MS Gothic"/>
            <w:noProof/>
          </w:rPr>
          <w:t>Innehållsförteckning</w:t>
        </w:r>
        <w:r>
          <w:rPr>
            <w:noProof/>
            <w:webHidden/>
          </w:rPr>
          <w:tab/>
        </w:r>
        <w:r>
          <w:rPr>
            <w:noProof/>
            <w:webHidden/>
          </w:rPr>
          <w:fldChar w:fldCharType="begin"/>
        </w:r>
        <w:r>
          <w:rPr>
            <w:noProof/>
            <w:webHidden/>
          </w:rPr>
          <w:instrText xml:space="preserve"> PAGEREF _Toc223341446 \h </w:instrText>
        </w:r>
        <w:r>
          <w:rPr>
            <w:noProof/>
            <w:webHidden/>
          </w:rPr>
        </w:r>
        <w:r>
          <w:rPr>
            <w:noProof/>
            <w:webHidden/>
          </w:rPr>
          <w:fldChar w:fldCharType="separate"/>
        </w:r>
        <w:r>
          <w:rPr>
            <w:noProof/>
            <w:webHidden/>
          </w:rPr>
          <w:t>1</w:t>
        </w:r>
        <w:r>
          <w:rPr>
            <w:noProof/>
            <w:webHidden/>
          </w:rPr>
          <w:fldChar w:fldCharType="end"/>
        </w:r>
      </w:hyperlink>
    </w:p>
    <w:p w:rsidR="001C761E" w:rsidRDefault="001C761E" w14:paraId="6863134C" w14:textId="317D9A97">
      <w:pPr>
        <w:pStyle w:val="Innehll2"/>
        <w:rPr>
          <w:rFonts w:asciiTheme="minorHAnsi" w:hAnsiTheme="minorHAnsi" w:eastAsiaTheme="minorEastAsia" w:cstheme="minorBidi"/>
          <w:noProof/>
          <w:kern w:val="2"/>
          <w14:ligatures w14:val="standardContextual"/>
        </w:rPr>
      </w:pPr>
      <w:hyperlink w:history="1" w:anchor="_Toc223341447">
        <w:r w:rsidRPr="00C451B3">
          <w:rPr>
            <w:rStyle w:val="Hyperlnk"/>
            <w:rFonts w:eastAsia="MS Gothic"/>
            <w:noProof/>
          </w:rPr>
          <w:t>Bakgrund och syfte</w:t>
        </w:r>
        <w:r>
          <w:rPr>
            <w:noProof/>
            <w:webHidden/>
          </w:rPr>
          <w:tab/>
        </w:r>
        <w:r>
          <w:rPr>
            <w:noProof/>
            <w:webHidden/>
          </w:rPr>
          <w:fldChar w:fldCharType="begin"/>
        </w:r>
        <w:r>
          <w:rPr>
            <w:noProof/>
            <w:webHidden/>
          </w:rPr>
          <w:instrText xml:space="preserve"> PAGEREF _Toc223341447 \h </w:instrText>
        </w:r>
        <w:r>
          <w:rPr>
            <w:noProof/>
            <w:webHidden/>
          </w:rPr>
        </w:r>
        <w:r>
          <w:rPr>
            <w:noProof/>
            <w:webHidden/>
          </w:rPr>
          <w:fldChar w:fldCharType="separate"/>
        </w:r>
        <w:r>
          <w:rPr>
            <w:noProof/>
            <w:webHidden/>
          </w:rPr>
          <w:t>2</w:t>
        </w:r>
        <w:r>
          <w:rPr>
            <w:noProof/>
            <w:webHidden/>
          </w:rPr>
          <w:fldChar w:fldCharType="end"/>
        </w:r>
      </w:hyperlink>
    </w:p>
    <w:p w:rsidR="001C761E" w:rsidRDefault="001C761E" w14:paraId="3BE84857" w14:textId="3593D010">
      <w:pPr>
        <w:pStyle w:val="Innehll2"/>
        <w:rPr>
          <w:rFonts w:asciiTheme="minorHAnsi" w:hAnsiTheme="minorHAnsi" w:eastAsiaTheme="minorEastAsia" w:cstheme="minorBidi"/>
          <w:noProof/>
          <w:kern w:val="2"/>
          <w14:ligatures w14:val="standardContextual"/>
        </w:rPr>
      </w:pPr>
      <w:hyperlink w:history="1" w:anchor="_Toc223341448">
        <w:r w:rsidRPr="00C451B3">
          <w:rPr>
            <w:rStyle w:val="Hyperlnk"/>
            <w:rFonts w:eastAsia="MS Gothic"/>
            <w:noProof/>
          </w:rPr>
          <w:t>Förutsättningar</w:t>
        </w:r>
        <w:r>
          <w:rPr>
            <w:noProof/>
            <w:webHidden/>
          </w:rPr>
          <w:tab/>
        </w:r>
        <w:r>
          <w:rPr>
            <w:noProof/>
            <w:webHidden/>
          </w:rPr>
          <w:fldChar w:fldCharType="begin"/>
        </w:r>
        <w:r>
          <w:rPr>
            <w:noProof/>
            <w:webHidden/>
          </w:rPr>
          <w:instrText xml:space="preserve"> PAGEREF _Toc223341448 \h </w:instrText>
        </w:r>
        <w:r>
          <w:rPr>
            <w:noProof/>
            <w:webHidden/>
          </w:rPr>
        </w:r>
        <w:r>
          <w:rPr>
            <w:noProof/>
            <w:webHidden/>
          </w:rPr>
          <w:fldChar w:fldCharType="separate"/>
        </w:r>
        <w:r>
          <w:rPr>
            <w:noProof/>
            <w:webHidden/>
          </w:rPr>
          <w:t>2</w:t>
        </w:r>
        <w:r>
          <w:rPr>
            <w:noProof/>
            <w:webHidden/>
          </w:rPr>
          <w:fldChar w:fldCharType="end"/>
        </w:r>
      </w:hyperlink>
    </w:p>
    <w:p w:rsidR="001C761E" w:rsidRDefault="001C761E" w14:paraId="592C0380" w14:textId="14DBC904">
      <w:pPr>
        <w:pStyle w:val="Innehll2"/>
        <w:rPr>
          <w:rFonts w:asciiTheme="minorHAnsi" w:hAnsiTheme="minorHAnsi" w:eastAsiaTheme="minorEastAsia" w:cstheme="minorBidi"/>
          <w:noProof/>
          <w:kern w:val="2"/>
          <w14:ligatures w14:val="standardContextual"/>
        </w:rPr>
      </w:pPr>
      <w:hyperlink w:history="1" w:anchor="_Toc223341449">
        <w:r w:rsidRPr="00C451B3">
          <w:rPr>
            <w:rStyle w:val="Hyperlnk"/>
            <w:rFonts w:eastAsia="MS Gothic"/>
            <w:noProof/>
          </w:rPr>
          <w:t>Utförande</w:t>
        </w:r>
        <w:r>
          <w:rPr>
            <w:noProof/>
            <w:webHidden/>
          </w:rPr>
          <w:tab/>
        </w:r>
        <w:r>
          <w:rPr>
            <w:noProof/>
            <w:webHidden/>
          </w:rPr>
          <w:fldChar w:fldCharType="begin"/>
        </w:r>
        <w:r>
          <w:rPr>
            <w:noProof/>
            <w:webHidden/>
          </w:rPr>
          <w:instrText xml:space="preserve"> PAGEREF _Toc223341449 \h </w:instrText>
        </w:r>
        <w:r>
          <w:rPr>
            <w:noProof/>
            <w:webHidden/>
          </w:rPr>
        </w:r>
        <w:r>
          <w:rPr>
            <w:noProof/>
            <w:webHidden/>
          </w:rPr>
          <w:fldChar w:fldCharType="separate"/>
        </w:r>
        <w:r>
          <w:rPr>
            <w:noProof/>
            <w:webHidden/>
          </w:rPr>
          <w:t>2</w:t>
        </w:r>
        <w:r>
          <w:rPr>
            <w:noProof/>
            <w:webHidden/>
          </w:rPr>
          <w:fldChar w:fldCharType="end"/>
        </w:r>
      </w:hyperlink>
    </w:p>
    <w:p w:rsidR="001C761E" w:rsidRDefault="001C761E" w14:paraId="088F33CC" w14:textId="03937C85">
      <w:pPr>
        <w:pStyle w:val="Innehll2"/>
        <w:rPr>
          <w:rFonts w:asciiTheme="minorHAnsi" w:hAnsiTheme="minorHAnsi" w:eastAsiaTheme="minorEastAsia" w:cstheme="minorBidi"/>
          <w:noProof/>
          <w:kern w:val="2"/>
          <w14:ligatures w14:val="standardContextual"/>
        </w:rPr>
      </w:pPr>
      <w:hyperlink w:history="1" w:anchor="_Toc223341450">
        <w:r w:rsidRPr="00C451B3">
          <w:rPr>
            <w:rStyle w:val="Hyperlnk"/>
            <w:rFonts w:eastAsia="MS Gothic"/>
            <w:noProof/>
          </w:rPr>
          <w:t>Uppföljning</w:t>
        </w:r>
        <w:r>
          <w:rPr>
            <w:noProof/>
            <w:webHidden/>
          </w:rPr>
          <w:tab/>
        </w:r>
        <w:r>
          <w:rPr>
            <w:noProof/>
            <w:webHidden/>
          </w:rPr>
          <w:fldChar w:fldCharType="begin"/>
        </w:r>
        <w:r>
          <w:rPr>
            <w:noProof/>
            <w:webHidden/>
          </w:rPr>
          <w:instrText xml:space="preserve"> PAGEREF _Toc223341450 \h </w:instrText>
        </w:r>
        <w:r>
          <w:rPr>
            <w:noProof/>
            <w:webHidden/>
          </w:rPr>
        </w:r>
        <w:r>
          <w:rPr>
            <w:noProof/>
            <w:webHidden/>
          </w:rPr>
          <w:fldChar w:fldCharType="separate"/>
        </w:r>
        <w:r>
          <w:rPr>
            <w:noProof/>
            <w:webHidden/>
          </w:rPr>
          <w:t>6</w:t>
        </w:r>
        <w:r>
          <w:rPr>
            <w:noProof/>
            <w:webHidden/>
          </w:rPr>
          <w:fldChar w:fldCharType="end"/>
        </w:r>
      </w:hyperlink>
    </w:p>
    <w:p w:rsidR="001C761E" w:rsidRDefault="001C761E" w14:paraId="78C2DAF8" w14:textId="01CB875D">
      <w:pPr>
        <w:pStyle w:val="Innehll2"/>
        <w:rPr>
          <w:rFonts w:asciiTheme="minorHAnsi" w:hAnsiTheme="minorHAnsi" w:eastAsiaTheme="minorEastAsia" w:cstheme="minorBidi"/>
          <w:noProof/>
          <w:kern w:val="2"/>
          <w14:ligatures w14:val="standardContextual"/>
        </w:rPr>
      </w:pPr>
      <w:hyperlink w:history="1" w:anchor="_Toc223341451">
        <w:r w:rsidRPr="00C451B3">
          <w:rPr>
            <w:rStyle w:val="Hyperlnk"/>
            <w:noProof/>
          </w:rPr>
          <w:t>Riktlinjen uppdateras och kompletteras löpande av Läkemedelsrådet SÄS.</w:t>
        </w:r>
        <w:r>
          <w:rPr>
            <w:noProof/>
            <w:webHidden/>
          </w:rPr>
          <w:tab/>
        </w:r>
        <w:r>
          <w:rPr>
            <w:noProof/>
            <w:webHidden/>
          </w:rPr>
          <w:fldChar w:fldCharType="begin"/>
        </w:r>
        <w:r>
          <w:rPr>
            <w:noProof/>
            <w:webHidden/>
          </w:rPr>
          <w:instrText xml:space="preserve"> PAGEREF _Toc223341451 \h </w:instrText>
        </w:r>
        <w:r>
          <w:rPr>
            <w:noProof/>
            <w:webHidden/>
          </w:rPr>
        </w:r>
        <w:r>
          <w:rPr>
            <w:noProof/>
            <w:webHidden/>
          </w:rPr>
          <w:fldChar w:fldCharType="separate"/>
        </w:r>
        <w:r>
          <w:rPr>
            <w:noProof/>
            <w:webHidden/>
          </w:rPr>
          <w:t>6</w:t>
        </w:r>
        <w:r>
          <w:rPr>
            <w:noProof/>
            <w:webHidden/>
          </w:rPr>
          <w:fldChar w:fldCharType="end"/>
        </w:r>
      </w:hyperlink>
    </w:p>
    <w:p w:rsidR="001C761E" w:rsidRDefault="001C761E" w14:paraId="66574F55" w14:textId="4CC72E01">
      <w:pPr>
        <w:pStyle w:val="Innehll2"/>
        <w:rPr>
          <w:rFonts w:asciiTheme="minorHAnsi" w:hAnsiTheme="minorHAnsi" w:eastAsiaTheme="minorEastAsia" w:cstheme="minorBidi"/>
          <w:noProof/>
          <w:kern w:val="2"/>
          <w14:ligatures w14:val="standardContextual"/>
        </w:rPr>
      </w:pPr>
      <w:hyperlink w:history="1" w:anchor="_Toc223341452">
        <w:r w:rsidRPr="00C451B3">
          <w:rPr>
            <w:rStyle w:val="Hyperlnk"/>
            <w:rFonts w:eastAsia="MS Gothic"/>
            <w:noProof/>
          </w:rPr>
          <w:t>Arbetsgrupp</w:t>
        </w:r>
        <w:r>
          <w:rPr>
            <w:noProof/>
            <w:webHidden/>
          </w:rPr>
          <w:tab/>
        </w:r>
        <w:r>
          <w:rPr>
            <w:noProof/>
            <w:webHidden/>
          </w:rPr>
          <w:fldChar w:fldCharType="begin"/>
        </w:r>
        <w:r>
          <w:rPr>
            <w:noProof/>
            <w:webHidden/>
          </w:rPr>
          <w:instrText xml:space="preserve"> PAGEREF _Toc223341452 \h </w:instrText>
        </w:r>
        <w:r>
          <w:rPr>
            <w:noProof/>
            <w:webHidden/>
          </w:rPr>
        </w:r>
        <w:r>
          <w:rPr>
            <w:noProof/>
            <w:webHidden/>
          </w:rPr>
          <w:fldChar w:fldCharType="separate"/>
        </w:r>
        <w:r>
          <w:rPr>
            <w:noProof/>
            <w:webHidden/>
          </w:rPr>
          <w:t>6</w:t>
        </w:r>
        <w:r>
          <w:rPr>
            <w:noProof/>
            <w:webHidden/>
          </w:rPr>
          <w:fldChar w:fldCharType="end"/>
        </w:r>
      </w:hyperlink>
    </w:p>
    <w:p w:rsidR="001C761E" w:rsidRDefault="001C761E" w14:paraId="3E8B57CE" w14:textId="05A2297F">
      <w:pPr>
        <w:pStyle w:val="Innehll2"/>
        <w:rPr>
          <w:rFonts w:asciiTheme="minorHAnsi" w:hAnsiTheme="minorHAnsi" w:eastAsiaTheme="minorEastAsia" w:cstheme="minorBidi"/>
          <w:noProof/>
          <w:kern w:val="2"/>
          <w14:ligatures w14:val="standardContextual"/>
        </w:rPr>
      </w:pPr>
      <w:hyperlink w:history="1" w:anchor="_Toc223341453">
        <w:r w:rsidRPr="00C451B3">
          <w:rPr>
            <w:rStyle w:val="Hyperlnk"/>
            <w:rFonts w:eastAsia="MS Gothic"/>
            <w:noProof/>
          </w:rPr>
          <w:t>Källförteckning</w:t>
        </w:r>
        <w:r>
          <w:rPr>
            <w:noProof/>
            <w:webHidden/>
          </w:rPr>
          <w:tab/>
        </w:r>
        <w:r>
          <w:rPr>
            <w:noProof/>
            <w:webHidden/>
          </w:rPr>
          <w:fldChar w:fldCharType="begin"/>
        </w:r>
        <w:r>
          <w:rPr>
            <w:noProof/>
            <w:webHidden/>
          </w:rPr>
          <w:instrText xml:space="preserve"> PAGEREF _Toc223341453 \h </w:instrText>
        </w:r>
        <w:r>
          <w:rPr>
            <w:noProof/>
            <w:webHidden/>
          </w:rPr>
        </w:r>
        <w:r>
          <w:rPr>
            <w:noProof/>
            <w:webHidden/>
          </w:rPr>
          <w:fldChar w:fldCharType="separate"/>
        </w:r>
        <w:r>
          <w:rPr>
            <w:noProof/>
            <w:webHidden/>
          </w:rPr>
          <w:t>6</w:t>
        </w:r>
        <w:r>
          <w:rPr>
            <w:noProof/>
            <w:webHidden/>
          </w:rPr>
          <w:fldChar w:fldCharType="end"/>
        </w:r>
      </w:hyperlink>
    </w:p>
    <w:p w:rsidR="00B405A1" w:rsidP="009A32ED" w:rsidRDefault="00D67C88" w14:paraId="1FC6584C" w14:textId="02B45135">
      <w:pPr>
        <w:ind w:right="-143"/>
      </w:pPr>
      <w:r>
        <w:fldChar w:fldCharType="end"/>
      </w:r>
    </w:p>
    <w:p w:rsidR="009A32ED" w:rsidP="009A32ED" w:rsidRDefault="009A32ED" w14:paraId="29B03EF5" w14:textId="77777777">
      <w:pPr>
        <w:pStyle w:val="Rubrik2"/>
        <w:ind w:right="-143"/>
      </w:pPr>
      <w:bookmarkStart w:name="_Toc100327186" w:id="6"/>
      <w:bookmarkStart w:name="_Toc223341447" w:id="7"/>
      <w:bookmarkEnd w:id="3"/>
      <w:r>
        <w:t>Bakgrund och syfte</w:t>
      </w:r>
      <w:bookmarkEnd w:id="6"/>
      <w:bookmarkEnd w:id="7"/>
      <w:r>
        <w:t xml:space="preserve"> </w:t>
      </w:r>
    </w:p>
    <w:p w:rsidR="00AA4CF8" w:rsidP="00AA4CF8" w:rsidRDefault="00AA4CF8" w14:paraId="045362FB" w14:textId="77777777">
      <w:pPr>
        <w:rPr>
          <w:bCs/>
        </w:rPr>
      </w:pPr>
      <w:bookmarkStart w:name="_Toc100327187" w:id="8"/>
      <w:r w:rsidRPr="00AA4CF8">
        <w:t>1 januari 2017 ersattes SOSFS 2000:1 av </w:t>
      </w:r>
      <w:hyperlink w:tgtFrame="_blank" w:history="1" r:id="rId8">
        <w:r w:rsidRPr="00AA4CF8">
          <w:rPr>
            <w:rStyle w:val="Hyperlnk"/>
          </w:rPr>
          <w:t>HSLF-FS 2017:37</w:t>
        </w:r>
      </w:hyperlink>
      <w:r w:rsidRPr="00AA4CF8">
        <w:t> [2]. Författningen gäller läkemedelshantering i hälso- och sjukvården och ska stödja hälso- och sjukvården i arbetet för en säker läkemedelshantering hela vägen från ordination och administrering till uppföljning. </w:t>
      </w:r>
    </w:p>
    <w:p w:rsidR="009A32ED" w:rsidP="009A32ED" w:rsidRDefault="009A32ED" w14:paraId="70B2A54A" w14:textId="66772856">
      <w:pPr>
        <w:pStyle w:val="Rubrik2"/>
        <w:ind w:right="-143"/>
      </w:pPr>
      <w:bookmarkStart w:name="_Toc223341448" w:id="9"/>
      <w:r>
        <w:t>Förutsättningar</w:t>
      </w:r>
      <w:bookmarkEnd w:id="8"/>
      <w:bookmarkEnd w:id="9"/>
    </w:p>
    <w:p w:rsidRPr="00AA4CF8" w:rsidR="00AA4CF8" w:rsidP="001D4131" w:rsidRDefault="00AA4CF8" w14:paraId="4E76EA40" w14:textId="2A688866">
      <w:bookmarkStart w:name="_Toc100327188" w:id="10"/>
      <w:r w:rsidRPr="00AA4CF8">
        <w:t>Hälso- och sjukvården ska bedrivas så att kraven på en god vård uppfylls (5</w:t>
      </w:r>
      <w:r w:rsidRPr="00AA4CF8">
        <w:rPr>
          <w:rFonts w:ascii="Times New Roman" w:hAnsi="Times New Roman"/>
        </w:rPr>
        <w:t> </w:t>
      </w:r>
      <w:r w:rsidRPr="00AA4CF8">
        <w:t>kap. 1</w:t>
      </w:r>
      <w:r w:rsidRPr="00AA4CF8">
        <w:rPr>
          <w:rFonts w:cs="Georgia"/>
        </w:rPr>
        <w:t>§</w:t>
      </w:r>
      <w:r w:rsidRPr="00AA4CF8">
        <w:t xml:space="preserve"> H</w:t>
      </w:r>
      <w:r w:rsidRPr="00AA4CF8">
        <w:rPr>
          <w:rFonts w:cs="Georgia"/>
        </w:rPr>
        <w:t>ä</w:t>
      </w:r>
      <w:r w:rsidRPr="00AA4CF8">
        <w:t>lso-och sjukv</w:t>
      </w:r>
      <w:r w:rsidRPr="00AA4CF8">
        <w:rPr>
          <w:rFonts w:cs="Georgia"/>
        </w:rPr>
        <w:t>å</w:t>
      </w:r>
      <w:r w:rsidRPr="00AA4CF8">
        <w:t xml:space="preserve">rdslagen (HSL 2017:30) [3]. </w:t>
      </w:r>
    </w:p>
    <w:p w:rsidR="00AA4CF8" w:rsidP="001D4131" w:rsidRDefault="00AA4CF8" w14:paraId="0F0B861A" w14:textId="77777777">
      <w:pPr>
        <w:rPr>
          <w:bCs/>
        </w:rPr>
      </w:pPr>
      <w:r w:rsidRPr="00AA4CF8">
        <w:t xml:space="preserve">Där det bedrivs hälso-och sjukvård ska det finnas den personal, de lokaler och den utrustning som behövs för att en god vård ska kunna ges (5 kap. 2 § HSL). Vårdgivaren ska planera, leda och kontrollera verksamheten på ett sätt som leder till att kraven god vård i HSL upprätthålls (3 kap. 1 § patientsäkerhetslagen (2010:659) [4] och i Socialstyrelsens föreskrifter och allmänna råd, (2011:9) ledningssystem för systematiskt kvalitetsarbete [5]. </w:t>
      </w:r>
    </w:p>
    <w:p w:rsidRPr="00065A6B" w:rsidR="009A32ED" w:rsidP="009A32ED" w:rsidRDefault="009A32ED" w14:paraId="37C7076C" w14:textId="77777777">
      <w:pPr>
        <w:pStyle w:val="Rubrik2"/>
        <w:ind w:right="-143"/>
        <w:rPr>
          <w:color w:val="auto"/>
        </w:rPr>
      </w:pPr>
      <w:bookmarkStart w:name="_Toc100327192" w:id="11"/>
      <w:bookmarkStart w:name="_Toc223341449" w:id="12"/>
      <w:bookmarkEnd w:id="10"/>
      <w:r w:rsidRPr="00065A6B">
        <w:rPr>
          <w:color w:val="auto"/>
        </w:rPr>
        <w:t>Utförande</w:t>
      </w:r>
      <w:bookmarkEnd w:id="11"/>
      <w:bookmarkEnd w:id="12"/>
    </w:p>
    <w:p w:rsidR="00452FCC" w:rsidP="001D4131" w:rsidRDefault="00452FCC" w14:paraId="4CD41059" w14:textId="10094471">
      <w:pPr>
        <w:pStyle w:val="Rubrik3"/>
      </w:pPr>
      <w:r>
        <w:t xml:space="preserve">Ordination </w:t>
      </w:r>
    </w:p>
    <w:p w:rsidRPr="00433371" w:rsidR="00433371" w:rsidP="00433371" w:rsidRDefault="00433371" w14:paraId="7781C4EE" w14:textId="77777777">
      <w:r w:rsidRPr="00433371">
        <w:t>Läkare ansvarar för ordination av läkemedel inklusive licensmotivering i förekommande fall, se SÄS-övergripande riktlinje </w:t>
      </w:r>
      <w:hyperlink w:tgtFrame="_blank" w:history="1" r:id="rId9">
        <w:r w:rsidRPr="00433371">
          <w:rPr>
            <w:rStyle w:val="Hyperlnk"/>
          </w:rPr>
          <w:t>Läkemedelsdokumentation på SÄS</w:t>
        </w:r>
      </w:hyperlink>
      <w:r w:rsidRPr="00433371">
        <w:t> [6]. </w:t>
      </w:r>
    </w:p>
    <w:p w:rsidRPr="00433371" w:rsidR="00433371" w:rsidP="00433371" w:rsidRDefault="00433371" w14:paraId="486CE7CE" w14:textId="77777777">
      <w:r w:rsidRPr="00433371">
        <w:t>Läkaren ansvarar för att läkemedelslistan hålls uppdaterad och att läkemedelsgenomgång utförs enligt regional medicinsk riktlinje </w:t>
      </w:r>
      <w:hyperlink w:tgtFrame="_blank" w:history="1" r:id="rId10">
        <w:r w:rsidRPr="00433371">
          <w:rPr>
            <w:rStyle w:val="Hyperlnk"/>
          </w:rPr>
          <w:t>Läkemedelsgenomgång och läkemedelsberättelse</w:t>
        </w:r>
      </w:hyperlink>
      <w:r w:rsidRPr="00433371">
        <w:t> [7] samt sjukhusövergripande riktlinje </w:t>
      </w:r>
      <w:hyperlink w:tgtFrame="_blank" w:history="1" r:id="rId11">
        <w:r w:rsidRPr="00433371">
          <w:rPr>
            <w:rStyle w:val="Hyperlnk"/>
          </w:rPr>
          <w:t>Läkemedelsgenomgång och läkemedelsberättelse på SÄS</w:t>
        </w:r>
      </w:hyperlink>
      <w:r w:rsidRPr="00433371">
        <w:t> [8]. </w:t>
      </w:r>
    </w:p>
    <w:p w:rsidR="00687917" w:rsidP="00433371" w:rsidRDefault="00687917" w14:paraId="0129833B" w14:textId="77777777">
      <w:pPr>
        <w:pStyle w:val="Rubrik3"/>
      </w:pPr>
      <w:r>
        <w:t xml:space="preserve">Utfärdande av generella direktiv (benämns GO i Melior) </w:t>
      </w:r>
    </w:p>
    <w:p w:rsidR="00EB500C" w:rsidP="00687917" w:rsidRDefault="00687917" w14:paraId="4113A2D6" w14:textId="77777777">
      <w:pPr>
        <w:ind w:right="-143"/>
      </w:pPr>
      <w:r>
        <w:t xml:space="preserve">Endast verksamhetschef (om denne är läkare) eller medicinsk ansvarig läkare får utfärda generella direktiv om läkemedelsbehandling. Ett generellt direktiv ska vara skriftligt och innehålla uppgifter om </w:t>
      </w:r>
    </w:p>
    <w:p w:rsidR="00EB500C" w:rsidP="00EB500C" w:rsidRDefault="00687917" w14:paraId="49DC0E87" w14:textId="77777777">
      <w:pPr>
        <w:pStyle w:val="Liststycke"/>
        <w:numPr>
          <w:ilvl w:val="0"/>
          <w:numId w:val="25"/>
        </w:numPr>
        <w:ind w:right="-143"/>
      </w:pPr>
      <w:r>
        <w:t xml:space="preserve">läkemedelsnamn eller aktiv substans, </w:t>
      </w:r>
    </w:p>
    <w:p w:rsidR="00EB500C" w:rsidP="00EB500C" w:rsidRDefault="00687917" w14:paraId="46E01F69" w14:textId="77777777">
      <w:pPr>
        <w:pStyle w:val="Liststycke"/>
        <w:numPr>
          <w:ilvl w:val="0"/>
          <w:numId w:val="25"/>
        </w:numPr>
        <w:ind w:right="-143"/>
      </w:pPr>
      <w:r>
        <w:t xml:space="preserve">läkemedelsform, </w:t>
      </w:r>
    </w:p>
    <w:p w:rsidR="00EB500C" w:rsidP="00EB500C" w:rsidRDefault="00687917" w14:paraId="6F071ECE" w14:textId="77777777">
      <w:pPr>
        <w:pStyle w:val="Liststycke"/>
        <w:numPr>
          <w:ilvl w:val="0"/>
          <w:numId w:val="25"/>
        </w:numPr>
        <w:ind w:right="-143"/>
      </w:pPr>
      <w:r>
        <w:t xml:space="preserve">läkemedlets styrka, </w:t>
      </w:r>
    </w:p>
    <w:p w:rsidR="00EB500C" w:rsidP="00EB500C" w:rsidRDefault="00687917" w14:paraId="4A84BD05" w14:textId="77777777">
      <w:pPr>
        <w:pStyle w:val="Liststycke"/>
        <w:numPr>
          <w:ilvl w:val="0"/>
          <w:numId w:val="25"/>
        </w:numPr>
        <w:ind w:right="-143"/>
      </w:pPr>
      <w:r>
        <w:t xml:space="preserve">dosering, </w:t>
      </w:r>
    </w:p>
    <w:p w:rsidR="00EB500C" w:rsidP="00EB500C" w:rsidRDefault="00687917" w14:paraId="7A48A4C9" w14:textId="77777777">
      <w:pPr>
        <w:pStyle w:val="Liststycke"/>
        <w:numPr>
          <w:ilvl w:val="0"/>
          <w:numId w:val="25"/>
        </w:numPr>
        <w:ind w:right="-143"/>
      </w:pPr>
      <w:proofErr w:type="spellStart"/>
      <w:r>
        <w:t>maxdos</w:t>
      </w:r>
      <w:proofErr w:type="spellEnd"/>
      <w:r>
        <w:t xml:space="preserve">, </w:t>
      </w:r>
    </w:p>
    <w:p w:rsidR="00EB500C" w:rsidP="00EB500C" w:rsidRDefault="00687917" w14:paraId="5D46082E" w14:textId="77777777">
      <w:pPr>
        <w:pStyle w:val="Liststycke"/>
        <w:numPr>
          <w:ilvl w:val="0"/>
          <w:numId w:val="25"/>
        </w:numPr>
        <w:ind w:right="-143"/>
      </w:pPr>
      <w:r>
        <w:t xml:space="preserve">administreringssätt, </w:t>
      </w:r>
    </w:p>
    <w:p w:rsidR="00687917" w:rsidP="006E6EB7" w:rsidRDefault="00687917" w14:paraId="62927795" w14:textId="3B4EEC64">
      <w:pPr>
        <w:pStyle w:val="Liststycke"/>
        <w:numPr>
          <w:ilvl w:val="0"/>
          <w:numId w:val="25"/>
        </w:numPr>
        <w:ind w:right="-143"/>
      </w:pPr>
      <w:r>
        <w:t xml:space="preserve">indikationer och kontraindikationer samt antalet tillfällen som läkemedlet får ges utan att en läkare kontaktas. </w:t>
      </w:r>
    </w:p>
    <w:p w:rsidR="00687917" w:rsidP="00687917" w:rsidRDefault="00C66835" w14:paraId="04390D74" w14:textId="47CD8EC2">
      <w:pPr>
        <w:ind w:right="-143"/>
      </w:pPr>
      <w:r w:rsidRPr="00C66835">
        <w:t>Fyll i regional mall 7, </w:t>
      </w:r>
      <w:hyperlink w:tgtFrame="_blank" w:history="1" r:id="rId12">
        <w:r w:rsidRPr="00C66835">
          <w:rPr>
            <w:rStyle w:val="Hyperlnk"/>
          </w:rPr>
          <w:t>Generella direktiv om läkemedelsbehandling</w:t>
        </w:r>
      </w:hyperlink>
      <w:r w:rsidRPr="00C66835">
        <w:t> [9].</w:t>
      </w:r>
    </w:p>
    <w:p w:rsidR="00687917" w:rsidP="00687917" w:rsidRDefault="00687917" w14:paraId="1BC5C9AC" w14:textId="77777777">
      <w:pPr>
        <w:ind w:right="-143"/>
      </w:pPr>
      <w:r>
        <w:t xml:space="preserve">Observera att läkemedel enligt generella direktiv inte kan delegeras enligt författningen. Detta innebär att endast legitimerade sjuksköterskor kan iordningställa, administrera/överlämna och signera generella ordinationer. </w:t>
      </w:r>
    </w:p>
    <w:p w:rsidR="00C66835" w:rsidP="00C66835" w:rsidRDefault="00687917" w14:paraId="6809EE4A" w14:textId="77777777">
      <w:pPr>
        <w:pStyle w:val="Rubrik3"/>
      </w:pPr>
      <w:r>
        <w:t xml:space="preserve">Likvärdiga och utbytbara läkemedel </w:t>
      </w:r>
    </w:p>
    <w:p w:rsidR="00687917" w:rsidP="00FC6F12" w:rsidRDefault="00687917" w14:paraId="3A44C532" w14:textId="660C8C3D">
      <w:r>
        <w:t xml:space="preserve">Vid ordination på sjukhus ska läkare i möjligaste mån ordinera utifrån det sortiment som finns på enheten/sjukhuset. Detta för att undvika utbyten i samband med iordningställande. Enligt beslut i styrgrupp läkemedel, SÄS, kan sjuksköterska utan att fråga läkare, byta till likvärdigt läkemedel enligt Läkemedelsverkets utbyteslista. </w:t>
      </w:r>
    </w:p>
    <w:p w:rsidR="00687917" w:rsidP="00687917" w:rsidRDefault="00FC6F12" w14:paraId="757AEDD8" w14:textId="26428554">
      <w:pPr>
        <w:ind w:right="-143"/>
      </w:pPr>
      <w:r w:rsidRPr="00FC6F12">
        <w:t>Information om utbyte finns i utbytesfunktionen i </w:t>
      </w:r>
      <w:hyperlink w:tgtFrame="_blank" w:history="1" r:id="rId13">
        <w:r w:rsidRPr="00FC6F12">
          <w:rPr>
            <w:rStyle w:val="Hyperlnk"/>
          </w:rPr>
          <w:t>Fass.se</w:t>
        </w:r>
      </w:hyperlink>
      <w:r w:rsidRPr="00FC6F12">
        <w:t> [10]. För exempel, se bilaga 1, </w:t>
      </w:r>
      <w:hyperlink w:tgtFrame="_blank" w:history="1" r:id="rId14">
        <w:r w:rsidRPr="00FC6F12">
          <w:rPr>
            <w:rStyle w:val="Hyperlnk"/>
          </w:rPr>
          <w:t>Beslut om hantering av utbytbara rekvisitionsläkemedel till patient</w:t>
        </w:r>
      </w:hyperlink>
      <w:r w:rsidRPr="00FC6F12">
        <w:t>. </w:t>
      </w:r>
    </w:p>
    <w:p w:rsidR="00FC6F12" w:rsidP="00FC6F12" w:rsidRDefault="00687917" w14:paraId="7FDFDBF9" w14:textId="77777777">
      <w:pPr>
        <w:pStyle w:val="Rubrik3"/>
      </w:pPr>
      <w:r>
        <w:t xml:space="preserve">Dosjustering </w:t>
      </w:r>
    </w:p>
    <w:p w:rsidR="00687917" w:rsidP="00FC6F12" w:rsidRDefault="00687917" w14:paraId="059FD6FD" w14:textId="7D5D3394">
      <w:r>
        <w:t>Vissa av vårdgivaren angivna sjuksköterskor har möjlighet att justera dosering i en läkemedelsordination. Det får ske i de situationer där doseringen är beroende av en patients individuella mål- och mätvärden. Doseringen får justeras endast om det är förenligt med en god och säker vård.</w:t>
      </w:r>
      <w:r>
        <w:rPr>
          <w:rFonts w:ascii="Times New Roman" w:hAnsi="Times New Roman"/>
        </w:rPr>
        <w:t> </w:t>
      </w:r>
      <w:r>
        <w:t>Justeringen ska g</w:t>
      </w:r>
      <w:r>
        <w:rPr>
          <w:rFonts w:cs="Georgia"/>
        </w:rPr>
        <w:t>ö</w:t>
      </w:r>
      <w:r>
        <w:t>ras med utg</w:t>
      </w:r>
      <w:r>
        <w:rPr>
          <w:rFonts w:cs="Georgia"/>
        </w:rPr>
        <w:t>å</w:t>
      </w:r>
      <w:r>
        <w:t>ngspunkt fr</w:t>
      </w:r>
      <w:r>
        <w:rPr>
          <w:rFonts w:cs="Georgia"/>
        </w:rPr>
        <w:t>å</w:t>
      </w:r>
      <w:r>
        <w:t xml:space="preserve">n patientens behov. </w:t>
      </w:r>
    </w:p>
    <w:p w:rsidR="00687917" w:rsidP="00970E09" w:rsidRDefault="00687917" w14:paraId="6B0FECB7" w14:textId="6E25F498">
      <w:r>
        <w:t xml:space="preserve">I verksamhetens lokala rutin ska det framgå vilken kompetens en sjuksköterska ska ha och även vilket läkemedel som får dosjusteras utifrån givna mål- och mätvärden. </w:t>
      </w:r>
    </w:p>
    <w:p w:rsidR="00970E09" w:rsidP="00970E09" w:rsidRDefault="00970E09" w14:paraId="52DEE842" w14:textId="73BD2174">
      <w:r w:rsidRPr="00970E09">
        <w:t>Ta hjälp av regional mall 19a, </w:t>
      </w:r>
      <w:hyperlink w:tgtFrame="_blank" w:history="1" r:id="rId15">
        <w:r w:rsidRPr="00970E09">
          <w:rPr>
            <w:rStyle w:val="Hyperlnk"/>
          </w:rPr>
          <w:t>Lokal rutin för att dosjustera ordinerat läkemedel</w:t>
        </w:r>
      </w:hyperlink>
      <w:r w:rsidRPr="00970E09">
        <w:t> [11] och regional mall 19b, </w:t>
      </w:r>
      <w:hyperlink w:tgtFrame="_blank" w:history="1" r:id="rId16">
        <w:r w:rsidRPr="00970E09">
          <w:rPr>
            <w:rStyle w:val="Hyperlnk"/>
          </w:rPr>
          <w:t>Personligt uppdrag att dosjustera ett ordinerat läkemedel</w:t>
        </w:r>
      </w:hyperlink>
      <w:r w:rsidRPr="00970E09">
        <w:t> [12]. </w:t>
      </w:r>
    </w:p>
    <w:p w:rsidR="00687917" w:rsidP="00687917" w:rsidRDefault="00687917" w14:paraId="5C69E107" w14:textId="3F31B7F7">
      <w:pPr>
        <w:ind w:right="-143"/>
      </w:pPr>
      <w:r>
        <w:t xml:space="preserve">Alla dosjusteringar ska dokumenteras i patientens läkemedelslista. Om patienten har öppenvårdsdos ska även Pascal uppdateras. </w:t>
      </w:r>
    </w:p>
    <w:p w:rsidR="00687917" w:rsidP="00687917" w:rsidRDefault="000959F9" w14:paraId="1BBDF36B" w14:textId="3939E739">
      <w:pPr>
        <w:ind w:right="-143"/>
      </w:pPr>
      <w:r w:rsidRPr="000959F9">
        <w:t>Undantag: Dosjustering på avdelningar med specialistutbildade sjuksköterskor såsom IVA och anestesi, jobbar dagligen utefter uppsatta </w:t>
      </w:r>
      <w:proofErr w:type="spellStart"/>
      <w:r w:rsidRPr="000959F9">
        <w:t>målvärden</w:t>
      </w:r>
      <w:proofErr w:type="spellEnd"/>
      <w:r w:rsidRPr="000959F9">
        <w:t> för varje enskild patient. </w:t>
      </w:r>
      <w:proofErr w:type="spellStart"/>
      <w:r w:rsidRPr="000959F9">
        <w:t>Målvärden</w:t>
      </w:r>
      <w:proofErr w:type="spellEnd"/>
      <w:r w:rsidRPr="000959F9">
        <w:t> är ordinerade av läkare i rondmanual alternativt anestesijournal. </w:t>
      </w:r>
      <w:proofErr w:type="spellStart"/>
      <w:r w:rsidRPr="000959F9">
        <w:t>Målvärden</w:t>
      </w:r>
      <w:proofErr w:type="spellEnd"/>
      <w:r w:rsidRPr="000959F9">
        <w:t> för aktuella läkemedel finns angivna i upprättade ordinationsmallar. Behörighet för sjuksköterska att dosjustera i Melior utan att det hamnar i läkarens signeringskorg ansöks av ansvarig chef via </w:t>
      </w:r>
      <w:hyperlink w:tgtFrame="_blank" w:history="1" r:id="rId17">
        <w:r w:rsidRPr="000959F9">
          <w:rPr>
            <w:rStyle w:val="Hyperlnk"/>
          </w:rPr>
          <w:t>melior.sas@vgregion.se</w:t>
        </w:r>
      </w:hyperlink>
      <w:r w:rsidRPr="000959F9">
        <w:t> där Lokal rutin för att dosjustera ordinerat läkemedel och Personligt uppdrag att dosjustera ett ordinerat läkemedel bifogas, se ovan. </w:t>
      </w:r>
    </w:p>
    <w:p w:rsidR="00687917" w:rsidP="00970E09" w:rsidRDefault="00687917" w14:paraId="613011A8" w14:textId="77777777">
      <w:pPr>
        <w:pStyle w:val="Rubrik3"/>
      </w:pPr>
      <w:r>
        <w:t xml:space="preserve">Delegering </w:t>
      </w:r>
    </w:p>
    <w:p w:rsidR="00687917" w:rsidP="00687917" w:rsidRDefault="00687917" w14:paraId="19EFE3DF" w14:textId="77777777">
      <w:pPr>
        <w:ind w:right="-143"/>
      </w:pPr>
      <w:r>
        <w:t xml:space="preserve">Verksamhetschefen är ansvarig för att delegering sker i enlighet med god och säker vård. Delegering är inte avsedd för att lösa brist på personal eller av ekonomiska skäl (SOSFS 1997:14) [13]. Läkare, tandläkare och sjuksköterska har behörighet att delegera. Delegering får inte ske inom ambulanssjukvård. </w:t>
      </w:r>
    </w:p>
    <w:p w:rsidR="00687917" w:rsidP="00687917" w:rsidRDefault="000959F9" w14:paraId="7D0E5587" w14:textId="2CC59F87">
      <w:pPr>
        <w:ind w:right="-143"/>
      </w:pPr>
      <w:r w:rsidRPr="000959F9">
        <w:t>I enlighet med de regionala riktlinjerna tillämpar SÄS en restriktiv syn på vilken läkemedelshantering som kan delegeras till icke-legitimerad personal i olika situationer. En delegation är alltid individuell och baserad på personens lämplighet och kompetens. Förslag på lämpliga läkemedel, se bilaga 2 ”</w:t>
      </w:r>
      <w:hyperlink w:tgtFrame="_blank" w:history="1" r:id="rId18">
        <w:r w:rsidRPr="000959F9">
          <w:rPr>
            <w:rStyle w:val="Hyperlnk"/>
          </w:rPr>
          <w:t>Förslag på lämpliga läkemedel som kan bli föremål för delegering</w:t>
        </w:r>
      </w:hyperlink>
      <w:r w:rsidRPr="000959F9">
        <w:t>”. Varje verksamhet ansvarar för att upprätta en egen lista. Observera att läkemedel enligt generella direktiv inte kan delegeras enligt författningen. </w:t>
      </w:r>
    </w:p>
    <w:p w:rsidR="00687917" w:rsidP="00687917" w:rsidRDefault="00687917" w14:paraId="121AEF06" w14:textId="781A7DD3">
      <w:pPr>
        <w:ind w:right="-143"/>
      </w:pPr>
      <w:r>
        <w:t xml:space="preserve">Den som ska ta emot en delegering av läkemedelshantering ska genomgå utbildning inom följande områden:  </w:t>
      </w:r>
    </w:p>
    <w:p w:rsidR="00687917" w:rsidP="000959F9" w:rsidRDefault="00687917" w14:paraId="5E1D5DEF" w14:textId="2B5A05C2">
      <w:pPr>
        <w:pStyle w:val="Punktlista"/>
      </w:pPr>
      <w:r>
        <w:t xml:space="preserve">Allmänt vad som gäller vid delegering. </w:t>
      </w:r>
    </w:p>
    <w:p w:rsidR="00687917" w:rsidP="000959F9" w:rsidRDefault="00687917" w14:paraId="2EA6C5D0" w14:textId="379BB1ED">
      <w:pPr>
        <w:pStyle w:val="Punktlista"/>
      </w:pPr>
      <w:r>
        <w:t xml:space="preserve">Basutbildning om läkemedelshantering inkluderande de risker som är förenade med hanteringen. </w:t>
      </w:r>
    </w:p>
    <w:p w:rsidR="00687917" w:rsidP="000959F9" w:rsidRDefault="00687917" w14:paraId="3DCF63E0" w14:textId="6B05B1C1">
      <w:pPr>
        <w:pStyle w:val="Punktlista"/>
      </w:pPr>
      <w:r>
        <w:t xml:space="preserve">Journalföring av läkemedel. </w:t>
      </w:r>
    </w:p>
    <w:p w:rsidR="00687917" w:rsidP="000959F9" w:rsidRDefault="00687917" w14:paraId="5F890C1C" w14:textId="54811F17">
      <w:pPr>
        <w:pStyle w:val="Punktlista"/>
      </w:pPr>
      <w:r>
        <w:t xml:space="preserve">Riktade utbildningar för delegerat moment. </w:t>
      </w:r>
    </w:p>
    <w:p w:rsidR="00687917" w:rsidP="000959F9" w:rsidRDefault="00687917" w14:paraId="1CA82AD3" w14:textId="7892976F">
      <w:pPr>
        <w:pStyle w:val="Punktlista"/>
      </w:pPr>
      <w:r>
        <w:t xml:space="preserve">Godkänt resultat i kunskapstest och praktiskt prov dokumenteras – ny bedömning årligen. </w:t>
      </w:r>
    </w:p>
    <w:p w:rsidR="00687917" w:rsidP="000959F9" w:rsidRDefault="00687917" w14:paraId="0D8D4EB4" w14:textId="2AC8749D">
      <w:pPr>
        <w:pStyle w:val="Punktlista"/>
      </w:pPr>
      <w:r>
        <w:t xml:space="preserve">Observera att det är frivilligt att ta emot en delegation. </w:t>
      </w:r>
    </w:p>
    <w:p w:rsidR="00687917" w:rsidP="00687917" w:rsidRDefault="00687917" w14:paraId="06233F41" w14:textId="5499A9B0">
      <w:pPr>
        <w:ind w:right="-143"/>
      </w:pPr>
      <w:r>
        <w:t xml:space="preserve">Utbildningens nivå kan anpassas efter vilka läkemedel och vilka situationer delegationen avser. Utöver detta måste den som lämnar delegationen bedöma om ytterligare utbildning krävs, </w:t>
      </w:r>
      <w:proofErr w:type="gramStart"/>
      <w:r>
        <w:t>t.ex.</w:t>
      </w:r>
      <w:proofErr w:type="gramEnd"/>
      <w:r>
        <w:t xml:space="preserve"> utbildning som är anpassad till aktuell vårdinriktning samt typ av läkemedel och situation. </w:t>
      </w:r>
    </w:p>
    <w:p w:rsidR="00687917" w:rsidP="00687917" w:rsidRDefault="00687917" w14:paraId="1E132033" w14:textId="260FAB97">
      <w:pPr>
        <w:ind w:right="-143"/>
      </w:pPr>
      <w:r>
        <w:t xml:space="preserve">Sjukvårdsapoteket VGR/SÄS kan vara behjälplig med grundläggande utbildningsmaterial. </w:t>
      </w:r>
    </w:p>
    <w:p w:rsidR="00687917" w:rsidP="00687917" w:rsidRDefault="00687917" w14:paraId="5EC712CF" w14:textId="77777777">
      <w:pPr>
        <w:ind w:right="-143"/>
      </w:pPr>
      <w:r>
        <w:t xml:space="preserve">Delegation ska om möjligt utgå från vårdenhetschef, om denna är legitimerad sjuksköterska, med praktisk kunskap inom aktuella moment. Om detta inte är möjligt kan vårdenhetschef utse annan sjuksköterska med praktisk kunskap kring aktuella moment att ansvara för delegation. Den person som utfärdar delegation ska ha erforderlig utbildning i ansvarsfrågan och hur delegeringen ska dokumenteras och följas upp i enlighet med författningen. </w:t>
      </w:r>
    </w:p>
    <w:p w:rsidR="00687917" w:rsidP="00687917" w:rsidRDefault="00687917" w14:paraId="162969CA" w14:textId="77777777">
      <w:pPr>
        <w:ind w:right="-143"/>
      </w:pPr>
    </w:p>
    <w:p w:rsidR="00687917" w:rsidP="00687917" w:rsidRDefault="000959F9" w14:paraId="2E1A8AA2" w14:textId="34D74FBD">
      <w:pPr>
        <w:ind w:right="-143"/>
      </w:pPr>
      <w:r w:rsidRPr="000959F9">
        <w:t>Se regional mall 20a, </w:t>
      </w:r>
      <w:hyperlink w:tgtFrame="_blank" w:history="1" r:id="rId19">
        <w:r w:rsidRPr="000959F9">
          <w:rPr>
            <w:rStyle w:val="Hyperlnk"/>
          </w:rPr>
          <w:t>Uppdrag att delegera moment inom läkemedelshantering</w:t>
        </w:r>
      </w:hyperlink>
      <w:r w:rsidRPr="000959F9">
        <w:t> [14] samt mall 20b, </w:t>
      </w:r>
      <w:hyperlink w:tgtFrame="_blank" w:history="1" r:id="rId20">
        <w:r w:rsidRPr="000959F9">
          <w:rPr>
            <w:rStyle w:val="Hyperlnk"/>
          </w:rPr>
          <w:t>Delegeringsbeslut avseende läkemedelshantering</w:t>
        </w:r>
      </w:hyperlink>
      <w:r w:rsidRPr="000959F9">
        <w:t> [15]. </w:t>
      </w:r>
    </w:p>
    <w:p w:rsidR="00687917" w:rsidP="000959F9" w:rsidRDefault="00687917" w14:paraId="4B453AD3" w14:textId="77777777">
      <w:pPr>
        <w:pStyle w:val="Rubrik3"/>
      </w:pPr>
      <w:r>
        <w:t xml:space="preserve">Dokumentation vid delegering </w:t>
      </w:r>
    </w:p>
    <w:p w:rsidR="00687917" w:rsidP="00687917" w:rsidRDefault="00687917" w14:paraId="5437EBC4" w14:textId="2DF65B82">
      <w:pPr>
        <w:ind w:right="-143"/>
      </w:pPr>
      <w:r>
        <w:t xml:space="preserve">Alla moment ska signeras, dvs. även iordningställande om det är annan person som iordningställer än den som överlämnar/administrerar läkemedlet. Varje enhet ansvarar för att det finns en lokal rutin för hur signering ska utföras. </w:t>
      </w:r>
    </w:p>
    <w:p w:rsidR="00687917" w:rsidP="00687917" w:rsidRDefault="00687917" w14:paraId="7CD13DB0" w14:textId="5F215561">
      <w:pPr>
        <w:ind w:right="-143"/>
      </w:pPr>
      <w:r>
        <w:t xml:space="preserve">I Melior kan personlig utökad behörighet tilldelas nedan personalkategorier under förutsättning att kravet om delegering och/eller behörighet uppfylls: </w:t>
      </w:r>
    </w:p>
    <w:p w:rsidR="00687917" w:rsidP="000959F9" w:rsidRDefault="00687917" w14:paraId="4E456663" w14:textId="1CD54B33">
      <w:pPr>
        <w:pStyle w:val="Punktlista"/>
      </w:pPr>
      <w:r>
        <w:t xml:space="preserve">Undersköterska som har delegering för administrering och/eller överlämnande av läkemedel. </w:t>
      </w:r>
    </w:p>
    <w:p w:rsidR="00687917" w:rsidP="000959F9" w:rsidRDefault="00687917" w14:paraId="598CA131" w14:textId="3DB298A7">
      <w:pPr>
        <w:pStyle w:val="Punktlista"/>
      </w:pPr>
      <w:r>
        <w:t xml:space="preserve">Farmaceut som har behörighet enligt författning HSLF-FS 2017:37 att iordningställa och överlämna läkemedel. </w:t>
      </w:r>
    </w:p>
    <w:p w:rsidR="00687917" w:rsidP="000959F9" w:rsidRDefault="00687917" w14:paraId="358972E7" w14:textId="07971032">
      <w:pPr>
        <w:pStyle w:val="Punktlista"/>
      </w:pPr>
      <w:r>
        <w:t xml:space="preserve">Biomedicinsk analytiker som har behörighet/delegering för administrering och/eller överlämnande av läkemedel. </w:t>
      </w:r>
    </w:p>
    <w:p w:rsidR="00687917" w:rsidP="000959F9" w:rsidRDefault="00687917" w14:paraId="7509CD87" w14:textId="77777777">
      <w:pPr>
        <w:pStyle w:val="Punktlista"/>
      </w:pPr>
      <w:r>
        <w:t xml:space="preserve">Annan hälso- och sjukvårdspersonal som har delegering för administrering och/eller överlämnande av läkemedel. </w:t>
      </w:r>
    </w:p>
    <w:p w:rsidR="000959F9" w:rsidP="000959F9" w:rsidRDefault="000959F9" w14:paraId="438D3853" w14:textId="77777777">
      <w:r w:rsidRPr="000959F9">
        <w:t>Behörighet för iordningställande, överlämna/administrera och signera beställs via </w:t>
      </w:r>
      <w:proofErr w:type="spellStart"/>
      <w:r w:rsidRPr="000959F9">
        <w:t>Meliors</w:t>
      </w:r>
      <w:proofErr w:type="spellEnd"/>
      <w:r w:rsidRPr="000959F9">
        <w:t> funktionsbrevlåda </w:t>
      </w:r>
      <w:hyperlink w:tgtFrame="_blank" w:history="1" r:id="rId21">
        <w:r w:rsidRPr="000959F9">
          <w:rPr>
            <w:rStyle w:val="Hyperlnk"/>
          </w:rPr>
          <w:t>melior.sas@vgregion.se</w:t>
        </w:r>
      </w:hyperlink>
      <w:r w:rsidRPr="000959F9">
        <w:t> efter godkänd och signerad delegering. Varje enhet ansvarar för att adekvat utbildning ges i samband med tilldelning av behörighet. </w:t>
      </w:r>
    </w:p>
    <w:p w:rsidR="009A32ED" w:rsidP="000959F9" w:rsidRDefault="000959F9" w14:paraId="55F2C9B3" w14:textId="7EF97868">
      <w:pPr>
        <w:pStyle w:val="Rubrik2"/>
      </w:pPr>
      <w:bookmarkStart w:name="_Toc223341450" w:id="13"/>
      <w:r>
        <w:t>U</w:t>
      </w:r>
      <w:r w:rsidR="009A32ED">
        <w:t>ppföljning</w:t>
      </w:r>
      <w:bookmarkEnd w:id="13"/>
    </w:p>
    <w:p w:rsidR="00243314" w:rsidP="009A32ED" w:rsidRDefault="00243314" w14:paraId="191E1143" w14:textId="77777777">
      <w:pPr>
        <w:pStyle w:val="Rubrik2"/>
        <w:ind w:right="-143"/>
        <w:rPr>
          <w:rFonts w:ascii="Georgia" w:hAnsi="Georgia" w:eastAsia="Times New Roman" w:cs="Times New Roman"/>
          <w:bCs w:val="0"/>
          <w:color w:val="auto"/>
          <w:sz w:val="24"/>
          <w:szCs w:val="24"/>
        </w:rPr>
      </w:pPr>
      <w:bookmarkStart w:name="_Toc223341451" w:id="14"/>
      <w:bookmarkStart w:name="_Toc100327193" w:id="15"/>
      <w:r w:rsidRPr="00243314">
        <w:rPr>
          <w:rFonts w:ascii="Georgia" w:hAnsi="Georgia" w:eastAsia="Times New Roman" w:cs="Times New Roman"/>
          <w:bCs w:val="0"/>
          <w:color w:val="auto"/>
          <w:sz w:val="24"/>
          <w:szCs w:val="24"/>
        </w:rPr>
        <w:t>Riktlinjen uppdateras och kompletteras löpande av Läkemedelsrådet SÄS.</w:t>
      </w:r>
      <w:bookmarkEnd w:id="14"/>
      <w:r w:rsidRPr="00243314">
        <w:rPr>
          <w:rFonts w:ascii="Georgia" w:hAnsi="Georgia" w:eastAsia="Times New Roman" w:cs="Times New Roman"/>
          <w:bCs w:val="0"/>
          <w:color w:val="auto"/>
          <w:sz w:val="24"/>
          <w:szCs w:val="24"/>
        </w:rPr>
        <w:t> </w:t>
      </w:r>
    </w:p>
    <w:p w:rsidRPr="000D04ED" w:rsidR="009A32ED" w:rsidP="009A32ED" w:rsidRDefault="009A32ED" w14:paraId="46F80C1F" w14:textId="77777777">
      <w:pPr>
        <w:pStyle w:val="Rubrik2"/>
        <w:ind w:right="-143"/>
      </w:pPr>
      <w:bookmarkStart w:name="_Toc100327194" w:id="16"/>
      <w:bookmarkStart w:name="_Toc223341452" w:id="17"/>
      <w:bookmarkEnd w:id="15"/>
      <w:r w:rsidRPr="000D04ED">
        <w:t>Arbetsgrupp</w:t>
      </w:r>
      <w:bookmarkEnd w:id="16"/>
      <w:bookmarkEnd w:id="17"/>
      <w:r>
        <w:t xml:space="preserve"> </w:t>
      </w:r>
    </w:p>
    <w:p w:rsidRPr="000959F9" w:rsidR="00086827" w:rsidP="00442DC4" w:rsidRDefault="00086827" w14:paraId="77E4171A" w14:textId="33A8F246">
      <w:bookmarkStart w:name="_Toc100327195" w:id="18"/>
      <w:r w:rsidRPr="000959F9">
        <w:t xml:space="preserve">För innehållet svarar </w:t>
      </w:r>
    </w:p>
    <w:p w:rsidRPr="00086827" w:rsidR="00086827" w:rsidP="00442DC4" w:rsidRDefault="00086827" w14:paraId="205B2905" w14:textId="2E663B69">
      <w:pPr>
        <w:pStyle w:val="Punktlista"/>
      </w:pPr>
      <w:r w:rsidRPr="00086827">
        <w:t xml:space="preserve">Grete de Flon, </w:t>
      </w:r>
      <w:proofErr w:type="spellStart"/>
      <w:r w:rsidRPr="00086827">
        <w:t>tf</w:t>
      </w:r>
      <w:proofErr w:type="spellEnd"/>
      <w:r w:rsidRPr="00086827">
        <w:t xml:space="preserve"> enhetschef, sjukvårdsapotek VGR SÄS  </w:t>
      </w:r>
    </w:p>
    <w:p w:rsidRPr="00086827" w:rsidR="00086827" w:rsidP="00442DC4" w:rsidRDefault="00086827" w14:paraId="3BFE8EBC" w14:textId="3F2DFA9F">
      <w:pPr>
        <w:pStyle w:val="Punktlista"/>
      </w:pPr>
      <w:r w:rsidRPr="00086827">
        <w:t xml:space="preserve">Jerker Nilson, chefläkare SÄS </w:t>
      </w:r>
    </w:p>
    <w:p w:rsidRPr="00086827" w:rsidR="00086827" w:rsidP="00442DC4" w:rsidRDefault="00086827" w14:paraId="0AFE22FC" w14:textId="3670712F">
      <w:pPr>
        <w:pStyle w:val="Punktlista"/>
      </w:pPr>
      <w:r w:rsidRPr="00086827">
        <w:t xml:space="preserve">Christina Furhammar, </w:t>
      </w:r>
      <w:proofErr w:type="spellStart"/>
      <w:r w:rsidRPr="00086827">
        <w:t>verksamhetscontroller</w:t>
      </w:r>
      <w:proofErr w:type="spellEnd"/>
      <w:r w:rsidRPr="00086827">
        <w:t xml:space="preserve">, VO Medicin, SÄS </w:t>
      </w:r>
    </w:p>
    <w:p w:rsidRPr="00086827" w:rsidR="00086827" w:rsidP="00442DC4" w:rsidRDefault="00086827" w14:paraId="1B5EA5F2" w14:textId="3E50F07A">
      <w:pPr>
        <w:pStyle w:val="Punktlista"/>
      </w:pPr>
      <w:r w:rsidRPr="00086827">
        <w:t xml:space="preserve">Hanna Svensson, systemförvaltare Melior, IS/IT SÄS </w:t>
      </w:r>
    </w:p>
    <w:p w:rsidRPr="000959F9" w:rsidR="00086827" w:rsidP="00442DC4" w:rsidRDefault="00086827" w14:paraId="3A7EE12E" w14:textId="18CE1548">
      <w:r w:rsidRPr="000959F9">
        <w:t xml:space="preserve">Remissinstanser (utgåva 1) </w:t>
      </w:r>
    </w:p>
    <w:p w:rsidRPr="00086827" w:rsidR="00086827" w:rsidP="00442DC4" w:rsidRDefault="00086827" w14:paraId="30916FCA" w14:textId="77777777">
      <w:pPr>
        <w:pStyle w:val="Punktlista"/>
      </w:pPr>
      <w:r w:rsidRPr="00086827">
        <w:t xml:space="preserve">Medlemmar i Läkemedelsrådet SÄS </w:t>
      </w:r>
    </w:p>
    <w:p w:rsidR="009222CB" w:rsidP="00442DC4" w:rsidRDefault="00086827" w14:paraId="3868AB96" w14:textId="68A03632">
      <w:pPr>
        <w:pStyle w:val="Punktlista"/>
        <w:rPr/>
      </w:pPr>
      <w:r w:rsidR="00086827">
        <w:rPr/>
        <w:t>Medicinsk</w:t>
      </w:r>
      <w:r w:rsidR="0B189AE2">
        <w:rPr/>
        <w:t>t</w:t>
      </w:r>
      <w:r w:rsidR="00086827">
        <w:rPr/>
        <w:t xml:space="preserve"> beredningsråd</w:t>
      </w:r>
      <w:r w:rsidR="00086827">
        <w:rPr/>
        <w:t xml:space="preserve"> SÄS </w:t>
      </w:r>
    </w:p>
    <w:p w:rsidRPr="000D04ED" w:rsidR="009A32ED" w:rsidP="00086827" w:rsidRDefault="009A32ED" w14:paraId="188AE2C8" w14:textId="35131711">
      <w:pPr>
        <w:pStyle w:val="Rubrik2"/>
        <w:ind w:right="-143"/>
      </w:pPr>
      <w:bookmarkStart w:name="_Toc223341453" w:id="19"/>
      <w:r w:rsidRPr="000D04ED">
        <w:t>Källförteckning</w:t>
      </w:r>
      <w:bookmarkEnd w:id="18"/>
      <w:bookmarkEnd w:id="19"/>
    </w:p>
    <w:p w:rsidRPr="00F179F8" w:rsidR="00F179F8" w:rsidP="00F179F8" w:rsidRDefault="00F179F8" w14:paraId="5E1BF71A" w14:textId="77777777">
      <w:pPr>
        <w:numPr>
          <w:ilvl w:val="0"/>
          <w:numId w:val="20"/>
        </w:numPr>
        <w:ind w:right="-143"/>
      </w:pPr>
      <w:r w:rsidRPr="00F179F8">
        <w:t>Riktlinje för tillämpning av Socialstyrelsens nya föreskrifter för läkemedelshantering gällande ordination och delegation. Västra Götalandsregionen, 2018-05-04 </w:t>
      </w:r>
      <w:r w:rsidRPr="00F179F8">
        <w:br/>
      </w:r>
      <w:hyperlink w:tgtFrame="_blank" w:history="1" r:id="rId22">
        <w:r w:rsidRPr="00F179F8">
          <w:rPr>
            <w:rStyle w:val="Hyperlnk"/>
          </w:rPr>
          <w:t>https://www.vgregion.se/halsa-och-vard/vardgivarwebben/vardriktlinjer/lakemedel/lakemedelshantering</w:t>
        </w:r>
      </w:hyperlink>
      <w:r w:rsidRPr="00F179F8">
        <w:t> under </w:t>
      </w:r>
      <w:r w:rsidRPr="00F179F8">
        <w:rPr>
          <w:i/>
          <w:iCs/>
        </w:rPr>
        <w:t>Dokument och länkar</w:t>
      </w:r>
      <w:r w:rsidRPr="00F179F8">
        <w:t> </w:t>
      </w:r>
    </w:p>
    <w:p w:rsidRPr="00F179F8" w:rsidR="00F179F8" w:rsidP="00F179F8" w:rsidRDefault="00F179F8" w14:paraId="71E3837F" w14:textId="77777777">
      <w:pPr>
        <w:numPr>
          <w:ilvl w:val="0"/>
          <w:numId w:val="21"/>
        </w:numPr>
        <w:ind w:right="-143"/>
      </w:pPr>
      <w:r w:rsidRPr="00F179F8">
        <w:t>HSLF-FS 2017:37”</w:t>
      </w:r>
      <w:r w:rsidRPr="00F179F8">
        <w:rPr>
          <w:i/>
          <w:iCs/>
        </w:rPr>
        <w:t>Ordination och hantering av läkemedel i hälso- och sjukvården”</w:t>
      </w:r>
      <w:r w:rsidRPr="00F179F8">
        <w:t> En handbok vid tillämpning av Socialstyrelsens föreskrifter och allmänna råd (HSLF-FS 2017:37) om ordination och hantering av läkemedel i </w:t>
      </w:r>
      <w:proofErr w:type="spellStart"/>
      <w:r w:rsidRPr="00F179F8">
        <w:t>hälso</w:t>
      </w:r>
      <w:proofErr w:type="spellEnd"/>
      <w:r w:rsidRPr="00F179F8">
        <w:t> och sjukvården </w:t>
      </w:r>
      <w:hyperlink w:tgtFrame="_blank" w:history="1" r:id="rId23">
        <w:r w:rsidRPr="00F179F8">
          <w:rPr>
            <w:rStyle w:val="Hyperlnk"/>
          </w:rPr>
          <w:t>www.socialstyrelsen.se/globalassets/sharepoint-dokument/artikelkatalog/handbocker/2019-6-6235.pdf</w:t>
        </w:r>
      </w:hyperlink>
      <w:r w:rsidRPr="00F179F8">
        <w:t> </w:t>
      </w:r>
    </w:p>
    <w:p w:rsidRPr="00F179F8" w:rsidR="00F179F8" w:rsidP="00F179F8" w:rsidRDefault="00F179F8" w14:paraId="4038A449" w14:textId="77777777">
      <w:pPr>
        <w:numPr>
          <w:ilvl w:val="0"/>
          <w:numId w:val="22"/>
        </w:numPr>
        <w:ind w:right="-143"/>
      </w:pPr>
      <w:r w:rsidRPr="00F179F8">
        <w:t>Hälso-och sjukvårdslagen (HSL 2017:30). Svensk författningssamling </w:t>
      </w:r>
      <w:r w:rsidRPr="00F179F8">
        <w:br/>
      </w:r>
      <w:hyperlink w:tgtFrame="_blank" w:history="1" r:id="rId24">
        <w:r w:rsidRPr="00F179F8">
          <w:rPr>
            <w:rStyle w:val="Hyperlnk"/>
          </w:rPr>
          <w:t>www.riksdagen.se</w:t>
        </w:r>
      </w:hyperlink>
      <w:r w:rsidRPr="00F179F8">
        <w:t> under rubrik </w:t>
      </w:r>
      <w:r w:rsidRPr="00F179F8">
        <w:rPr>
          <w:i/>
          <w:iCs/>
        </w:rPr>
        <w:t>Dokument &amp; lagar</w:t>
      </w:r>
      <w:r w:rsidRPr="00F179F8">
        <w:t> </w:t>
      </w:r>
    </w:p>
    <w:p w:rsidRPr="00F179F8" w:rsidR="00F179F8" w:rsidP="00F179F8" w:rsidRDefault="00F179F8" w14:paraId="580355D1" w14:textId="77777777">
      <w:pPr>
        <w:numPr>
          <w:ilvl w:val="0"/>
          <w:numId w:val="23"/>
        </w:numPr>
        <w:ind w:right="-143"/>
      </w:pPr>
      <w:r w:rsidRPr="00F179F8">
        <w:t>Patientsäkerhetslagen (2010:659) </w:t>
      </w:r>
      <w:r w:rsidRPr="00F179F8">
        <w:br/>
      </w:r>
      <w:hyperlink w:tgtFrame="_blank" w:history="1" r:id="rId25">
        <w:r w:rsidRPr="00F179F8">
          <w:rPr>
            <w:rStyle w:val="Hyperlnk"/>
          </w:rPr>
          <w:t>www.riksdagen.se</w:t>
        </w:r>
      </w:hyperlink>
      <w:r w:rsidRPr="00F179F8">
        <w:t> under rubrik </w:t>
      </w:r>
      <w:r w:rsidRPr="00F179F8">
        <w:rPr>
          <w:i/>
          <w:iCs/>
        </w:rPr>
        <w:t>Dokument &amp; lagar</w:t>
      </w:r>
      <w:r w:rsidRPr="00F179F8">
        <w:t> </w:t>
      </w:r>
    </w:p>
    <w:p w:rsidRPr="00F179F8" w:rsidR="00F179F8" w:rsidP="00F179F8" w:rsidRDefault="00F179F8" w14:paraId="13000FD7" w14:textId="77777777">
      <w:pPr>
        <w:numPr>
          <w:ilvl w:val="0"/>
          <w:numId w:val="24"/>
        </w:numPr>
        <w:ind w:right="-143"/>
      </w:pPr>
      <w:r w:rsidRPr="00F179F8">
        <w:t>Ledningssystem för systematiskt kvalitetsarbete (SOSFS 2011:9). Socialstyrelsens författningssamling </w:t>
      </w:r>
      <w:r w:rsidRPr="00F179F8">
        <w:br/>
      </w:r>
      <w:hyperlink w:tgtFrame="_blank" w:history="1" r:id="rId26">
        <w:r w:rsidRPr="00F179F8">
          <w:rPr>
            <w:rStyle w:val="Hyperlnk"/>
          </w:rPr>
          <w:t>https://www.socialstyrelsen.se/kunskapsstod-och-regler/regler-och-riktlinjer/foreskrifter-och-allmanna-rad/konsoliderade-foreskrifter/20119-om-ledningssystem-for-systematiskt-kvalitetsarbete</w:t>
        </w:r>
      </w:hyperlink>
      <w:r w:rsidRPr="00F179F8">
        <w:t> </w:t>
      </w:r>
    </w:p>
    <w:p w:rsidR="001C761E" w:rsidRDefault="001C761E" w14:paraId="40AA233F" w14:textId="5532B6D8">
      <w:pPr>
        <w:spacing w:after="0" w:line="240" w:lineRule="auto"/>
        <w:ind w:left="0" w:right="0"/>
      </w:pPr>
      <w:r>
        <w:br w:type="page"/>
      </w:r>
    </w:p>
    <w:p w:rsidRPr="001C761E" w:rsidR="001C761E" w:rsidP="001C761E" w:rsidRDefault="001C761E" w14:paraId="2598E903" w14:textId="77777777">
      <w:pPr>
        <w:pStyle w:val="Rubrik2"/>
      </w:pPr>
      <w:r w:rsidRPr="001C761E">
        <w:t>Bilaga 2: Förslag på lämpliga läkemedel som kan bli föremål för delegering </w:t>
      </w:r>
    </w:p>
    <w:p w:rsidRPr="001C761E" w:rsidR="001C761E" w:rsidP="001C761E" w:rsidRDefault="001C761E" w14:paraId="762FEF9A" w14:textId="77777777">
      <w:pPr>
        <w:ind w:right="-143"/>
      </w:pPr>
      <w:r w:rsidRPr="001C761E">
        <w:t>Rekommendationen är att administrering av intravenös behandling, injektioner och infusioner inte bör delegeras. </w:t>
      </w:r>
    </w:p>
    <w:p w:rsidRPr="001C761E" w:rsidR="001C761E" w:rsidP="001C761E" w:rsidRDefault="001C761E" w14:paraId="2807ED25" w14:textId="77777777">
      <w:pPr>
        <w:ind w:right="-143"/>
      </w:pPr>
      <w:r w:rsidRPr="001C761E">
        <w:t>Det anses extra riskabelt och olämpligt att delegera administration av läkemedel vid akuta situationer, till instabila patienter och inom slutenvårdsenheter med akutvårdsinriktning.   </w:t>
      </w:r>
    </w:p>
    <w:p w:rsidRPr="001C761E" w:rsidR="001C761E" w:rsidP="001C761E" w:rsidRDefault="001C761E" w14:paraId="53216434" w14:textId="77777777">
      <w:pPr>
        <w:ind w:right="-143"/>
      </w:pPr>
      <w:r w:rsidRPr="001C761E">
        <w:t>Undersköterska som har behörighet att sätta PVK (perifer </w:t>
      </w:r>
      <w:proofErr w:type="spellStart"/>
      <w:r w:rsidRPr="001C761E">
        <w:t>venkateter</w:t>
      </w:r>
      <w:proofErr w:type="spellEnd"/>
      <w:r w:rsidRPr="001C761E">
        <w:t>) behöver kontrollera PVK-läget genom spolning, och behöver därför en delegation på att administrera Natriumklorid. </w:t>
      </w:r>
      <w:proofErr w:type="spellStart"/>
      <w:r w:rsidRPr="001C761E">
        <w:t>Förfyllda</w:t>
      </w:r>
      <w:proofErr w:type="spellEnd"/>
      <w:r w:rsidRPr="001C761E">
        <w:t> spruta ska användas för att minska förväxlingsrisken. </w:t>
      </w:r>
    </w:p>
    <w:p w:rsidRPr="001C761E" w:rsidR="001C761E" w:rsidP="001C761E" w:rsidRDefault="001C761E" w14:paraId="430E0ED5" w14:textId="77777777">
      <w:pPr>
        <w:ind w:right="-143"/>
      </w:pPr>
      <w:r w:rsidRPr="001C761E">
        <w:t>Förslag på lämpliga läkemedel: </w:t>
      </w:r>
    </w:p>
    <w:p w:rsidRPr="001C761E" w:rsidR="001C761E" w:rsidP="001C761E" w:rsidRDefault="001C761E" w14:paraId="0D5BE975" w14:textId="77777777">
      <w:pPr>
        <w:ind w:right="-143"/>
      </w:pPr>
      <w:r w:rsidRPr="001C761E">
        <w:rPr>
          <w:b/>
          <w:bCs/>
        </w:rPr>
        <w:t>Gelberedningar med </w:t>
      </w:r>
      <w:proofErr w:type="spellStart"/>
      <w:r w:rsidRPr="001C761E">
        <w:rPr>
          <w:b/>
          <w:bCs/>
        </w:rPr>
        <w:t>lidokain</w:t>
      </w:r>
      <w:proofErr w:type="spellEnd"/>
      <w:r w:rsidRPr="001C761E">
        <w:t>: </w:t>
      </w:r>
      <w:proofErr w:type="spellStart"/>
      <w:proofErr w:type="gramStart"/>
      <w:r w:rsidRPr="001C761E">
        <w:t>t.ex</w:t>
      </w:r>
      <w:proofErr w:type="spellEnd"/>
      <w:proofErr w:type="gramEnd"/>
      <w:r w:rsidRPr="001C761E">
        <w:t> </w:t>
      </w:r>
      <w:proofErr w:type="spellStart"/>
      <w:r w:rsidRPr="001C761E">
        <w:t>Instillagel</w:t>
      </w:r>
      <w:proofErr w:type="spellEnd"/>
      <w:r w:rsidRPr="001C761E">
        <w:t>, </w:t>
      </w:r>
      <w:proofErr w:type="spellStart"/>
      <w:r w:rsidRPr="001C761E">
        <w:t>Xylocain</w:t>
      </w:r>
      <w:proofErr w:type="spellEnd"/>
      <w:r w:rsidRPr="001C761E">
        <w:t> gel i </w:t>
      </w:r>
      <w:proofErr w:type="spellStart"/>
      <w:r w:rsidRPr="001C761E">
        <w:t>förfylld</w:t>
      </w:r>
      <w:proofErr w:type="spellEnd"/>
      <w:r w:rsidRPr="001C761E">
        <w:t> spruta </w:t>
      </w:r>
    </w:p>
    <w:p w:rsidRPr="001C761E" w:rsidR="001C761E" w:rsidP="001C761E" w:rsidRDefault="001C761E" w14:paraId="1A17EC72" w14:textId="77777777">
      <w:pPr>
        <w:ind w:right="-143"/>
      </w:pPr>
      <w:r w:rsidRPr="001C761E">
        <w:rPr>
          <w:b/>
          <w:bCs/>
        </w:rPr>
        <w:t>Laxermedel</w:t>
      </w:r>
      <w:r w:rsidRPr="001C761E">
        <w:t>:</w:t>
      </w:r>
      <w:r w:rsidRPr="001C761E">
        <w:rPr>
          <w:b/>
          <w:bCs/>
        </w:rPr>
        <w:t> </w:t>
      </w:r>
      <w:r w:rsidRPr="001C761E">
        <w:t>Bulkmedel, </w:t>
      </w:r>
      <w:proofErr w:type="gramStart"/>
      <w:r w:rsidRPr="001C761E">
        <w:t>t.ex.</w:t>
      </w:r>
      <w:proofErr w:type="gramEnd"/>
      <w:r w:rsidRPr="001C761E">
        <w:t> </w:t>
      </w:r>
      <w:proofErr w:type="spellStart"/>
      <w:r w:rsidRPr="001C761E">
        <w:t>Inolaxol</w:t>
      </w:r>
      <w:proofErr w:type="spellEnd"/>
      <w:r w:rsidRPr="001C761E">
        <w:t>, Vi-</w:t>
      </w:r>
      <w:proofErr w:type="spellStart"/>
      <w:r w:rsidRPr="001C761E">
        <w:t>Siblin</w:t>
      </w:r>
      <w:proofErr w:type="spellEnd"/>
      <w:r w:rsidRPr="001C761E">
        <w:t> </w:t>
      </w:r>
      <w:r w:rsidRPr="001C761E">
        <w:br/>
      </w:r>
      <w:r w:rsidRPr="001C761E">
        <w:t>Osmotiskt verkande medel, t.ex. </w:t>
      </w:r>
      <w:proofErr w:type="spellStart"/>
      <w:r w:rsidRPr="001C761E">
        <w:t>Laktulos</w:t>
      </w:r>
      <w:proofErr w:type="spellEnd"/>
      <w:r w:rsidRPr="001C761E">
        <w:t>, </w:t>
      </w:r>
      <w:proofErr w:type="spellStart"/>
      <w:r w:rsidRPr="001C761E">
        <w:t>Movicol</w:t>
      </w:r>
      <w:proofErr w:type="spellEnd"/>
      <w:r w:rsidRPr="001C761E">
        <w:t> </w:t>
      </w:r>
      <w:r w:rsidRPr="001C761E">
        <w:br/>
      </w:r>
      <w:r w:rsidRPr="001C761E">
        <w:t>Rektalt verkande klysma, t.ex. </w:t>
      </w:r>
      <w:proofErr w:type="spellStart"/>
      <w:r w:rsidRPr="001C761E">
        <w:t>Resulax</w:t>
      </w:r>
      <w:proofErr w:type="spellEnd"/>
      <w:r w:rsidRPr="001C761E">
        <w:t>, </w:t>
      </w:r>
      <w:proofErr w:type="spellStart"/>
      <w:r w:rsidRPr="001C761E">
        <w:t>Klyx</w:t>
      </w:r>
      <w:proofErr w:type="spellEnd"/>
      <w:r w:rsidRPr="001C761E">
        <w:t>, Microlax </w:t>
      </w:r>
      <w:r w:rsidRPr="001C761E">
        <w:br/>
      </w:r>
      <w:r w:rsidRPr="001C761E">
        <w:t>Tarmirriterande t.ex. </w:t>
      </w:r>
      <w:proofErr w:type="spellStart"/>
      <w:r w:rsidRPr="001C761E">
        <w:t>Dulcolax</w:t>
      </w:r>
      <w:proofErr w:type="spellEnd"/>
      <w:r w:rsidRPr="001C761E">
        <w:t>, </w:t>
      </w:r>
      <w:proofErr w:type="spellStart"/>
      <w:r w:rsidRPr="001C761E">
        <w:t>Toilax</w:t>
      </w:r>
      <w:proofErr w:type="spellEnd"/>
      <w:r w:rsidRPr="001C761E">
        <w:t> </w:t>
      </w:r>
    </w:p>
    <w:p w:rsidRPr="001C761E" w:rsidR="001C761E" w:rsidP="001C761E" w:rsidRDefault="001C761E" w14:paraId="22D69B12" w14:textId="77777777">
      <w:pPr>
        <w:ind w:right="-143"/>
      </w:pPr>
      <w:r w:rsidRPr="001C761E">
        <w:rPr>
          <w:b/>
          <w:bCs/>
        </w:rPr>
        <w:t>Utvärtes medel</w:t>
      </w:r>
      <w:r w:rsidRPr="001C761E">
        <w:t>: T.ex. </w:t>
      </w:r>
      <w:proofErr w:type="spellStart"/>
      <w:r w:rsidRPr="001C761E">
        <w:t>Hirudoid</w:t>
      </w:r>
      <w:proofErr w:type="spellEnd"/>
      <w:r w:rsidRPr="001C761E">
        <w:t>, </w:t>
      </w:r>
      <w:proofErr w:type="spellStart"/>
      <w:r w:rsidRPr="001C761E">
        <w:t>Inotyol</w:t>
      </w:r>
      <w:proofErr w:type="spellEnd"/>
      <w:r w:rsidRPr="001C761E">
        <w:t>, </w:t>
      </w:r>
      <w:proofErr w:type="spellStart"/>
      <w:r w:rsidRPr="001C761E">
        <w:t>Pevaryl</w:t>
      </w:r>
      <w:proofErr w:type="spellEnd"/>
      <w:r w:rsidRPr="001C761E">
        <w:t>, </w:t>
      </w:r>
      <w:proofErr w:type="spellStart"/>
      <w:r w:rsidRPr="001C761E">
        <w:t>Fenuril</w:t>
      </w:r>
      <w:proofErr w:type="spellEnd"/>
      <w:r w:rsidRPr="001C761E">
        <w:t> </w:t>
      </w:r>
      <w:r w:rsidRPr="001C761E">
        <w:br/>
      </w:r>
      <w:r w:rsidRPr="001C761E">
        <w:t>T.ex. </w:t>
      </w:r>
      <w:proofErr w:type="spellStart"/>
      <w:r w:rsidRPr="001C761E">
        <w:t>Scheriproct</w:t>
      </w:r>
      <w:proofErr w:type="spellEnd"/>
      <w:r w:rsidRPr="001C761E">
        <w:t>, </w:t>
      </w:r>
      <w:proofErr w:type="spellStart"/>
      <w:r w:rsidRPr="001C761E">
        <w:t>Xyloproct</w:t>
      </w:r>
      <w:proofErr w:type="spellEnd"/>
      <w:r w:rsidRPr="001C761E">
        <w:t>, </w:t>
      </w:r>
      <w:proofErr w:type="spellStart"/>
      <w:r w:rsidRPr="001C761E">
        <w:t>Alcosanal</w:t>
      </w:r>
      <w:proofErr w:type="spellEnd"/>
      <w:r w:rsidRPr="001C761E">
        <w:t> </w:t>
      </w:r>
      <w:r w:rsidRPr="001C761E">
        <w:br/>
      </w:r>
      <w:r w:rsidRPr="001C761E">
        <w:t>Hudrengöringsmedel, t.ex. Descutan, </w:t>
      </w:r>
      <w:proofErr w:type="gramStart"/>
      <w:r w:rsidRPr="001C761E">
        <w:t>Hibiscrub,  Klorhexidinsprit</w:t>
      </w:r>
      <w:proofErr w:type="gramEnd"/>
      <w:r w:rsidRPr="001C761E">
        <w:t>/lösning  </w:t>
      </w:r>
      <w:r w:rsidRPr="001C761E">
        <w:br/>
      </w:r>
      <w:r w:rsidRPr="001C761E">
        <w:t>Bedövningsplåster och salvor/spray, t.ex. </w:t>
      </w:r>
      <w:proofErr w:type="spellStart"/>
      <w:r w:rsidRPr="001C761E">
        <w:t>Emla</w:t>
      </w:r>
      <w:proofErr w:type="spellEnd"/>
      <w:r w:rsidRPr="001C761E">
        <w:t>, </w:t>
      </w:r>
      <w:proofErr w:type="spellStart"/>
      <w:r w:rsidRPr="001C761E">
        <w:t>Tapin</w:t>
      </w:r>
      <w:proofErr w:type="spellEnd"/>
      <w:r w:rsidRPr="001C761E">
        <w:t>, </w:t>
      </w:r>
      <w:proofErr w:type="spellStart"/>
      <w:r w:rsidRPr="001C761E">
        <w:t>Xylocain</w:t>
      </w:r>
      <w:proofErr w:type="spellEnd"/>
      <w:r w:rsidRPr="001C761E">
        <w:t> </w:t>
      </w:r>
      <w:r w:rsidRPr="001C761E">
        <w:br/>
      </w:r>
      <w:r w:rsidRPr="001C761E">
        <w:t>Tårsubstitut, t.ex. </w:t>
      </w:r>
      <w:proofErr w:type="spellStart"/>
      <w:r w:rsidRPr="001C761E">
        <w:t>Artelac</w:t>
      </w:r>
      <w:proofErr w:type="spellEnd"/>
      <w:r w:rsidRPr="001C761E">
        <w:t>, </w:t>
      </w:r>
      <w:proofErr w:type="spellStart"/>
      <w:r w:rsidRPr="001C761E">
        <w:t>Oculac</w:t>
      </w:r>
      <w:proofErr w:type="spellEnd"/>
      <w:r w:rsidRPr="001C761E">
        <w:t> </w:t>
      </w:r>
      <w:r w:rsidRPr="001C761E">
        <w:br/>
      </w:r>
      <w:proofErr w:type="spellStart"/>
      <w:r w:rsidRPr="001C761E">
        <w:t>Avsvällande</w:t>
      </w:r>
      <w:proofErr w:type="spellEnd"/>
      <w:r w:rsidRPr="001C761E">
        <w:t> nässpray, t.ex. </w:t>
      </w:r>
      <w:proofErr w:type="spellStart"/>
      <w:r w:rsidRPr="001C761E">
        <w:t>Nezeril</w:t>
      </w:r>
      <w:proofErr w:type="spellEnd"/>
      <w:r w:rsidRPr="001C761E">
        <w:t>, </w:t>
      </w:r>
      <w:proofErr w:type="spellStart"/>
      <w:r w:rsidRPr="001C761E">
        <w:t>Nasoferm</w:t>
      </w:r>
      <w:proofErr w:type="spellEnd"/>
      <w:r w:rsidRPr="001C761E">
        <w:t> </w:t>
      </w:r>
    </w:p>
    <w:p w:rsidRPr="001C761E" w:rsidR="001C761E" w:rsidP="001C761E" w:rsidRDefault="001C761E" w14:paraId="1E07CA39" w14:textId="77777777">
      <w:pPr>
        <w:ind w:right="-143"/>
      </w:pPr>
      <w:r w:rsidRPr="001C761E">
        <w:rPr>
          <w:b/>
          <w:bCs/>
        </w:rPr>
        <w:t>Övriga läkemedel</w:t>
      </w:r>
      <w:r w:rsidRPr="001C761E">
        <w:t>:</w:t>
      </w:r>
      <w:r w:rsidRPr="001C761E">
        <w:rPr>
          <w:b/>
          <w:bCs/>
        </w:rPr>
        <w:t> </w:t>
      </w:r>
      <w:proofErr w:type="spellStart"/>
      <w:r w:rsidRPr="001C761E">
        <w:t>Dentan</w:t>
      </w:r>
      <w:proofErr w:type="spellEnd"/>
      <w:r w:rsidRPr="001C761E">
        <w:t> munsköljvätska, </w:t>
      </w:r>
      <w:r w:rsidRPr="001C761E">
        <w:br/>
      </w:r>
      <w:r w:rsidRPr="001C761E">
        <w:t>Antiseptiska medel för lokal behandling av munhåla, </w:t>
      </w:r>
      <w:proofErr w:type="gramStart"/>
      <w:r w:rsidRPr="001C761E">
        <w:t>t.ex.</w:t>
      </w:r>
      <w:proofErr w:type="gramEnd"/>
      <w:r w:rsidRPr="001C761E">
        <w:t> </w:t>
      </w:r>
      <w:proofErr w:type="spellStart"/>
      <w:r w:rsidRPr="001C761E">
        <w:t>Corsodyl</w:t>
      </w:r>
      <w:proofErr w:type="spellEnd"/>
      <w:r w:rsidRPr="001C761E">
        <w:t>, </w:t>
      </w:r>
      <w:proofErr w:type="spellStart"/>
      <w:r w:rsidRPr="001C761E">
        <w:t>Hexident</w:t>
      </w:r>
      <w:proofErr w:type="spellEnd"/>
      <w:r w:rsidRPr="001C761E">
        <w:t> </w:t>
      </w:r>
      <w:r w:rsidRPr="001C761E">
        <w:br/>
      </w:r>
      <w:r w:rsidRPr="001C761E">
        <w:t>Suppositorier, t.ex. Alvedon, </w:t>
      </w:r>
      <w:proofErr w:type="spellStart"/>
      <w:r w:rsidRPr="001C761E">
        <w:t>Xyloproct</w:t>
      </w:r>
      <w:proofErr w:type="spellEnd"/>
      <w:r w:rsidRPr="001C761E">
        <w:t> </w:t>
      </w:r>
      <w:r w:rsidRPr="001C761E">
        <w:br/>
      </w:r>
      <w:r w:rsidRPr="001C761E">
        <w:t>Nikotionersättningsmedel (tuggummi, plåster) </w:t>
      </w:r>
      <w:r w:rsidRPr="001C761E">
        <w:br/>
      </w:r>
      <w:r w:rsidRPr="001C761E">
        <w:t>Lokal östrogen, t.ex. </w:t>
      </w:r>
      <w:proofErr w:type="spellStart"/>
      <w:r w:rsidRPr="001C761E">
        <w:t>Vagifem</w:t>
      </w:r>
      <w:proofErr w:type="spellEnd"/>
      <w:r w:rsidRPr="001C761E">
        <w:t>, Ovesterin </w:t>
      </w:r>
    </w:p>
    <w:p w:rsidRPr="001C761E" w:rsidR="001C761E" w:rsidP="001C761E" w:rsidRDefault="001C761E" w14:paraId="2BE5A787" w14:textId="77777777">
      <w:pPr>
        <w:ind w:right="-143"/>
      </w:pPr>
      <w:r w:rsidRPr="001C761E">
        <w:t>Andra läkemedel kan eventuellt vara aktuella först efter noggrant övervägande och om alla krav vad gäller typ av situation, utbildning, personlig lämplighet osv är uppfyllda. </w:t>
      </w:r>
      <w:proofErr w:type="gramStart"/>
      <w:r w:rsidRPr="001C761E">
        <w:t>T.ex.</w:t>
      </w:r>
      <w:proofErr w:type="gramEnd"/>
      <w:r w:rsidRPr="001C761E">
        <w:t> insulin, Fragmin/</w:t>
      </w:r>
      <w:proofErr w:type="spellStart"/>
      <w:r w:rsidRPr="001C761E">
        <w:t>Klexane</w:t>
      </w:r>
      <w:proofErr w:type="spellEnd"/>
      <w:r w:rsidRPr="001C761E">
        <w:t xml:space="preserve"> till stabil patient. Specifika </w:t>
      </w:r>
      <w:r w:rsidRPr="001C761E">
        <w:t>läkemedel (inhalation, ögondroppar, PD-vätskor osv.) på enheter där det är vanligt förekommande. </w:t>
      </w:r>
    </w:p>
    <w:p w:rsidR="009C6C0C" w:rsidP="00F179F8" w:rsidRDefault="009C6C0C" w14:paraId="159D61B3" w14:textId="77777777">
      <w:pPr>
        <w:ind w:right="-143"/>
      </w:pPr>
    </w:p>
    <w:sectPr w:rsidR="009C6C0C" w:rsidSect="00B96AFF">
      <w:headerReference w:type="default" r:id="rId27"/>
      <w:footerReference w:type="even" r:id="rId28"/>
      <w:footerReference w:type="default" r:id="rId29"/>
      <w:headerReference w:type="first" r:id="rId30"/>
      <w:footerReference w:type="first" r:id="rId3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B39BA" w:rsidRDefault="009B39BA" w14:paraId="106B3AB1" w14:textId="77777777">
      <w:r>
        <w:separator/>
      </w:r>
    </w:p>
  </w:endnote>
  <w:endnote w:type="continuationSeparator" w:id="0">
    <w:p w:rsidR="009B39BA" w:rsidRDefault="009B39BA" w14:paraId="210ACA23" w14:textId="77777777">
      <w:r>
        <w:continuationSeparator/>
      </w:r>
    </w:p>
  </w:endnote>
  <w:endnote w:type="continuationNotice" w:id="1">
    <w:p w:rsidR="009B39BA" w:rsidRDefault="009B39BA" w14:paraId="3B3C152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B39BA" w:rsidRDefault="009B39BA" w14:paraId="566A53D2" w14:textId="77777777"/>
  </w:footnote>
  <w:footnote w:type="continuationSeparator" w:id="0">
    <w:p w:rsidR="009B39BA" w:rsidRDefault="009B39BA" w14:paraId="52C3A80D" w14:textId="77777777">
      <w:r>
        <w:continuationSeparator/>
      </w:r>
    </w:p>
  </w:footnote>
  <w:footnote w:type="continuationNotice" w:id="1">
    <w:p w:rsidR="009B39BA" w:rsidRDefault="009B39BA" w14:paraId="6721191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265B0A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975DA7E">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2B5165E"/>
    <w:multiLevelType w:val="multilevel"/>
    <w:tmpl w:val="A6269F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0D4E0E05"/>
    <w:multiLevelType w:val="multilevel"/>
    <w:tmpl w:val="1E0E57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7ED1705"/>
    <w:multiLevelType w:val="multilevel"/>
    <w:tmpl w:val="9B523EF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CC563BF"/>
    <w:multiLevelType w:val="hybridMultilevel"/>
    <w:tmpl w:val="37E01EFA"/>
    <w:lvl w:ilvl="0" w:tplc="C04A6DF2">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63AB5A31"/>
    <w:multiLevelType w:val="multilevel"/>
    <w:tmpl w:val="97AA00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D243EA5"/>
    <w:multiLevelType w:val="multilevel"/>
    <w:tmpl w:val="FE3252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FFE791D"/>
    <w:multiLevelType w:val="hybridMultilevel"/>
    <w:tmpl w:val="3CE8DA7E"/>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num w:numId="1" w16cid:durableId="1909921896">
    <w:abstractNumId w:val="23"/>
  </w:num>
  <w:num w:numId="2" w16cid:durableId="1367871050">
    <w:abstractNumId w:val="18"/>
  </w:num>
  <w:num w:numId="3" w16cid:durableId="164058872">
    <w:abstractNumId w:val="0"/>
  </w:num>
  <w:num w:numId="4" w16cid:durableId="861477783">
    <w:abstractNumId w:val="9"/>
  </w:num>
  <w:num w:numId="5" w16cid:durableId="1280868239">
    <w:abstractNumId w:val="21"/>
  </w:num>
  <w:num w:numId="6" w16cid:durableId="444931515">
    <w:abstractNumId w:val="3"/>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17"/>
  </w:num>
  <w:num w:numId="14" w16cid:durableId="36130748">
    <w:abstractNumId w:val="12"/>
  </w:num>
  <w:num w:numId="15" w16cid:durableId="560679449">
    <w:abstractNumId w:val="10"/>
  </w:num>
  <w:num w:numId="16" w16cid:durableId="1420566503">
    <w:abstractNumId w:val="16"/>
  </w:num>
  <w:num w:numId="17" w16cid:durableId="256527698">
    <w:abstractNumId w:val="7"/>
  </w:num>
  <w:num w:numId="18" w16cid:durableId="1090539201">
    <w:abstractNumId w:val="13"/>
  </w:num>
  <w:num w:numId="19" w16cid:durableId="1846439597">
    <w:abstractNumId w:val="22"/>
  </w:num>
  <w:num w:numId="20" w16cid:durableId="1056124769">
    <w:abstractNumId w:val="20"/>
  </w:num>
  <w:num w:numId="21" w16cid:durableId="601688901">
    <w:abstractNumId w:val="2"/>
  </w:num>
  <w:num w:numId="22" w16cid:durableId="59713878">
    <w:abstractNumId w:val="8"/>
  </w:num>
  <w:num w:numId="23" w16cid:durableId="2139300679">
    <w:abstractNumId w:val="19"/>
  </w:num>
  <w:num w:numId="24" w16cid:durableId="968895484">
    <w:abstractNumId w:val="5"/>
  </w:num>
  <w:num w:numId="25" w16cid:durableId="365641010">
    <w:abstractNumId w:val="15"/>
  </w:num>
  <w:num w:numId="26" w16cid:durableId="1083449435">
    <w:abstractNumId w:val="2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30"/>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86827"/>
    <w:rsid w:val="0009062C"/>
    <w:rsid w:val="00095368"/>
    <w:rsid w:val="000954C4"/>
    <w:rsid w:val="000959F9"/>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C761E"/>
    <w:rsid w:val="001D4131"/>
    <w:rsid w:val="001E3789"/>
    <w:rsid w:val="001F7333"/>
    <w:rsid w:val="00211487"/>
    <w:rsid w:val="00211D91"/>
    <w:rsid w:val="00217DEC"/>
    <w:rsid w:val="002273C9"/>
    <w:rsid w:val="00235B57"/>
    <w:rsid w:val="00243314"/>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3371"/>
    <w:rsid w:val="0043409A"/>
    <w:rsid w:val="00442DC4"/>
    <w:rsid w:val="00446255"/>
    <w:rsid w:val="00451935"/>
    <w:rsid w:val="00452FCC"/>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87917"/>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0720"/>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1B24"/>
    <w:rsid w:val="008D4B13"/>
    <w:rsid w:val="008E36F8"/>
    <w:rsid w:val="008E46B2"/>
    <w:rsid w:val="008E5D8B"/>
    <w:rsid w:val="008E682C"/>
    <w:rsid w:val="008E78A1"/>
    <w:rsid w:val="008F589F"/>
    <w:rsid w:val="00904BF7"/>
    <w:rsid w:val="00906238"/>
    <w:rsid w:val="00907EF9"/>
    <w:rsid w:val="00911231"/>
    <w:rsid w:val="0091295C"/>
    <w:rsid w:val="00914D58"/>
    <w:rsid w:val="00921F47"/>
    <w:rsid w:val="009222CB"/>
    <w:rsid w:val="009228AB"/>
    <w:rsid w:val="0093085B"/>
    <w:rsid w:val="00931C57"/>
    <w:rsid w:val="009347A5"/>
    <w:rsid w:val="00942257"/>
    <w:rsid w:val="009471BF"/>
    <w:rsid w:val="00950E4E"/>
    <w:rsid w:val="009529BD"/>
    <w:rsid w:val="009533B4"/>
    <w:rsid w:val="00957D35"/>
    <w:rsid w:val="00970E09"/>
    <w:rsid w:val="00971D93"/>
    <w:rsid w:val="009A07DC"/>
    <w:rsid w:val="009A32ED"/>
    <w:rsid w:val="009B1F6B"/>
    <w:rsid w:val="009B39BA"/>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4CF8"/>
    <w:rsid w:val="00AA6EB4"/>
    <w:rsid w:val="00AA767D"/>
    <w:rsid w:val="00AB0CC9"/>
    <w:rsid w:val="00AB687C"/>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66835"/>
    <w:rsid w:val="00C70E19"/>
    <w:rsid w:val="00C72574"/>
    <w:rsid w:val="00C7430C"/>
    <w:rsid w:val="00C83BA8"/>
    <w:rsid w:val="00C85DA1"/>
    <w:rsid w:val="00C9071C"/>
    <w:rsid w:val="00C908FF"/>
    <w:rsid w:val="00C97BD3"/>
    <w:rsid w:val="00CA1A92"/>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500C"/>
    <w:rsid w:val="00EB6714"/>
    <w:rsid w:val="00EC0A68"/>
    <w:rsid w:val="00EC3C32"/>
    <w:rsid w:val="00EC5006"/>
    <w:rsid w:val="00ED49C3"/>
    <w:rsid w:val="00ED6CE8"/>
    <w:rsid w:val="00ED7AA6"/>
    <w:rsid w:val="00EE2A56"/>
    <w:rsid w:val="00EE3818"/>
    <w:rsid w:val="00F179F8"/>
    <w:rsid w:val="00F22264"/>
    <w:rsid w:val="00F2564D"/>
    <w:rsid w:val="00F35B05"/>
    <w:rsid w:val="00F413D9"/>
    <w:rsid w:val="00F4148E"/>
    <w:rsid w:val="00F5135F"/>
    <w:rsid w:val="00F51F78"/>
    <w:rsid w:val="00F608C3"/>
    <w:rsid w:val="00F86F47"/>
    <w:rsid w:val="00F90B64"/>
    <w:rsid w:val="00FB2F0F"/>
    <w:rsid w:val="00FB5086"/>
    <w:rsid w:val="00FB5411"/>
    <w:rsid w:val="00FB6392"/>
    <w:rsid w:val="00FC4F36"/>
    <w:rsid w:val="00FC6F12"/>
    <w:rsid w:val="00FD3C70"/>
    <w:rsid w:val="00FD6820"/>
    <w:rsid w:val="00FE12D8"/>
    <w:rsid w:val="00FF100B"/>
    <w:rsid w:val="00FF7C02"/>
    <w:rsid w:val="024801E3"/>
    <w:rsid w:val="07E2E2A7"/>
    <w:rsid w:val="0B189AE2"/>
    <w:rsid w:val="1C1FFE4E"/>
    <w:rsid w:val="24A8CC8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E210BF70-98A5-4A72-A320-65927481CE0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7953167">
      <w:bodyDiv w:val="1"/>
      <w:marLeft w:val="0"/>
      <w:marRight w:val="0"/>
      <w:marTop w:val="0"/>
      <w:marBottom w:val="0"/>
      <w:divBdr>
        <w:top w:val="none" w:sz="0" w:space="0" w:color="auto"/>
        <w:left w:val="none" w:sz="0" w:space="0" w:color="auto"/>
        <w:bottom w:val="none" w:sz="0" w:space="0" w:color="auto"/>
        <w:right w:val="none" w:sz="0" w:space="0" w:color="auto"/>
      </w:divBdr>
      <w:divsChild>
        <w:div w:id="1786734409">
          <w:marLeft w:val="0"/>
          <w:marRight w:val="0"/>
          <w:marTop w:val="0"/>
          <w:marBottom w:val="0"/>
          <w:divBdr>
            <w:top w:val="none" w:sz="0" w:space="0" w:color="auto"/>
            <w:left w:val="none" w:sz="0" w:space="0" w:color="auto"/>
            <w:bottom w:val="none" w:sz="0" w:space="0" w:color="auto"/>
            <w:right w:val="none" w:sz="0" w:space="0" w:color="auto"/>
          </w:divBdr>
        </w:div>
        <w:div w:id="150610487">
          <w:marLeft w:val="0"/>
          <w:marRight w:val="0"/>
          <w:marTop w:val="0"/>
          <w:marBottom w:val="0"/>
          <w:divBdr>
            <w:top w:val="none" w:sz="0" w:space="0" w:color="auto"/>
            <w:left w:val="none" w:sz="0" w:space="0" w:color="auto"/>
            <w:bottom w:val="none" w:sz="0" w:space="0" w:color="auto"/>
            <w:right w:val="none" w:sz="0" w:space="0" w:color="auto"/>
          </w:divBdr>
        </w:div>
        <w:div w:id="144863829">
          <w:marLeft w:val="0"/>
          <w:marRight w:val="0"/>
          <w:marTop w:val="0"/>
          <w:marBottom w:val="0"/>
          <w:divBdr>
            <w:top w:val="none" w:sz="0" w:space="0" w:color="auto"/>
            <w:left w:val="none" w:sz="0" w:space="0" w:color="auto"/>
            <w:bottom w:val="none" w:sz="0" w:space="0" w:color="auto"/>
            <w:right w:val="none" w:sz="0" w:space="0" w:color="auto"/>
          </w:divBdr>
        </w:div>
        <w:div w:id="7371298">
          <w:marLeft w:val="0"/>
          <w:marRight w:val="0"/>
          <w:marTop w:val="0"/>
          <w:marBottom w:val="0"/>
          <w:divBdr>
            <w:top w:val="none" w:sz="0" w:space="0" w:color="auto"/>
            <w:left w:val="none" w:sz="0" w:space="0" w:color="auto"/>
            <w:bottom w:val="none" w:sz="0" w:space="0" w:color="auto"/>
            <w:right w:val="none" w:sz="0" w:space="0" w:color="auto"/>
          </w:divBdr>
        </w:div>
        <w:div w:id="201023248">
          <w:marLeft w:val="0"/>
          <w:marRight w:val="0"/>
          <w:marTop w:val="0"/>
          <w:marBottom w:val="0"/>
          <w:divBdr>
            <w:top w:val="none" w:sz="0" w:space="0" w:color="auto"/>
            <w:left w:val="none" w:sz="0" w:space="0" w:color="auto"/>
            <w:bottom w:val="none" w:sz="0" w:space="0" w:color="auto"/>
            <w:right w:val="none" w:sz="0" w:space="0" w:color="auto"/>
          </w:divBdr>
        </w:div>
      </w:divsChild>
    </w:div>
    <w:div w:id="283585031">
      <w:bodyDiv w:val="1"/>
      <w:marLeft w:val="0"/>
      <w:marRight w:val="0"/>
      <w:marTop w:val="0"/>
      <w:marBottom w:val="0"/>
      <w:divBdr>
        <w:top w:val="none" w:sz="0" w:space="0" w:color="auto"/>
        <w:left w:val="none" w:sz="0" w:space="0" w:color="auto"/>
        <w:bottom w:val="none" w:sz="0" w:space="0" w:color="auto"/>
        <w:right w:val="none" w:sz="0" w:space="0" w:color="auto"/>
      </w:divBdr>
      <w:divsChild>
        <w:div w:id="1841771394">
          <w:marLeft w:val="0"/>
          <w:marRight w:val="0"/>
          <w:marTop w:val="0"/>
          <w:marBottom w:val="0"/>
          <w:divBdr>
            <w:top w:val="none" w:sz="0" w:space="0" w:color="auto"/>
            <w:left w:val="none" w:sz="0" w:space="0" w:color="auto"/>
            <w:bottom w:val="none" w:sz="0" w:space="0" w:color="auto"/>
            <w:right w:val="none" w:sz="0" w:space="0" w:color="auto"/>
          </w:divBdr>
        </w:div>
        <w:div w:id="151989141">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04524544">
      <w:bodyDiv w:val="1"/>
      <w:marLeft w:val="0"/>
      <w:marRight w:val="0"/>
      <w:marTop w:val="0"/>
      <w:marBottom w:val="0"/>
      <w:divBdr>
        <w:top w:val="none" w:sz="0" w:space="0" w:color="auto"/>
        <w:left w:val="none" w:sz="0" w:space="0" w:color="auto"/>
        <w:bottom w:val="none" w:sz="0" w:space="0" w:color="auto"/>
        <w:right w:val="none" w:sz="0" w:space="0" w:color="auto"/>
      </w:divBdr>
      <w:divsChild>
        <w:div w:id="917441308">
          <w:marLeft w:val="0"/>
          <w:marRight w:val="0"/>
          <w:marTop w:val="0"/>
          <w:marBottom w:val="0"/>
          <w:divBdr>
            <w:top w:val="none" w:sz="0" w:space="0" w:color="auto"/>
            <w:left w:val="none" w:sz="0" w:space="0" w:color="auto"/>
            <w:bottom w:val="none" w:sz="0" w:space="0" w:color="auto"/>
            <w:right w:val="none" w:sz="0" w:space="0" w:color="auto"/>
          </w:divBdr>
          <w:divsChild>
            <w:div w:id="4988057">
              <w:marLeft w:val="0"/>
              <w:marRight w:val="0"/>
              <w:marTop w:val="0"/>
              <w:marBottom w:val="0"/>
              <w:divBdr>
                <w:top w:val="none" w:sz="0" w:space="0" w:color="auto"/>
                <w:left w:val="none" w:sz="0" w:space="0" w:color="auto"/>
                <w:bottom w:val="none" w:sz="0" w:space="0" w:color="auto"/>
                <w:right w:val="none" w:sz="0" w:space="0" w:color="auto"/>
              </w:divBdr>
            </w:div>
            <w:div w:id="2101876874">
              <w:marLeft w:val="0"/>
              <w:marRight w:val="0"/>
              <w:marTop w:val="0"/>
              <w:marBottom w:val="0"/>
              <w:divBdr>
                <w:top w:val="none" w:sz="0" w:space="0" w:color="auto"/>
                <w:left w:val="none" w:sz="0" w:space="0" w:color="auto"/>
                <w:bottom w:val="none" w:sz="0" w:space="0" w:color="auto"/>
                <w:right w:val="none" w:sz="0" w:space="0" w:color="auto"/>
              </w:divBdr>
            </w:div>
            <w:div w:id="1292982456">
              <w:marLeft w:val="0"/>
              <w:marRight w:val="0"/>
              <w:marTop w:val="0"/>
              <w:marBottom w:val="0"/>
              <w:divBdr>
                <w:top w:val="none" w:sz="0" w:space="0" w:color="auto"/>
                <w:left w:val="none" w:sz="0" w:space="0" w:color="auto"/>
                <w:bottom w:val="none" w:sz="0" w:space="0" w:color="auto"/>
                <w:right w:val="none" w:sz="0" w:space="0" w:color="auto"/>
              </w:divBdr>
            </w:div>
          </w:divsChild>
        </w:div>
        <w:div w:id="126514639">
          <w:marLeft w:val="0"/>
          <w:marRight w:val="0"/>
          <w:marTop w:val="0"/>
          <w:marBottom w:val="0"/>
          <w:divBdr>
            <w:top w:val="none" w:sz="0" w:space="0" w:color="auto"/>
            <w:left w:val="none" w:sz="0" w:space="0" w:color="auto"/>
            <w:bottom w:val="none" w:sz="0" w:space="0" w:color="auto"/>
            <w:right w:val="none" w:sz="0" w:space="0" w:color="auto"/>
          </w:divBdr>
          <w:divsChild>
            <w:div w:id="1837725875">
              <w:marLeft w:val="0"/>
              <w:marRight w:val="0"/>
              <w:marTop w:val="0"/>
              <w:marBottom w:val="0"/>
              <w:divBdr>
                <w:top w:val="none" w:sz="0" w:space="0" w:color="auto"/>
                <w:left w:val="none" w:sz="0" w:space="0" w:color="auto"/>
                <w:bottom w:val="none" w:sz="0" w:space="0" w:color="auto"/>
                <w:right w:val="none" w:sz="0" w:space="0" w:color="auto"/>
              </w:divBdr>
            </w:div>
            <w:div w:id="1294093925">
              <w:marLeft w:val="0"/>
              <w:marRight w:val="0"/>
              <w:marTop w:val="0"/>
              <w:marBottom w:val="0"/>
              <w:divBdr>
                <w:top w:val="none" w:sz="0" w:space="0" w:color="auto"/>
                <w:left w:val="none" w:sz="0" w:space="0" w:color="auto"/>
                <w:bottom w:val="none" w:sz="0" w:space="0" w:color="auto"/>
                <w:right w:val="none" w:sz="0" w:space="0" w:color="auto"/>
              </w:divBdr>
            </w:div>
            <w:div w:id="114257464">
              <w:marLeft w:val="0"/>
              <w:marRight w:val="0"/>
              <w:marTop w:val="0"/>
              <w:marBottom w:val="0"/>
              <w:divBdr>
                <w:top w:val="none" w:sz="0" w:space="0" w:color="auto"/>
                <w:left w:val="none" w:sz="0" w:space="0" w:color="auto"/>
                <w:bottom w:val="none" w:sz="0" w:space="0" w:color="auto"/>
                <w:right w:val="none" w:sz="0" w:space="0" w:color="auto"/>
              </w:divBdr>
            </w:div>
            <w:div w:id="34979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761647">
      <w:bodyDiv w:val="1"/>
      <w:marLeft w:val="0"/>
      <w:marRight w:val="0"/>
      <w:marTop w:val="0"/>
      <w:marBottom w:val="0"/>
      <w:divBdr>
        <w:top w:val="none" w:sz="0" w:space="0" w:color="auto"/>
        <w:left w:val="none" w:sz="0" w:space="0" w:color="auto"/>
        <w:bottom w:val="none" w:sz="0" w:space="0" w:color="auto"/>
        <w:right w:val="none" w:sz="0" w:space="0" w:color="auto"/>
      </w:divBdr>
      <w:divsChild>
        <w:div w:id="678699800">
          <w:marLeft w:val="0"/>
          <w:marRight w:val="0"/>
          <w:marTop w:val="0"/>
          <w:marBottom w:val="0"/>
          <w:divBdr>
            <w:top w:val="none" w:sz="0" w:space="0" w:color="auto"/>
            <w:left w:val="none" w:sz="0" w:space="0" w:color="auto"/>
            <w:bottom w:val="none" w:sz="0" w:space="0" w:color="auto"/>
            <w:right w:val="none" w:sz="0" w:space="0" w:color="auto"/>
          </w:divBdr>
          <w:divsChild>
            <w:div w:id="473907537">
              <w:marLeft w:val="0"/>
              <w:marRight w:val="0"/>
              <w:marTop w:val="0"/>
              <w:marBottom w:val="0"/>
              <w:divBdr>
                <w:top w:val="none" w:sz="0" w:space="0" w:color="auto"/>
                <w:left w:val="none" w:sz="0" w:space="0" w:color="auto"/>
                <w:bottom w:val="none" w:sz="0" w:space="0" w:color="auto"/>
                <w:right w:val="none" w:sz="0" w:space="0" w:color="auto"/>
              </w:divBdr>
            </w:div>
            <w:div w:id="1380856208">
              <w:marLeft w:val="0"/>
              <w:marRight w:val="0"/>
              <w:marTop w:val="0"/>
              <w:marBottom w:val="0"/>
              <w:divBdr>
                <w:top w:val="none" w:sz="0" w:space="0" w:color="auto"/>
                <w:left w:val="none" w:sz="0" w:space="0" w:color="auto"/>
                <w:bottom w:val="none" w:sz="0" w:space="0" w:color="auto"/>
                <w:right w:val="none" w:sz="0" w:space="0" w:color="auto"/>
              </w:divBdr>
            </w:div>
            <w:div w:id="2112161914">
              <w:marLeft w:val="0"/>
              <w:marRight w:val="0"/>
              <w:marTop w:val="0"/>
              <w:marBottom w:val="0"/>
              <w:divBdr>
                <w:top w:val="none" w:sz="0" w:space="0" w:color="auto"/>
                <w:left w:val="none" w:sz="0" w:space="0" w:color="auto"/>
                <w:bottom w:val="none" w:sz="0" w:space="0" w:color="auto"/>
                <w:right w:val="none" w:sz="0" w:space="0" w:color="auto"/>
              </w:divBdr>
            </w:div>
          </w:divsChild>
        </w:div>
        <w:div w:id="379862259">
          <w:marLeft w:val="0"/>
          <w:marRight w:val="0"/>
          <w:marTop w:val="0"/>
          <w:marBottom w:val="0"/>
          <w:divBdr>
            <w:top w:val="none" w:sz="0" w:space="0" w:color="auto"/>
            <w:left w:val="none" w:sz="0" w:space="0" w:color="auto"/>
            <w:bottom w:val="none" w:sz="0" w:space="0" w:color="auto"/>
            <w:right w:val="none" w:sz="0" w:space="0" w:color="auto"/>
          </w:divBdr>
          <w:divsChild>
            <w:div w:id="926615460">
              <w:marLeft w:val="0"/>
              <w:marRight w:val="0"/>
              <w:marTop w:val="0"/>
              <w:marBottom w:val="0"/>
              <w:divBdr>
                <w:top w:val="none" w:sz="0" w:space="0" w:color="auto"/>
                <w:left w:val="none" w:sz="0" w:space="0" w:color="auto"/>
                <w:bottom w:val="none" w:sz="0" w:space="0" w:color="auto"/>
                <w:right w:val="none" w:sz="0" w:space="0" w:color="auto"/>
              </w:divBdr>
            </w:div>
            <w:div w:id="1432580697">
              <w:marLeft w:val="0"/>
              <w:marRight w:val="0"/>
              <w:marTop w:val="0"/>
              <w:marBottom w:val="0"/>
              <w:divBdr>
                <w:top w:val="none" w:sz="0" w:space="0" w:color="auto"/>
                <w:left w:val="none" w:sz="0" w:space="0" w:color="auto"/>
                <w:bottom w:val="none" w:sz="0" w:space="0" w:color="auto"/>
                <w:right w:val="none" w:sz="0" w:space="0" w:color="auto"/>
              </w:divBdr>
            </w:div>
            <w:div w:id="1677271630">
              <w:marLeft w:val="0"/>
              <w:marRight w:val="0"/>
              <w:marTop w:val="0"/>
              <w:marBottom w:val="0"/>
              <w:divBdr>
                <w:top w:val="none" w:sz="0" w:space="0" w:color="auto"/>
                <w:left w:val="none" w:sz="0" w:space="0" w:color="auto"/>
                <w:bottom w:val="none" w:sz="0" w:space="0" w:color="auto"/>
                <w:right w:val="none" w:sz="0" w:space="0" w:color="auto"/>
              </w:divBdr>
            </w:div>
            <w:div w:id="24399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6999381">
      <w:bodyDiv w:val="1"/>
      <w:marLeft w:val="0"/>
      <w:marRight w:val="0"/>
      <w:marTop w:val="0"/>
      <w:marBottom w:val="0"/>
      <w:divBdr>
        <w:top w:val="none" w:sz="0" w:space="0" w:color="auto"/>
        <w:left w:val="none" w:sz="0" w:space="0" w:color="auto"/>
        <w:bottom w:val="none" w:sz="0" w:space="0" w:color="auto"/>
        <w:right w:val="none" w:sz="0" w:space="0" w:color="auto"/>
      </w:divBdr>
      <w:divsChild>
        <w:div w:id="883441462">
          <w:marLeft w:val="0"/>
          <w:marRight w:val="0"/>
          <w:marTop w:val="0"/>
          <w:marBottom w:val="0"/>
          <w:divBdr>
            <w:top w:val="none" w:sz="0" w:space="0" w:color="auto"/>
            <w:left w:val="none" w:sz="0" w:space="0" w:color="auto"/>
            <w:bottom w:val="none" w:sz="0" w:space="0" w:color="auto"/>
            <w:right w:val="none" w:sz="0" w:space="0" w:color="auto"/>
          </w:divBdr>
        </w:div>
        <w:div w:id="672956110">
          <w:marLeft w:val="0"/>
          <w:marRight w:val="0"/>
          <w:marTop w:val="0"/>
          <w:marBottom w:val="0"/>
          <w:divBdr>
            <w:top w:val="none" w:sz="0" w:space="0" w:color="auto"/>
            <w:left w:val="none" w:sz="0" w:space="0" w:color="auto"/>
            <w:bottom w:val="none" w:sz="0" w:space="0" w:color="auto"/>
            <w:right w:val="none" w:sz="0" w:space="0" w:color="auto"/>
          </w:divBdr>
        </w:div>
      </w:divsChild>
    </w:div>
    <w:div w:id="1481187555">
      <w:bodyDiv w:val="1"/>
      <w:marLeft w:val="0"/>
      <w:marRight w:val="0"/>
      <w:marTop w:val="0"/>
      <w:marBottom w:val="0"/>
      <w:divBdr>
        <w:top w:val="none" w:sz="0" w:space="0" w:color="auto"/>
        <w:left w:val="none" w:sz="0" w:space="0" w:color="auto"/>
        <w:bottom w:val="none" w:sz="0" w:space="0" w:color="auto"/>
        <w:right w:val="none" w:sz="0" w:space="0" w:color="auto"/>
      </w:divBdr>
      <w:divsChild>
        <w:div w:id="1810902360">
          <w:marLeft w:val="0"/>
          <w:marRight w:val="0"/>
          <w:marTop w:val="0"/>
          <w:marBottom w:val="0"/>
          <w:divBdr>
            <w:top w:val="none" w:sz="0" w:space="0" w:color="auto"/>
            <w:left w:val="none" w:sz="0" w:space="0" w:color="auto"/>
            <w:bottom w:val="none" w:sz="0" w:space="0" w:color="auto"/>
            <w:right w:val="none" w:sz="0" w:space="0" w:color="auto"/>
          </w:divBdr>
        </w:div>
        <w:div w:id="563029501">
          <w:marLeft w:val="0"/>
          <w:marRight w:val="0"/>
          <w:marTop w:val="0"/>
          <w:marBottom w:val="0"/>
          <w:divBdr>
            <w:top w:val="none" w:sz="0" w:space="0" w:color="auto"/>
            <w:left w:val="none" w:sz="0" w:space="0" w:color="auto"/>
            <w:bottom w:val="none" w:sz="0" w:space="0" w:color="auto"/>
            <w:right w:val="none" w:sz="0" w:space="0" w:color="auto"/>
          </w:divBdr>
        </w:div>
        <w:div w:id="2011638923">
          <w:marLeft w:val="0"/>
          <w:marRight w:val="0"/>
          <w:marTop w:val="0"/>
          <w:marBottom w:val="0"/>
          <w:divBdr>
            <w:top w:val="none" w:sz="0" w:space="0" w:color="auto"/>
            <w:left w:val="none" w:sz="0" w:space="0" w:color="auto"/>
            <w:bottom w:val="none" w:sz="0" w:space="0" w:color="auto"/>
            <w:right w:val="none" w:sz="0" w:space="0" w:color="auto"/>
          </w:divBdr>
        </w:div>
      </w:divsChild>
    </w:div>
    <w:div w:id="1554928843">
      <w:bodyDiv w:val="1"/>
      <w:marLeft w:val="0"/>
      <w:marRight w:val="0"/>
      <w:marTop w:val="0"/>
      <w:marBottom w:val="0"/>
      <w:divBdr>
        <w:top w:val="none" w:sz="0" w:space="0" w:color="auto"/>
        <w:left w:val="none" w:sz="0" w:space="0" w:color="auto"/>
        <w:bottom w:val="none" w:sz="0" w:space="0" w:color="auto"/>
        <w:right w:val="none" w:sz="0" w:space="0" w:color="auto"/>
      </w:divBdr>
      <w:divsChild>
        <w:div w:id="248151166">
          <w:marLeft w:val="0"/>
          <w:marRight w:val="0"/>
          <w:marTop w:val="0"/>
          <w:marBottom w:val="0"/>
          <w:divBdr>
            <w:top w:val="none" w:sz="0" w:space="0" w:color="auto"/>
            <w:left w:val="none" w:sz="0" w:space="0" w:color="auto"/>
            <w:bottom w:val="none" w:sz="0" w:space="0" w:color="auto"/>
            <w:right w:val="none" w:sz="0" w:space="0" w:color="auto"/>
          </w:divBdr>
        </w:div>
        <w:div w:id="693463125">
          <w:marLeft w:val="0"/>
          <w:marRight w:val="0"/>
          <w:marTop w:val="0"/>
          <w:marBottom w:val="0"/>
          <w:divBdr>
            <w:top w:val="none" w:sz="0" w:space="0" w:color="auto"/>
            <w:left w:val="none" w:sz="0" w:space="0" w:color="auto"/>
            <w:bottom w:val="none" w:sz="0" w:space="0" w:color="auto"/>
            <w:right w:val="none" w:sz="0" w:space="0" w:color="auto"/>
          </w:divBdr>
        </w:div>
        <w:div w:id="891381252">
          <w:marLeft w:val="0"/>
          <w:marRight w:val="0"/>
          <w:marTop w:val="0"/>
          <w:marBottom w:val="0"/>
          <w:divBdr>
            <w:top w:val="none" w:sz="0" w:space="0" w:color="auto"/>
            <w:left w:val="none" w:sz="0" w:space="0" w:color="auto"/>
            <w:bottom w:val="none" w:sz="0" w:space="0" w:color="auto"/>
            <w:right w:val="none" w:sz="0" w:space="0" w:color="auto"/>
          </w:divBdr>
        </w:div>
      </w:divsChild>
    </w:div>
    <w:div w:id="1643389157">
      <w:bodyDiv w:val="1"/>
      <w:marLeft w:val="0"/>
      <w:marRight w:val="0"/>
      <w:marTop w:val="0"/>
      <w:marBottom w:val="0"/>
      <w:divBdr>
        <w:top w:val="none" w:sz="0" w:space="0" w:color="auto"/>
        <w:left w:val="none" w:sz="0" w:space="0" w:color="auto"/>
        <w:bottom w:val="none" w:sz="0" w:space="0" w:color="auto"/>
        <w:right w:val="none" w:sz="0" w:space="0" w:color="auto"/>
      </w:divBdr>
      <w:divsChild>
        <w:div w:id="308243824">
          <w:marLeft w:val="0"/>
          <w:marRight w:val="0"/>
          <w:marTop w:val="0"/>
          <w:marBottom w:val="0"/>
          <w:divBdr>
            <w:top w:val="none" w:sz="0" w:space="0" w:color="auto"/>
            <w:left w:val="none" w:sz="0" w:space="0" w:color="auto"/>
            <w:bottom w:val="none" w:sz="0" w:space="0" w:color="auto"/>
            <w:right w:val="none" w:sz="0" w:space="0" w:color="auto"/>
          </w:divBdr>
        </w:div>
        <w:div w:id="1796606866">
          <w:marLeft w:val="0"/>
          <w:marRight w:val="0"/>
          <w:marTop w:val="0"/>
          <w:marBottom w:val="0"/>
          <w:divBdr>
            <w:top w:val="none" w:sz="0" w:space="0" w:color="auto"/>
            <w:left w:val="none" w:sz="0" w:space="0" w:color="auto"/>
            <w:bottom w:val="none" w:sz="0" w:space="0" w:color="auto"/>
            <w:right w:val="none" w:sz="0" w:space="0" w:color="auto"/>
          </w:divBdr>
        </w:div>
        <w:div w:id="1880969966">
          <w:marLeft w:val="0"/>
          <w:marRight w:val="0"/>
          <w:marTop w:val="0"/>
          <w:marBottom w:val="0"/>
          <w:divBdr>
            <w:top w:val="none" w:sz="0" w:space="0" w:color="auto"/>
            <w:left w:val="none" w:sz="0" w:space="0" w:color="auto"/>
            <w:bottom w:val="none" w:sz="0" w:space="0" w:color="auto"/>
            <w:right w:val="none" w:sz="0" w:space="0" w:color="auto"/>
          </w:divBdr>
        </w:div>
        <w:div w:id="1575124250">
          <w:marLeft w:val="0"/>
          <w:marRight w:val="0"/>
          <w:marTop w:val="0"/>
          <w:marBottom w:val="0"/>
          <w:divBdr>
            <w:top w:val="none" w:sz="0" w:space="0" w:color="auto"/>
            <w:left w:val="none" w:sz="0" w:space="0" w:color="auto"/>
            <w:bottom w:val="none" w:sz="0" w:space="0" w:color="auto"/>
            <w:right w:val="none" w:sz="0" w:space="0" w:color="auto"/>
          </w:divBdr>
        </w:div>
        <w:div w:id="532497345">
          <w:marLeft w:val="0"/>
          <w:marRight w:val="0"/>
          <w:marTop w:val="0"/>
          <w:marBottom w:val="0"/>
          <w:divBdr>
            <w:top w:val="none" w:sz="0" w:space="0" w:color="auto"/>
            <w:left w:val="none" w:sz="0" w:space="0" w:color="auto"/>
            <w:bottom w:val="none" w:sz="0" w:space="0" w:color="auto"/>
            <w:right w:val="none" w:sz="0" w:space="0" w:color="auto"/>
          </w:divBdr>
        </w:div>
      </w:divsChild>
    </w:div>
    <w:div w:id="1725060915">
      <w:bodyDiv w:val="1"/>
      <w:marLeft w:val="0"/>
      <w:marRight w:val="0"/>
      <w:marTop w:val="0"/>
      <w:marBottom w:val="0"/>
      <w:divBdr>
        <w:top w:val="none" w:sz="0" w:space="0" w:color="auto"/>
        <w:left w:val="none" w:sz="0" w:space="0" w:color="auto"/>
        <w:bottom w:val="none" w:sz="0" w:space="0" w:color="auto"/>
        <w:right w:val="none" w:sz="0" w:space="0" w:color="auto"/>
      </w:divBdr>
      <w:divsChild>
        <w:div w:id="620959143">
          <w:marLeft w:val="0"/>
          <w:marRight w:val="0"/>
          <w:marTop w:val="0"/>
          <w:marBottom w:val="0"/>
          <w:divBdr>
            <w:top w:val="none" w:sz="0" w:space="0" w:color="auto"/>
            <w:left w:val="none" w:sz="0" w:space="0" w:color="auto"/>
            <w:bottom w:val="none" w:sz="0" w:space="0" w:color="auto"/>
            <w:right w:val="none" w:sz="0" w:space="0" w:color="auto"/>
          </w:divBdr>
        </w:div>
        <w:div w:id="628168858">
          <w:marLeft w:val="0"/>
          <w:marRight w:val="0"/>
          <w:marTop w:val="0"/>
          <w:marBottom w:val="0"/>
          <w:divBdr>
            <w:top w:val="none" w:sz="0" w:space="0" w:color="auto"/>
            <w:left w:val="none" w:sz="0" w:space="0" w:color="auto"/>
            <w:bottom w:val="none" w:sz="0" w:space="0" w:color="auto"/>
            <w:right w:val="none" w:sz="0" w:space="0" w:color="auto"/>
          </w:divBdr>
        </w:div>
      </w:divsChild>
    </w:div>
    <w:div w:id="1816099371">
      <w:bodyDiv w:val="1"/>
      <w:marLeft w:val="0"/>
      <w:marRight w:val="0"/>
      <w:marTop w:val="0"/>
      <w:marBottom w:val="0"/>
      <w:divBdr>
        <w:top w:val="none" w:sz="0" w:space="0" w:color="auto"/>
        <w:left w:val="none" w:sz="0" w:space="0" w:color="auto"/>
        <w:bottom w:val="none" w:sz="0" w:space="0" w:color="auto"/>
        <w:right w:val="none" w:sz="0" w:space="0" w:color="auto"/>
      </w:divBdr>
      <w:divsChild>
        <w:div w:id="1780174816">
          <w:marLeft w:val="0"/>
          <w:marRight w:val="0"/>
          <w:marTop w:val="0"/>
          <w:marBottom w:val="0"/>
          <w:divBdr>
            <w:top w:val="none" w:sz="0" w:space="0" w:color="auto"/>
            <w:left w:val="none" w:sz="0" w:space="0" w:color="auto"/>
            <w:bottom w:val="none" w:sz="0" w:space="0" w:color="auto"/>
            <w:right w:val="none" w:sz="0" w:space="0" w:color="auto"/>
          </w:divBdr>
        </w:div>
        <w:div w:id="1466118588">
          <w:marLeft w:val="0"/>
          <w:marRight w:val="0"/>
          <w:marTop w:val="0"/>
          <w:marBottom w:val="0"/>
          <w:divBdr>
            <w:top w:val="none" w:sz="0" w:space="0" w:color="auto"/>
            <w:left w:val="none" w:sz="0" w:space="0" w:color="auto"/>
            <w:bottom w:val="none" w:sz="0" w:space="0" w:color="auto"/>
            <w:right w:val="none" w:sz="0" w:space="0" w:color="auto"/>
          </w:divBdr>
        </w:div>
        <w:div w:id="270090468">
          <w:marLeft w:val="0"/>
          <w:marRight w:val="0"/>
          <w:marTop w:val="0"/>
          <w:marBottom w:val="0"/>
          <w:divBdr>
            <w:top w:val="none" w:sz="0" w:space="0" w:color="auto"/>
            <w:left w:val="none" w:sz="0" w:space="0" w:color="auto"/>
            <w:bottom w:val="none" w:sz="0" w:space="0" w:color="auto"/>
            <w:right w:val="none" w:sz="0" w:space="0" w:color="auto"/>
          </w:divBdr>
        </w:div>
        <w:div w:id="160971841">
          <w:marLeft w:val="0"/>
          <w:marRight w:val="0"/>
          <w:marTop w:val="0"/>
          <w:marBottom w:val="0"/>
          <w:divBdr>
            <w:top w:val="none" w:sz="0" w:space="0" w:color="auto"/>
            <w:left w:val="none" w:sz="0" w:space="0" w:color="auto"/>
            <w:bottom w:val="none" w:sz="0" w:space="0" w:color="auto"/>
            <w:right w:val="none" w:sz="0" w:space="0" w:color="auto"/>
          </w:divBdr>
        </w:div>
        <w:div w:id="372001940">
          <w:marLeft w:val="0"/>
          <w:marRight w:val="0"/>
          <w:marTop w:val="0"/>
          <w:marBottom w:val="0"/>
          <w:divBdr>
            <w:top w:val="none" w:sz="0" w:space="0" w:color="auto"/>
            <w:left w:val="none" w:sz="0" w:space="0" w:color="auto"/>
            <w:bottom w:val="none" w:sz="0" w:space="0" w:color="auto"/>
            <w:right w:val="none" w:sz="0" w:space="0" w:color="auto"/>
          </w:divBdr>
        </w:div>
        <w:div w:id="1653632670">
          <w:marLeft w:val="0"/>
          <w:marRight w:val="0"/>
          <w:marTop w:val="0"/>
          <w:marBottom w:val="0"/>
          <w:divBdr>
            <w:top w:val="none" w:sz="0" w:space="0" w:color="auto"/>
            <w:left w:val="none" w:sz="0" w:space="0" w:color="auto"/>
            <w:bottom w:val="none" w:sz="0" w:space="0" w:color="auto"/>
            <w:right w:val="none" w:sz="0" w:space="0" w:color="auto"/>
          </w:divBdr>
        </w:div>
        <w:div w:id="1505246992">
          <w:marLeft w:val="0"/>
          <w:marRight w:val="0"/>
          <w:marTop w:val="0"/>
          <w:marBottom w:val="0"/>
          <w:divBdr>
            <w:top w:val="none" w:sz="0" w:space="0" w:color="auto"/>
            <w:left w:val="none" w:sz="0" w:space="0" w:color="auto"/>
            <w:bottom w:val="none" w:sz="0" w:space="0" w:color="auto"/>
            <w:right w:val="none" w:sz="0" w:space="0" w:color="auto"/>
          </w:divBdr>
        </w:div>
        <w:div w:id="1905867666">
          <w:marLeft w:val="0"/>
          <w:marRight w:val="0"/>
          <w:marTop w:val="0"/>
          <w:marBottom w:val="0"/>
          <w:divBdr>
            <w:top w:val="none" w:sz="0" w:space="0" w:color="auto"/>
            <w:left w:val="none" w:sz="0" w:space="0" w:color="auto"/>
            <w:bottom w:val="none" w:sz="0" w:space="0" w:color="auto"/>
            <w:right w:val="none" w:sz="0" w:space="0" w:color="auto"/>
          </w:divBdr>
        </w:div>
        <w:div w:id="2074306380">
          <w:marLeft w:val="0"/>
          <w:marRight w:val="0"/>
          <w:marTop w:val="0"/>
          <w:marBottom w:val="0"/>
          <w:divBdr>
            <w:top w:val="none" w:sz="0" w:space="0" w:color="auto"/>
            <w:left w:val="none" w:sz="0" w:space="0" w:color="auto"/>
            <w:bottom w:val="none" w:sz="0" w:space="0" w:color="auto"/>
            <w:right w:val="none" w:sz="0" w:space="0" w:color="auto"/>
          </w:divBdr>
        </w:div>
        <w:div w:id="169911837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fass.se/" TargetMode="External" Id="rId13" /><Relationship Type="http://schemas.openxmlformats.org/officeDocument/2006/relationships/hyperlink" Target="bookmark://Bilaga2" TargetMode="External" Id="rId18" /><Relationship Type="http://schemas.openxmlformats.org/officeDocument/2006/relationships/hyperlink" Target="https://www.socialstyrelsen.se/kunskapsstod-och-regler/regler-och-riktlinjer/foreskrifter-och-allmanna-rad/konsoliderade-foreskrifter/20119-om-ledningssystem-for-systematiskt-kvalitetsarbete" TargetMode="External" Id="rId26" /><Relationship Type="http://schemas.openxmlformats.org/officeDocument/2006/relationships/hyperlink" Target="mailto:melior.sas@vgregion.se" TargetMode="External" Id="rId21" /><Relationship Type="http://schemas.openxmlformats.org/officeDocument/2006/relationships/hyperlink" Target="https://mellanarkiv-offentlig.vgregion.se/alfresco/s/archive/stream/public/v1/source/available/sofia/rhs7052-1069016101-55/native/Mall%207%20Generella%20direktiv%20om%20l%c3%a4kemedelsbehandling.pdf" TargetMode="External" Id="rId12" /><Relationship Type="http://schemas.openxmlformats.org/officeDocument/2006/relationships/hyperlink" Target="mailto:melior.sas@vgregion.se" TargetMode="External" Id="rId17" /><Relationship Type="http://schemas.openxmlformats.org/officeDocument/2006/relationships/hyperlink" Target="https://www.riksdagen.se/sv/dokument-lagar/dokument/svensk-forfattningssamling/patientsakerhetslag-2010659_sfs-2010-659" TargetMode="External" Id="rId25" /><Relationship Type="http://schemas.openxmlformats.org/officeDocument/2006/relationships/theme" Target="theme/theme1.xml" Id="rId33" /><Relationship Type="http://schemas.openxmlformats.org/officeDocument/2006/relationships/styles" Target="styles.xml" Id="rId2" /><Relationship Type="http://schemas.openxmlformats.org/officeDocument/2006/relationships/hyperlink" Target="https://mellanarkiv-offentlig.vgregion.se/alfresco/s/archive/stream/public/v1/source/available/sofia/rhs7052-1069016101-30/native/Mall%2019b%20Personligt%20uppdrag%20att%20dosjustera%20ett%20ordinerat%20l%c3%a4kemedel.pdf" TargetMode="External" Id="rId16" /><Relationship Type="http://schemas.openxmlformats.org/officeDocument/2006/relationships/hyperlink" Target="https://mellanarkiv-offentlig.vgregion.se/alfresco/s/archive/stream/public/v1/source/available/sofia/rhs7052-1069016101-34/native/Mall%2020b%20Delegeringsbeslut%20avseende%20l%c3%a4kemedelshantering.pdf" TargetMode="External" Id="rId20" /><Relationship Type="http://schemas.openxmlformats.org/officeDocument/2006/relationships/footer" Target="footer2.xml" Id="rId29"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SAS9642-738863596-118/SURROGATE/L%c3%a4kemedelsgenomg%c3%a5ng%20och%20l%c3%a4kemedelsber%c3%a4ttelse%20p%c3%a5%20S%c3%84S.pdf" TargetMode="External" Id="rId11" /><Relationship Type="http://schemas.openxmlformats.org/officeDocument/2006/relationships/hyperlink" Target="https://www.riksdagen.se/sv/dokument-lagar/dokument/svensk-forfattningssamling/halso--och-sjukvardslag_sfs-2017-30" TargetMode="External" Id="rId24" /><Relationship Type="http://schemas.openxmlformats.org/officeDocument/2006/relationships/fontTable" Target="fontTable.xml" Id="rId32" /><Relationship Type="http://schemas.openxmlformats.org/officeDocument/2006/relationships/footnotes" Target="footnotes.xml" Id="rId5" /><Relationship Type="http://schemas.openxmlformats.org/officeDocument/2006/relationships/hyperlink" Target="https://mellanarkiv-offentlig.vgregion.se/alfresco/s/archive/stream/public/v1/source/available/sofia/rhs7052-1069016101-29/native/Mall%2019a%20Lokal%20rutin%20f%c3%b6r%20att%20dosjustera%20ordinerat%20l%c3%a4kemedel.pdf" TargetMode="External" Id="rId15" /><Relationship Type="http://schemas.openxmlformats.org/officeDocument/2006/relationships/hyperlink" Target="http://www.socialstyrelsen.se/globalassets/sharepoint-dokument/artikelkatalog/handbocker/2019-6-6235.pdf" TargetMode="External" Id="rId23" /><Relationship Type="http://schemas.openxmlformats.org/officeDocument/2006/relationships/footer" Target="footer1.xml" Id="rId28" /><Relationship Type="http://schemas.openxmlformats.org/officeDocument/2006/relationships/hyperlink" Target="https://mellanarkiv-offentlig.vgregion.se/alfresco/s/archive/stream/public/v1/source/available/sofia/ssn11800-2140136717-231/surrogate/L%c3%a4kemedelsgenomg%c3%a5ng%20och%20l%c3%a4kemedelsber%c3%a4ttelse.pdf" TargetMode="External" Id="rId10" /><Relationship Type="http://schemas.openxmlformats.org/officeDocument/2006/relationships/hyperlink" Target="https://mellanarkiv-offentlig.vgregion.se/alfresco/s/archive/stream/public/v1/source/available/sofia/rhs7052-1069016101-78/native/Mall%2020a%20Uppdrag%20att%20delegera%20moment%20inom%20l%c3%a4kemedelshantering.pdf" TargetMode="External" Id="rId19" /><Relationship Type="http://schemas.openxmlformats.org/officeDocument/2006/relationships/footer" Target="footer3.xml" Id="rId31"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SAS9642-738863596-117/SURROGATE/L%c3%a4kemedelsdokumentation%20p%c3%a5%20S%c3%84S.pdf" TargetMode="External" Id="rId9" /><Relationship Type="http://schemas.openxmlformats.org/officeDocument/2006/relationships/hyperlink" Target="https://mellanarkiv-offentlig.vgregion.se/alfresco/s/archive/stream/public/v1/source/available/SOFIA/SAS9642-738863596-359/SURROGATE/Utbytbara%20rekvisitionsl%c3%a4kemedel%20till%20patient%2c%20S%c3%84S.pdf" TargetMode="External" Id="rId14" /><Relationship Type="http://schemas.openxmlformats.org/officeDocument/2006/relationships/hyperlink" Target="https://www.vgregion.se/halsa-och-vard/vardgivarwebben/vardriktlinjer/lakemedel/lakemedelshantering" TargetMode="External" Id="rId22" /><Relationship Type="http://schemas.openxmlformats.org/officeDocument/2006/relationships/header" Target="header1.xml" Id="rId27" /><Relationship Type="http://schemas.openxmlformats.org/officeDocument/2006/relationships/header" Target="header2.xml" Id="rId30" /><Relationship Type="http://schemas.openxmlformats.org/officeDocument/2006/relationships/hyperlink" Target="https://www.socialstyrelsen.se/globalassets/sharepoint-dokument/artikelkatalog/foreskrifter-och-allmanna-rad/2017-5-2.pdf" TargetMode="External" Id="rId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kas8052-486565952-39/surrogate/180504%20Riktlinjer%20VGR%20f%c3%b6r%20till%c3%a4mpning%20Soc%20styr%20nya%20f%c3%b6reskrift%20f%20ordination%20o%20l%c3%a4kemedelshantering.pdf" TargetMode="External" Id="R26e818d6f9bb4dc6"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Ordination och hantering av läkemedel i hälso- och sjukvård enligt HSLF­FS 2017.37, SÄS</dc:title>
  <dc:subject/>
  <dc:creator/>
  <keywords/>
  <lastModifiedBy>Susanne Frösslund</lastModifiedBy>
  <revision>3</revision>
  <dcterms:created xsi:type="dcterms:W3CDTF">2026-03-02T09:59:00.0000000Z</dcterms:created>
  <dcterms:modified xsi:type="dcterms:W3CDTF">2026-03-13T14:17:59.0000000Z</dcterms:modified>
</coreProperties>
</file>