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50517B" w:rsidR="0050517B" w:rsidP="00B60CE0" w:rsidRDefault="0050517B" w14:paraId="02A1A88C" w14:textId="77777777">
      <w:pPr>
        <w:pStyle w:val="Rubrik1"/>
      </w:pPr>
      <w:bookmarkStart w:name="_Toc321146591" w:id="0"/>
      <w:r w:rsidRPr="0050517B">
        <w:t>Köldskador – Handläggning vid SÄS</w:t>
      </w:r>
    </w:p>
    <w:p w:rsidRPr="0050517B" w:rsidR="0050517B" w:rsidP="00B60CE0" w:rsidRDefault="0050517B" w14:paraId="0ECBBC7C" w14:textId="5ACEE2A1">
      <w:pPr>
        <w:pStyle w:val="Rubrik2"/>
      </w:pPr>
      <w:bookmarkStart w:name="_Toc21610431" w:id="1"/>
      <w:bookmarkStart w:name="_Toc256000000" w:id="2"/>
      <w:bookmarkStart w:name="_Toc256000020" w:id="3"/>
      <w:bookmarkStart w:name="_Toc256000040" w:id="4"/>
      <w:bookmarkStart w:name="_Toc256000060" w:id="5"/>
      <w:bookmarkStart w:name="_Toc256000080" w:id="6"/>
      <w:bookmarkStart w:name="_Toc193278746" w:id="7"/>
      <w:r w:rsidRPr="0050517B">
        <w:t>Sammanfattning</w:t>
      </w:r>
      <w:bookmarkEnd w:id="1"/>
      <w:bookmarkEnd w:id="2"/>
      <w:bookmarkEnd w:id="3"/>
      <w:bookmarkEnd w:id="4"/>
      <w:bookmarkEnd w:id="5"/>
      <w:bookmarkEnd w:id="6"/>
      <w:bookmarkEnd w:id="7"/>
    </w:p>
    <w:p w:rsidRPr="007473C1" w:rsidR="0050517B" w:rsidP="00B60CE0" w:rsidRDefault="0050517B" w14:paraId="390A8850" w14:textId="77777777">
      <w:r w:rsidRPr="007473C1">
        <w:t>Köldskador kan drabba personer som, frivilligt eller ofrivilligt, vistas utomhus i kallt väder. Köldskadorna delas grovt upp i två typer, förfrysning (under noll grader) och KFI-skador (över noll grader). Riktlinjen beskriver hur dessa skador differentieras och graderas för insättande av adekvat behandling.</w:t>
      </w:r>
    </w:p>
    <w:p w:rsidR="00B60CE0" w:rsidP="00B60CE0" w:rsidRDefault="00B60CE0" w14:paraId="09157304" w14:textId="36881289">
      <w:pPr>
        <w:pStyle w:val="Rubrik2"/>
      </w:pPr>
      <w:bookmarkStart w:name="_Toc193278747" w:id="8"/>
      <w:r>
        <w:t>Förändringar sedan föregående version</w:t>
      </w:r>
      <w:bookmarkEnd w:id="8"/>
    </w:p>
    <w:p w:rsidRPr="0050517B" w:rsidR="00B60CE0" w:rsidP="007473C1" w:rsidRDefault="00E22D6F" w14:paraId="1DD65358" w14:textId="2A130BCC">
      <w:r w:rsidR="00E22D6F">
        <w:rPr/>
        <w:t xml:space="preserve">Redaktionella ändringar, </w:t>
      </w:r>
      <w:r w:rsidR="00E22D6F">
        <w:rPr/>
        <w:t>g</w:t>
      </w:r>
      <w:r w:rsidR="00B60CE0">
        <w:rPr/>
        <w:t>ilti</w:t>
      </w:r>
      <w:r w:rsidR="53CD574E">
        <w:rPr/>
        <w:t>g</w:t>
      </w:r>
      <w:r w:rsidR="00B60CE0">
        <w:rPr/>
        <w:t>hetstiden</w:t>
      </w:r>
      <w:r w:rsidR="00B60CE0">
        <w:rPr/>
        <w:t xml:space="preserve"> förlängd.</w:t>
      </w:r>
    </w:p>
    <w:p w:rsidRPr="007473C1" w:rsidR="0050517B" w:rsidP="00485A4C" w:rsidRDefault="0050517B" w14:paraId="641C366F" w14:textId="77777777">
      <w:pPr>
        <w:spacing w:before="280" w:after="20" w:line="240" w:lineRule="auto"/>
        <w:rPr>
          <w:rFonts w:ascii="Verdana" w:hAnsi="Verdana" w:cstheme="majorHAnsi"/>
          <w:sz w:val="28"/>
          <w:szCs w:val="28"/>
        </w:rPr>
      </w:pPr>
      <w:r w:rsidRPr="007473C1">
        <w:rPr>
          <w:rFonts w:ascii="Verdana" w:hAnsi="Verdana" w:cstheme="majorHAnsi"/>
          <w:sz w:val="28"/>
          <w:szCs w:val="28"/>
        </w:rPr>
        <w:t>Innehållsförteckning</w:t>
      </w:r>
    </w:p>
    <w:p w:rsidR="007F2225" w:rsidRDefault="00C8351A" w14:paraId="1C401F44" w14:textId="49C3ACCD">
      <w:pPr>
        <w:pStyle w:val="Innehll1"/>
        <w:rPr>
          <w:rFonts w:asciiTheme="minorHAnsi" w:hAnsiTheme="minorHAnsi" w:eastAsiaTheme="minorEastAsia"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history="1" w:anchor="_Toc193278746">
        <w:r w:rsidRPr="008A7EE7" w:rsidR="007F2225">
          <w:rPr>
            <w:rStyle w:val="Hyperlnk"/>
            <w:rFonts w:eastAsia="MS Gothic"/>
            <w:noProof/>
          </w:rPr>
          <w:t>Sammanfattning</w:t>
        </w:r>
        <w:r w:rsidR="007F2225">
          <w:rPr>
            <w:noProof/>
            <w:webHidden/>
          </w:rPr>
          <w:tab/>
        </w:r>
        <w:r w:rsidR="007F2225">
          <w:rPr>
            <w:noProof/>
            <w:webHidden/>
          </w:rPr>
          <w:fldChar w:fldCharType="begin"/>
        </w:r>
        <w:r w:rsidR="007F2225">
          <w:rPr>
            <w:noProof/>
            <w:webHidden/>
          </w:rPr>
          <w:instrText xml:space="preserve"> PAGEREF _Toc193278746 \h </w:instrText>
        </w:r>
        <w:r w:rsidR="007F2225">
          <w:rPr>
            <w:noProof/>
            <w:webHidden/>
          </w:rPr>
        </w:r>
        <w:r w:rsidR="007F2225">
          <w:rPr>
            <w:noProof/>
            <w:webHidden/>
          </w:rPr>
          <w:fldChar w:fldCharType="separate"/>
        </w:r>
        <w:r w:rsidR="007F2225">
          <w:rPr>
            <w:noProof/>
            <w:webHidden/>
          </w:rPr>
          <w:t>1</w:t>
        </w:r>
        <w:r w:rsidR="007F2225">
          <w:rPr>
            <w:noProof/>
            <w:webHidden/>
          </w:rPr>
          <w:fldChar w:fldCharType="end"/>
        </w:r>
      </w:hyperlink>
    </w:p>
    <w:p w:rsidR="007F2225" w:rsidRDefault="007F2225" w14:paraId="62FC2EF8" w14:textId="2B28FB8E">
      <w:pPr>
        <w:pStyle w:val="Innehll1"/>
        <w:rPr>
          <w:rFonts w:asciiTheme="minorHAnsi" w:hAnsiTheme="minorHAnsi" w:eastAsiaTheme="minorEastAsia" w:cstheme="minorBidi"/>
          <w:noProof/>
          <w:kern w:val="2"/>
          <w14:ligatures w14:val="standardContextual"/>
        </w:rPr>
      </w:pPr>
      <w:hyperlink w:history="1" w:anchor="_Toc193278747">
        <w:r w:rsidRPr="008A7EE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_Toc193278747 \h </w:instrText>
        </w:r>
        <w:r>
          <w:rPr>
            <w:noProof/>
            <w:webHidden/>
          </w:rPr>
        </w:r>
        <w:r>
          <w:rPr>
            <w:noProof/>
            <w:webHidden/>
          </w:rPr>
          <w:fldChar w:fldCharType="separate"/>
        </w:r>
        <w:r>
          <w:rPr>
            <w:noProof/>
            <w:webHidden/>
          </w:rPr>
          <w:t>1</w:t>
        </w:r>
        <w:r>
          <w:rPr>
            <w:noProof/>
            <w:webHidden/>
          </w:rPr>
          <w:fldChar w:fldCharType="end"/>
        </w:r>
      </w:hyperlink>
    </w:p>
    <w:p w:rsidR="007F2225" w:rsidRDefault="007F2225" w14:paraId="7FA2D3EE" w14:textId="255FF735">
      <w:pPr>
        <w:pStyle w:val="Innehll1"/>
        <w:rPr>
          <w:rFonts w:asciiTheme="minorHAnsi" w:hAnsiTheme="minorHAnsi" w:eastAsiaTheme="minorEastAsia" w:cstheme="minorBidi"/>
          <w:noProof/>
          <w:kern w:val="2"/>
          <w14:ligatures w14:val="standardContextual"/>
        </w:rPr>
      </w:pPr>
      <w:hyperlink w:history="1" w:anchor="_Toc193278748">
        <w:r w:rsidRPr="008A7EE7">
          <w:rPr>
            <w:rStyle w:val="Hyperlnk"/>
            <w:rFonts w:eastAsia="MS Gothic"/>
            <w:noProof/>
          </w:rPr>
          <w:t>Bakgrund</w:t>
        </w:r>
        <w:r>
          <w:rPr>
            <w:noProof/>
            <w:webHidden/>
          </w:rPr>
          <w:tab/>
        </w:r>
        <w:r>
          <w:rPr>
            <w:noProof/>
            <w:webHidden/>
          </w:rPr>
          <w:fldChar w:fldCharType="begin"/>
        </w:r>
        <w:r>
          <w:rPr>
            <w:noProof/>
            <w:webHidden/>
          </w:rPr>
          <w:instrText xml:space="preserve"> PAGEREF _Toc193278748 \h </w:instrText>
        </w:r>
        <w:r>
          <w:rPr>
            <w:noProof/>
            <w:webHidden/>
          </w:rPr>
        </w:r>
        <w:r>
          <w:rPr>
            <w:noProof/>
            <w:webHidden/>
          </w:rPr>
          <w:fldChar w:fldCharType="separate"/>
        </w:r>
        <w:r>
          <w:rPr>
            <w:noProof/>
            <w:webHidden/>
          </w:rPr>
          <w:t>2</w:t>
        </w:r>
        <w:r>
          <w:rPr>
            <w:noProof/>
            <w:webHidden/>
          </w:rPr>
          <w:fldChar w:fldCharType="end"/>
        </w:r>
      </w:hyperlink>
    </w:p>
    <w:p w:rsidR="007F2225" w:rsidRDefault="007F2225" w14:paraId="24A94A9F" w14:textId="0A535F6B">
      <w:pPr>
        <w:pStyle w:val="Innehll2"/>
        <w:rPr>
          <w:rFonts w:asciiTheme="minorHAnsi" w:hAnsiTheme="minorHAnsi" w:eastAsiaTheme="minorEastAsia" w:cstheme="minorBidi"/>
          <w:noProof/>
          <w:kern w:val="2"/>
          <w14:ligatures w14:val="standardContextual"/>
        </w:rPr>
      </w:pPr>
      <w:hyperlink w:history="1" w:anchor="_Toc193278749">
        <w:r w:rsidRPr="008A7EE7">
          <w:rPr>
            <w:rStyle w:val="Hyperlnk"/>
            <w:rFonts w:eastAsia="MS Gothic"/>
            <w:noProof/>
          </w:rPr>
          <w:t>Omfattning</w:t>
        </w:r>
        <w:r>
          <w:rPr>
            <w:noProof/>
            <w:webHidden/>
          </w:rPr>
          <w:tab/>
        </w:r>
        <w:r>
          <w:rPr>
            <w:noProof/>
            <w:webHidden/>
          </w:rPr>
          <w:fldChar w:fldCharType="begin"/>
        </w:r>
        <w:r>
          <w:rPr>
            <w:noProof/>
            <w:webHidden/>
          </w:rPr>
          <w:instrText xml:space="preserve"> PAGEREF _Toc193278749 \h </w:instrText>
        </w:r>
        <w:r>
          <w:rPr>
            <w:noProof/>
            <w:webHidden/>
          </w:rPr>
        </w:r>
        <w:r>
          <w:rPr>
            <w:noProof/>
            <w:webHidden/>
          </w:rPr>
          <w:fldChar w:fldCharType="separate"/>
        </w:r>
        <w:r>
          <w:rPr>
            <w:noProof/>
            <w:webHidden/>
          </w:rPr>
          <w:t>2</w:t>
        </w:r>
        <w:r>
          <w:rPr>
            <w:noProof/>
            <w:webHidden/>
          </w:rPr>
          <w:fldChar w:fldCharType="end"/>
        </w:r>
      </w:hyperlink>
    </w:p>
    <w:p w:rsidR="007F2225" w:rsidRDefault="007F2225" w14:paraId="0DA084AA" w14:textId="46347312">
      <w:pPr>
        <w:pStyle w:val="Innehll2"/>
        <w:rPr>
          <w:rFonts w:asciiTheme="minorHAnsi" w:hAnsiTheme="minorHAnsi" w:eastAsiaTheme="minorEastAsia" w:cstheme="minorBidi"/>
          <w:noProof/>
          <w:kern w:val="2"/>
          <w14:ligatures w14:val="standardContextual"/>
        </w:rPr>
      </w:pPr>
      <w:hyperlink w:history="1" w:anchor="_Toc193278750">
        <w:r w:rsidRPr="008A7EE7">
          <w:rPr>
            <w:rStyle w:val="Hyperlnk"/>
            <w:rFonts w:eastAsia="MS Gothic"/>
            <w:noProof/>
          </w:rPr>
          <w:t>Etiologi och patofysiologi</w:t>
        </w:r>
        <w:r>
          <w:rPr>
            <w:noProof/>
            <w:webHidden/>
          </w:rPr>
          <w:tab/>
        </w:r>
        <w:r>
          <w:rPr>
            <w:noProof/>
            <w:webHidden/>
          </w:rPr>
          <w:fldChar w:fldCharType="begin"/>
        </w:r>
        <w:r>
          <w:rPr>
            <w:noProof/>
            <w:webHidden/>
          </w:rPr>
          <w:instrText xml:space="preserve"> PAGEREF _Toc193278750 \h </w:instrText>
        </w:r>
        <w:r>
          <w:rPr>
            <w:noProof/>
            <w:webHidden/>
          </w:rPr>
        </w:r>
        <w:r>
          <w:rPr>
            <w:noProof/>
            <w:webHidden/>
          </w:rPr>
          <w:fldChar w:fldCharType="separate"/>
        </w:r>
        <w:r>
          <w:rPr>
            <w:noProof/>
            <w:webHidden/>
          </w:rPr>
          <w:t>2</w:t>
        </w:r>
        <w:r>
          <w:rPr>
            <w:noProof/>
            <w:webHidden/>
          </w:rPr>
          <w:fldChar w:fldCharType="end"/>
        </w:r>
      </w:hyperlink>
    </w:p>
    <w:p w:rsidR="007F2225" w:rsidRDefault="007F2225" w14:paraId="620E2B7F" w14:textId="3101018F">
      <w:pPr>
        <w:pStyle w:val="Innehll1"/>
        <w:rPr>
          <w:rFonts w:asciiTheme="minorHAnsi" w:hAnsiTheme="minorHAnsi" w:eastAsiaTheme="minorEastAsia" w:cstheme="minorBidi"/>
          <w:noProof/>
          <w:kern w:val="2"/>
          <w14:ligatures w14:val="standardContextual"/>
        </w:rPr>
      </w:pPr>
      <w:hyperlink w:history="1" w:anchor="_Toc193278751">
        <w:r w:rsidRPr="008A7EE7">
          <w:rPr>
            <w:rStyle w:val="Hyperlnk"/>
            <w:rFonts w:eastAsia="MS Gothic"/>
            <w:noProof/>
          </w:rPr>
          <w:t>Förutsättningar</w:t>
        </w:r>
        <w:r>
          <w:rPr>
            <w:noProof/>
            <w:webHidden/>
          </w:rPr>
          <w:tab/>
        </w:r>
        <w:r>
          <w:rPr>
            <w:noProof/>
            <w:webHidden/>
          </w:rPr>
          <w:fldChar w:fldCharType="begin"/>
        </w:r>
        <w:r>
          <w:rPr>
            <w:noProof/>
            <w:webHidden/>
          </w:rPr>
          <w:instrText xml:space="preserve"> PAGEREF _Toc193278751 \h </w:instrText>
        </w:r>
        <w:r>
          <w:rPr>
            <w:noProof/>
            <w:webHidden/>
          </w:rPr>
        </w:r>
        <w:r>
          <w:rPr>
            <w:noProof/>
            <w:webHidden/>
          </w:rPr>
          <w:fldChar w:fldCharType="separate"/>
        </w:r>
        <w:r>
          <w:rPr>
            <w:noProof/>
            <w:webHidden/>
          </w:rPr>
          <w:t>2</w:t>
        </w:r>
        <w:r>
          <w:rPr>
            <w:noProof/>
            <w:webHidden/>
          </w:rPr>
          <w:fldChar w:fldCharType="end"/>
        </w:r>
      </w:hyperlink>
    </w:p>
    <w:p w:rsidR="007F2225" w:rsidRDefault="007F2225" w14:paraId="54A79AC0" w14:textId="7D684701">
      <w:pPr>
        <w:pStyle w:val="Innehll2"/>
        <w:rPr>
          <w:rFonts w:asciiTheme="minorHAnsi" w:hAnsiTheme="minorHAnsi" w:eastAsiaTheme="minorEastAsia" w:cstheme="minorBidi"/>
          <w:noProof/>
          <w:kern w:val="2"/>
          <w14:ligatures w14:val="standardContextual"/>
        </w:rPr>
      </w:pPr>
      <w:hyperlink w:history="1" w:anchor="_Toc193278752">
        <w:r w:rsidRPr="008A7EE7">
          <w:rPr>
            <w:rStyle w:val="Hyperlnk"/>
            <w:rFonts w:eastAsia="MS Gothic"/>
            <w:noProof/>
          </w:rPr>
          <w:t>Ansvarsfördelning</w:t>
        </w:r>
        <w:r>
          <w:rPr>
            <w:noProof/>
            <w:webHidden/>
          </w:rPr>
          <w:tab/>
        </w:r>
        <w:r>
          <w:rPr>
            <w:noProof/>
            <w:webHidden/>
          </w:rPr>
          <w:fldChar w:fldCharType="begin"/>
        </w:r>
        <w:r>
          <w:rPr>
            <w:noProof/>
            <w:webHidden/>
          </w:rPr>
          <w:instrText xml:space="preserve"> PAGEREF _Toc193278752 \h </w:instrText>
        </w:r>
        <w:r>
          <w:rPr>
            <w:noProof/>
            <w:webHidden/>
          </w:rPr>
        </w:r>
        <w:r>
          <w:rPr>
            <w:noProof/>
            <w:webHidden/>
          </w:rPr>
          <w:fldChar w:fldCharType="separate"/>
        </w:r>
        <w:r>
          <w:rPr>
            <w:noProof/>
            <w:webHidden/>
          </w:rPr>
          <w:t>2</w:t>
        </w:r>
        <w:r>
          <w:rPr>
            <w:noProof/>
            <w:webHidden/>
          </w:rPr>
          <w:fldChar w:fldCharType="end"/>
        </w:r>
      </w:hyperlink>
    </w:p>
    <w:p w:rsidR="007F2225" w:rsidRDefault="007F2225" w14:paraId="3CE89C01" w14:textId="6773F310">
      <w:pPr>
        <w:pStyle w:val="Innehll2"/>
        <w:rPr>
          <w:rFonts w:asciiTheme="minorHAnsi" w:hAnsiTheme="minorHAnsi" w:eastAsiaTheme="minorEastAsia" w:cstheme="minorBidi"/>
          <w:noProof/>
          <w:kern w:val="2"/>
          <w14:ligatures w14:val="standardContextual"/>
        </w:rPr>
      </w:pPr>
      <w:hyperlink w:history="1" w:anchor="_Toc193278753">
        <w:r w:rsidRPr="008A7EE7">
          <w:rPr>
            <w:rStyle w:val="Hyperlnk"/>
            <w:rFonts w:eastAsia="MS Gothic"/>
            <w:noProof/>
          </w:rPr>
          <w:t>Initiala symtom</w:t>
        </w:r>
        <w:r>
          <w:rPr>
            <w:noProof/>
            <w:webHidden/>
          </w:rPr>
          <w:tab/>
        </w:r>
        <w:r>
          <w:rPr>
            <w:noProof/>
            <w:webHidden/>
          </w:rPr>
          <w:fldChar w:fldCharType="begin"/>
        </w:r>
        <w:r>
          <w:rPr>
            <w:noProof/>
            <w:webHidden/>
          </w:rPr>
          <w:instrText xml:space="preserve"> PAGEREF _Toc193278753 \h </w:instrText>
        </w:r>
        <w:r>
          <w:rPr>
            <w:noProof/>
            <w:webHidden/>
          </w:rPr>
        </w:r>
        <w:r>
          <w:rPr>
            <w:noProof/>
            <w:webHidden/>
          </w:rPr>
          <w:fldChar w:fldCharType="separate"/>
        </w:r>
        <w:r>
          <w:rPr>
            <w:noProof/>
            <w:webHidden/>
          </w:rPr>
          <w:t>3</w:t>
        </w:r>
        <w:r>
          <w:rPr>
            <w:noProof/>
            <w:webHidden/>
          </w:rPr>
          <w:fldChar w:fldCharType="end"/>
        </w:r>
      </w:hyperlink>
    </w:p>
    <w:p w:rsidR="007F2225" w:rsidRDefault="007F2225" w14:paraId="42B5AD8D" w14:textId="5FA8F508">
      <w:pPr>
        <w:pStyle w:val="Innehll3"/>
        <w:rPr>
          <w:rFonts w:asciiTheme="minorHAnsi" w:hAnsiTheme="minorHAnsi" w:eastAsiaTheme="minorEastAsia" w:cstheme="minorBidi"/>
          <w:noProof/>
          <w:kern w:val="2"/>
          <w14:ligatures w14:val="standardContextual"/>
        </w:rPr>
      </w:pPr>
      <w:hyperlink w:history="1" w:anchor="_Toc193278754">
        <w:r w:rsidRPr="008A7EE7">
          <w:rPr>
            <w:rStyle w:val="Hyperlnk"/>
            <w:rFonts w:eastAsia="MS Gothic"/>
            <w:noProof/>
          </w:rPr>
          <w:t>Förfrysning</w:t>
        </w:r>
        <w:r>
          <w:rPr>
            <w:noProof/>
            <w:webHidden/>
          </w:rPr>
          <w:tab/>
        </w:r>
        <w:r>
          <w:rPr>
            <w:noProof/>
            <w:webHidden/>
          </w:rPr>
          <w:fldChar w:fldCharType="begin"/>
        </w:r>
        <w:r>
          <w:rPr>
            <w:noProof/>
            <w:webHidden/>
          </w:rPr>
          <w:instrText xml:space="preserve"> PAGEREF _Toc193278754 \h </w:instrText>
        </w:r>
        <w:r>
          <w:rPr>
            <w:noProof/>
            <w:webHidden/>
          </w:rPr>
        </w:r>
        <w:r>
          <w:rPr>
            <w:noProof/>
            <w:webHidden/>
          </w:rPr>
          <w:fldChar w:fldCharType="separate"/>
        </w:r>
        <w:r>
          <w:rPr>
            <w:noProof/>
            <w:webHidden/>
          </w:rPr>
          <w:t>3</w:t>
        </w:r>
        <w:r>
          <w:rPr>
            <w:noProof/>
            <w:webHidden/>
          </w:rPr>
          <w:fldChar w:fldCharType="end"/>
        </w:r>
      </w:hyperlink>
    </w:p>
    <w:p w:rsidR="007F2225" w:rsidRDefault="007F2225" w14:paraId="4ECFD63C" w14:textId="20CF6A07">
      <w:pPr>
        <w:pStyle w:val="Innehll3"/>
        <w:rPr>
          <w:rFonts w:asciiTheme="minorHAnsi" w:hAnsiTheme="minorHAnsi" w:eastAsiaTheme="minorEastAsia" w:cstheme="minorBidi"/>
          <w:noProof/>
          <w:kern w:val="2"/>
          <w14:ligatures w14:val="standardContextual"/>
        </w:rPr>
      </w:pPr>
      <w:hyperlink w:history="1" w:anchor="_Toc193278755">
        <w:r w:rsidRPr="008A7EE7">
          <w:rPr>
            <w:rStyle w:val="Hyperlnk"/>
            <w:rFonts w:eastAsia="MS Gothic"/>
            <w:noProof/>
          </w:rPr>
          <w:t>KFI-skada</w:t>
        </w:r>
        <w:r>
          <w:rPr>
            <w:noProof/>
            <w:webHidden/>
          </w:rPr>
          <w:tab/>
        </w:r>
        <w:r>
          <w:rPr>
            <w:noProof/>
            <w:webHidden/>
          </w:rPr>
          <w:fldChar w:fldCharType="begin"/>
        </w:r>
        <w:r>
          <w:rPr>
            <w:noProof/>
            <w:webHidden/>
          </w:rPr>
          <w:instrText xml:space="preserve"> PAGEREF _Toc193278755 \h </w:instrText>
        </w:r>
        <w:r>
          <w:rPr>
            <w:noProof/>
            <w:webHidden/>
          </w:rPr>
        </w:r>
        <w:r>
          <w:rPr>
            <w:noProof/>
            <w:webHidden/>
          </w:rPr>
          <w:fldChar w:fldCharType="separate"/>
        </w:r>
        <w:r>
          <w:rPr>
            <w:noProof/>
            <w:webHidden/>
          </w:rPr>
          <w:t>3</w:t>
        </w:r>
        <w:r>
          <w:rPr>
            <w:noProof/>
            <w:webHidden/>
          </w:rPr>
          <w:fldChar w:fldCharType="end"/>
        </w:r>
      </w:hyperlink>
    </w:p>
    <w:p w:rsidR="007F2225" w:rsidRDefault="007F2225" w14:paraId="165A97BD" w14:textId="1F92BA24">
      <w:pPr>
        <w:pStyle w:val="Innehll1"/>
        <w:rPr>
          <w:rFonts w:asciiTheme="minorHAnsi" w:hAnsiTheme="minorHAnsi" w:eastAsiaTheme="minorEastAsia" w:cstheme="minorBidi"/>
          <w:noProof/>
          <w:kern w:val="2"/>
          <w14:ligatures w14:val="standardContextual"/>
        </w:rPr>
      </w:pPr>
      <w:hyperlink w:history="1" w:anchor="_Toc193278756">
        <w:r w:rsidRPr="008A7EE7">
          <w:rPr>
            <w:rStyle w:val="Hyperlnk"/>
            <w:rFonts w:eastAsia="MS Gothic"/>
            <w:noProof/>
          </w:rPr>
          <w:t>Genomförande</w:t>
        </w:r>
        <w:r>
          <w:rPr>
            <w:noProof/>
            <w:webHidden/>
          </w:rPr>
          <w:tab/>
        </w:r>
        <w:r>
          <w:rPr>
            <w:noProof/>
            <w:webHidden/>
          </w:rPr>
          <w:fldChar w:fldCharType="begin"/>
        </w:r>
        <w:r>
          <w:rPr>
            <w:noProof/>
            <w:webHidden/>
          </w:rPr>
          <w:instrText xml:space="preserve"> PAGEREF _Toc193278756 \h </w:instrText>
        </w:r>
        <w:r>
          <w:rPr>
            <w:noProof/>
            <w:webHidden/>
          </w:rPr>
        </w:r>
        <w:r>
          <w:rPr>
            <w:noProof/>
            <w:webHidden/>
          </w:rPr>
          <w:fldChar w:fldCharType="separate"/>
        </w:r>
        <w:r>
          <w:rPr>
            <w:noProof/>
            <w:webHidden/>
          </w:rPr>
          <w:t>3</w:t>
        </w:r>
        <w:r>
          <w:rPr>
            <w:noProof/>
            <w:webHidden/>
          </w:rPr>
          <w:fldChar w:fldCharType="end"/>
        </w:r>
      </w:hyperlink>
    </w:p>
    <w:p w:rsidR="007F2225" w:rsidRDefault="007F2225" w14:paraId="2C7BDC44" w14:textId="007EB2C0">
      <w:pPr>
        <w:pStyle w:val="Innehll2"/>
        <w:rPr>
          <w:rFonts w:asciiTheme="minorHAnsi" w:hAnsiTheme="minorHAnsi" w:eastAsiaTheme="minorEastAsia" w:cstheme="minorBidi"/>
          <w:noProof/>
          <w:kern w:val="2"/>
          <w14:ligatures w14:val="standardContextual"/>
        </w:rPr>
      </w:pPr>
      <w:hyperlink w:history="1" w:anchor="_Toc193278757">
        <w:r w:rsidRPr="008A7EE7">
          <w:rPr>
            <w:rStyle w:val="Hyperlnk"/>
            <w:rFonts w:eastAsia="MS Gothic"/>
            <w:noProof/>
          </w:rPr>
          <w:t>Förfrysning</w:t>
        </w:r>
        <w:r>
          <w:rPr>
            <w:noProof/>
            <w:webHidden/>
          </w:rPr>
          <w:tab/>
        </w:r>
        <w:r>
          <w:rPr>
            <w:noProof/>
            <w:webHidden/>
          </w:rPr>
          <w:fldChar w:fldCharType="begin"/>
        </w:r>
        <w:r>
          <w:rPr>
            <w:noProof/>
            <w:webHidden/>
          </w:rPr>
          <w:instrText xml:space="preserve"> PAGEREF _Toc193278757 \h </w:instrText>
        </w:r>
        <w:r>
          <w:rPr>
            <w:noProof/>
            <w:webHidden/>
          </w:rPr>
        </w:r>
        <w:r>
          <w:rPr>
            <w:noProof/>
            <w:webHidden/>
          </w:rPr>
          <w:fldChar w:fldCharType="separate"/>
        </w:r>
        <w:r>
          <w:rPr>
            <w:noProof/>
            <w:webHidden/>
          </w:rPr>
          <w:t>3</w:t>
        </w:r>
        <w:r>
          <w:rPr>
            <w:noProof/>
            <w:webHidden/>
          </w:rPr>
          <w:fldChar w:fldCharType="end"/>
        </w:r>
      </w:hyperlink>
    </w:p>
    <w:p w:rsidR="007F2225" w:rsidRDefault="007F2225" w14:paraId="26BDF5CB" w14:textId="47442DBC">
      <w:pPr>
        <w:pStyle w:val="Innehll3"/>
        <w:rPr>
          <w:rFonts w:asciiTheme="minorHAnsi" w:hAnsiTheme="minorHAnsi" w:eastAsiaTheme="minorEastAsia" w:cstheme="minorBidi"/>
          <w:noProof/>
          <w:kern w:val="2"/>
          <w14:ligatures w14:val="standardContextual"/>
        </w:rPr>
      </w:pPr>
      <w:hyperlink w:history="1" w:anchor="_Toc193278758">
        <w:r w:rsidRPr="008A7EE7">
          <w:rPr>
            <w:rStyle w:val="Hyperlnk"/>
            <w:rFonts w:eastAsia="MS Gothic"/>
            <w:noProof/>
          </w:rPr>
          <w:t>I akutskedet</w:t>
        </w:r>
        <w:r>
          <w:rPr>
            <w:noProof/>
            <w:webHidden/>
          </w:rPr>
          <w:tab/>
        </w:r>
        <w:r>
          <w:rPr>
            <w:noProof/>
            <w:webHidden/>
          </w:rPr>
          <w:fldChar w:fldCharType="begin"/>
        </w:r>
        <w:r>
          <w:rPr>
            <w:noProof/>
            <w:webHidden/>
          </w:rPr>
          <w:instrText xml:space="preserve"> PAGEREF _Toc193278758 \h </w:instrText>
        </w:r>
        <w:r>
          <w:rPr>
            <w:noProof/>
            <w:webHidden/>
          </w:rPr>
        </w:r>
        <w:r>
          <w:rPr>
            <w:noProof/>
            <w:webHidden/>
          </w:rPr>
          <w:fldChar w:fldCharType="separate"/>
        </w:r>
        <w:r>
          <w:rPr>
            <w:noProof/>
            <w:webHidden/>
          </w:rPr>
          <w:t>3</w:t>
        </w:r>
        <w:r>
          <w:rPr>
            <w:noProof/>
            <w:webHidden/>
          </w:rPr>
          <w:fldChar w:fldCharType="end"/>
        </w:r>
      </w:hyperlink>
    </w:p>
    <w:p w:rsidR="007F2225" w:rsidRDefault="007F2225" w14:paraId="608B4576" w14:textId="5EA4B81E">
      <w:pPr>
        <w:pStyle w:val="Innehll3"/>
        <w:rPr>
          <w:rFonts w:asciiTheme="minorHAnsi" w:hAnsiTheme="minorHAnsi" w:eastAsiaTheme="minorEastAsia" w:cstheme="minorBidi"/>
          <w:noProof/>
          <w:kern w:val="2"/>
          <w14:ligatures w14:val="standardContextual"/>
        </w:rPr>
      </w:pPr>
      <w:hyperlink w:history="1" w:anchor="_Toc193278759">
        <w:r w:rsidRPr="008A7EE7">
          <w:rPr>
            <w:rStyle w:val="Hyperlnk"/>
            <w:rFonts w:eastAsia="MS Gothic"/>
            <w:noProof/>
          </w:rPr>
          <w:t>Vidare inneliggande behandling</w:t>
        </w:r>
        <w:r>
          <w:rPr>
            <w:noProof/>
            <w:webHidden/>
          </w:rPr>
          <w:tab/>
        </w:r>
        <w:r>
          <w:rPr>
            <w:noProof/>
            <w:webHidden/>
          </w:rPr>
          <w:fldChar w:fldCharType="begin"/>
        </w:r>
        <w:r>
          <w:rPr>
            <w:noProof/>
            <w:webHidden/>
          </w:rPr>
          <w:instrText xml:space="preserve"> PAGEREF _Toc193278759 \h </w:instrText>
        </w:r>
        <w:r>
          <w:rPr>
            <w:noProof/>
            <w:webHidden/>
          </w:rPr>
        </w:r>
        <w:r>
          <w:rPr>
            <w:noProof/>
            <w:webHidden/>
          </w:rPr>
          <w:fldChar w:fldCharType="separate"/>
        </w:r>
        <w:r>
          <w:rPr>
            <w:noProof/>
            <w:webHidden/>
          </w:rPr>
          <w:t>5</w:t>
        </w:r>
        <w:r>
          <w:rPr>
            <w:noProof/>
            <w:webHidden/>
          </w:rPr>
          <w:fldChar w:fldCharType="end"/>
        </w:r>
      </w:hyperlink>
    </w:p>
    <w:p w:rsidR="007F2225" w:rsidRDefault="007F2225" w14:paraId="59F49C1A" w14:textId="350B01FB">
      <w:pPr>
        <w:pStyle w:val="Innehll3"/>
        <w:rPr>
          <w:rFonts w:asciiTheme="minorHAnsi" w:hAnsiTheme="minorHAnsi" w:eastAsiaTheme="minorEastAsia" w:cstheme="minorBidi"/>
          <w:noProof/>
          <w:kern w:val="2"/>
          <w14:ligatures w14:val="standardContextual"/>
        </w:rPr>
      </w:pPr>
      <w:hyperlink w:history="1" w:anchor="_Toc193278760">
        <w:r w:rsidRPr="008A7EE7">
          <w:rPr>
            <w:rStyle w:val="Hyperlnk"/>
            <w:rFonts w:eastAsia="MS Gothic"/>
            <w:noProof/>
          </w:rPr>
          <w:t>Komplikationer</w:t>
        </w:r>
        <w:r>
          <w:rPr>
            <w:noProof/>
            <w:webHidden/>
          </w:rPr>
          <w:tab/>
        </w:r>
        <w:r>
          <w:rPr>
            <w:noProof/>
            <w:webHidden/>
          </w:rPr>
          <w:fldChar w:fldCharType="begin"/>
        </w:r>
        <w:r>
          <w:rPr>
            <w:noProof/>
            <w:webHidden/>
          </w:rPr>
          <w:instrText xml:space="preserve"> PAGEREF _Toc193278760 \h </w:instrText>
        </w:r>
        <w:r>
          <w:rPr>
            <w:noProof/>
            <w:webHidden/>
          </w:rPr>
        </w:r>
        <w:r>
          <w:rPr>
            <w:noProof/>
            <w:webHidden/>
          </w:rPr>
          <w:fldChar w:fldCharType="separate"/>
        </w:r>
        <w:r>
          <w:rPr>
            <w:noProof/>
            <w:webHidden/>
          </w:rPr>
          <w:t>6</w:t>
        </w:r>
        <w:r>
          <w:rPr>
            <w:noProof/>
            <w:webHidden/>
          </w:rPr>
          <w:fldChar w:fldCharType="end"/>
        </w:r>
      </w:hyperlink>
    </w:p>
    <w:p w:rsidR="007F2225" w:rsidRDefault="007F2225" w14:paraId="1815824A" w14:textId="4AD38C03">
      <w:pPr>
        <w:pStyle w:val="Innehll2"/>
        <w:rPr>
          <w:rFonts w:asciiTheme="minorHAnsi" w:hAnsiTheme="minorHAnsi" w:eastAsiaTheme="minorEastAsia" w:cstheme="minorBidi"/>
          <w:noProof/>
          <w:kern w:val="2"/>
          <w14:ligatures w14:val="standardContextual"/>
        </w:rPr>
      </w:pPr>
      <w:hyperlink w:history="1" w:anchor="_Toc193278761">
        <w:r w:rsidRPr="008A7EE7">
          <w:rPr>
            <w:rStyle w:val="Hyperlnk"/>
            <w:rFonts w:eastAsia="MS Gothic"/>
            <w:noProof/>
          </w:rPr>
          <w:t>KFI-Skada</w:t>
        </w:r>
        <w:r>
          <w:rPr>
            <w:noProof/>
            <w:webHidden/>
          </w:rPr>
          <w:tab/>
        </w:r>
        <w:r>
          <w:rPr>
            <w:noProof/>
            <w:webHidden/>
          </w:rPr>
          <w:fldChar w:fldCharType="begin"/>
        </w:r>
        <w:r>
          <w:rPr>
            <w:noProof/>
            <w:webHidden/>
          </w:rPr>
          <w:instrText xml:space="preserve"> PAGEREF _Toc193278761 \h </w:instrText>
        </w:r>
        <w:r>
          <w:rPr>
            <w:noProof/>
            <w:webHidden/>
          </w:rPr>
        </w:r>
        <w:r>
          <w:rPr>
            <w:noProof/>
            <w:webHidden/>
          </w:rPr>
          <w:fldChar w:fldCharType="separate"/>
        </w:r>
        <w:r>
          <w:rPr>
            <w:noProof/>
            <w:webHidden/>
          </w:rPr>
          <w:t>6</w:t>
        </w:r>
        <w:r>
          <w:rPr>
            <w:noProof/>
            <w:webHidden/>
          </w:rPr>
          <w:fldChar w:fldCharType="end"/>
        </w:r>
      </w:hyperlink>
    </w:p>
    <w:p w:rsidR="007F2225" w:rsidRDefault="007F2225" w14:paraId="0C34197E" w14:textId="438A611D">
      <w:pPr>
        <w:pStyle w:val="Innehll3"/>
        <w:rPr>
          <w:rFonts w:asciiTheme="minorHAnsi" w:hAnsiTheme="minorHAnsi" w:eastAsiaTheme="minorEastAsia" w:cstheme="minorBidi"/>
          <w:noProof/>
          <w:kern w:val="2"/>
          <w14:ligatures w14:val="standardContextual"/>
        </w:rPr>
      </w:pPr>
      <w:hyperlink w:history="1" w:anchor="_Toc193278762">
        <w:r w:rsidRPr="008A7EE7">
          <w:rPr>
            <w:rStyle w:val="Hyperlnk"/>
            <w:rFonts w:eastAsia="MS Gothic"/>
            <w:noProof/>
          </w:rPr>
          <w:t>I akutskedet</w:t>
        </w:r>
        <w:r>
          <w:rPr>
            <w:noProof/>
            <w:webHidden/>
          </w:rPr>
          <w:tab/>
        </w:r>
        <w:r>
          <w:rPr>
            <w:noProof/>
            <w:webHidden/>
          </w:rPr>
          <w:fldChar w:fldCharType="begin"/>
        </w:r>
        <w:r>
          <w:rPr>
            <w:noProof/>
            <w:webHidden/>
          </w:rPr>
          <w:instrText xml:space="preserve"> PAGEREF _Toc193278762 \h </w:instrText>
        </w:r>
        <w:r>
          <w:rPr>
            <w:noProof/>
            <w:webHidden/>
          </w:rPr>
        </w:r>
        <w:r>
          <w:rPr>
            <w:noProof/>
            <w:webHidden/>
          </w:rPr>
          <w:fldChar w:fldCharType="separate"/>
        </w:r>
        <w:r>
          <w:rPr>
            <w:noProof/>
            <w:webHidden/>
          </w:rPr>
          <w:t>6</w:t>
        </w:r>
        <w:r>
          <w:rPr>
            <w:noProof/>
            <w:webHidden/>
          </w:rPr>
          <w:fldChar w:fldCharType="end"/>
        </w:r>
      </w:hyperlink>
    </w:p>
    <w:p w:rsidR="007F2225" w:rsidRDefault="007F2225" w14:paraId="45C2AAA0" w14:textId="67CC7312">
      <w:pPr>
        <w:pStyle w:val="Innehll3"/>
        <w:rPr>
          <w:rFonts w:asciiTheme="minorHAnsi" w:hAnsiTheme="minorHAnsi" w:eastAsiaTheme="minorEastAsia" w:cstheme="minorBidi"/>
          <w:noProof/>
          <w:kern w:val="2"/>
          <w14:ligatures w14:val="standardContextual"/>
        </w:rPr>
      </w:pPr>
      <w:hyperlink w:history="1" w:anchor="_Toc193278763">
        <w:r w:rsidRPr="008A7EE7">
          <w:rPr>
            <w:rStyle w:val="Hyperlnk"/>
            <w:rFonts w:eastAsia="MS Gothic"/>
            <w:noProof/>
          </w:rPr>
          <w:t>Vidare inneliggande behandling</w:t>
        </w:r>
        <w:r>
          <w:rPr>
            <w:noProof/>
            <w:webHidden/>
          </w:rPr>
          <w:tab/>
        </w:r>
        <w:r>
          <w:rPr>
            <w:noProof/>
            <w:webHidden/>
          </w:rPr>
          <w:fldChar w:fldCharType="begin"/>
        </w:r>
        <w:r>
          <w:rPr>
            <w:noProof/>
            <w:webHidden/>
          </w:rPr>
          <w:instrText xml:space="preserve"> PAGEREF _Toc193278763 \h </w:instrText>
        </w:r>
        <w:r>
          <w:rPr>
            <w:noProof/>
            <w:webHidden/>
          </w:rPr>
        </w:r>
        <w:r>
          <w:rPr>
            <w:noProof/>
            <w:webHidden/>
          </w:rPr>
          <w:fldChar w:fldCharType="separate"/>
        </w:r>
        <w:r>
          <w:rPr>
            <w:noProof/>
            <w:webHidden/>
          </w:rPr>
          <w:t>6</w:t>
        </w:r>
        <w:r>
          <w:rPr>
            <w:noProof/>
            <w:webHidden/>
          </w:rPr>
          <w:fldChar w:fldCharType="end"/>
        </w:r>
      </w:hyperlink>
    </w:p>
    <w:p w:rsidR="007F2225" w:rsidRDefault="007F2225" w14:paraId="58188A46" w14:textId="7DBCF720">
      <w:pPr>
        <w:pStyle w:val="Innehll3"/>
        <w:rPr>
          <w:rFonts w:asciiTheme="minorHAnsi" w:hAnsiTheme="minorHAnsi" w:eastAsiaTheme="minorEastAsia" w:cstheme="minorBidi"/>
          <w:noProof/>
          <w:kern w:val="2"/>
          <w14:ligatures w14:val="standardContextual"/>
        </w:rPr>
      </w:pPr>
      <w:hyperlink w:history="1" w:anchor="_Toc193278764">
        <w:r w:rsidRPr="008A7EE7">
          <w:rPr>
            <w:rStyle w:val="Hyperlnk"/>
            <w:rFonts w:eastAsia="MS Gothic"/>
            <w:noProof/>
          </w:rPr>
          <w:t>Komplikationer</w:t>
        </w:r>
        <w:r>
          <w:rPr>
            <w:noProof/>
            <w:webHidden/>
          </w:rPr>
          <w:tab/>
        </w:r>
        <w:r>
          <w:rPr>
            <w:noProof/>
            <w:webHidden/>
          </w:rPr>
          <w:fldChar w:fldCharType="begin"/>
        </w:r>
        <w:r>
          <w:rPr>
            <w:noProof/>
            <w:webHidden/>
          </w:rPr>
          <w:instrText xml:space="preserve"> PAGEREF _Toc193278764 \h </w:instrText>
        </w:r>
        <w:r>
          <w:rPr>
            <w:noProof/>
            <w:webHidden/>
          </w:rPr>
        </w:r>
        <w:r>
          <w:rPr>
            <w:noProof/>
            <w:webHidden/>
          </w:rPr>
          <w:fldChar w:fldCharType="separate"/>
        </w:r>
        <w:r>
          <w:rPr>
            <w:noProof/>
            <w:webHidden/>
          </w:rPr>
          <w:t>7</w:t>
        </w:r>
        <w:r>
          <w:rPr>
            <w:noProof/>
            <w:webHidden/>
          </w:rPr>
          <w:fldChar w:fldCharType="end"/>
        </w:r>
      </w:hyperlink>
    </w:p>
    <w:p w:rsidR="007F2225" w:rsidRDefault="007F2225" w14:paraId="407D8A94" w14:textId="1408C884">
      <w:pPr>
        <w:pStyle w:val="Innehll1"/>
        <w:rPr>
          <w:rFonts w:asciiTheme="minorHAnsi" w:hAnsiTheme="minorHAnsi" w:eastAsiaTheme="minorEastAsia" w:cstheme="minorBidi"/>
          <w:noProof/>
          <w:kern w:val="2"/>
          <w14:ligatures w14:val="standardContextual"/>
        </w:rPr>
      </w:pPr>
      <w:hyperlink w:history="1" w:anchor="_Toc193278765">
        <w:r w:rsidRPr="008A7EE7">
          <w:rPr>
            <w:rStyle w:val="Hyperlnk"/>
            <w:rFonts w:eastAsia="MS Gothic"/>
            <w:noProof/>
          </w:rPr>
          <w:t>Dokumentinformation</w:t>
        </w:r>
        <w:r>
          <w:rPr>
            <w:noProof/>
            <w:webHidden/>
          </w:rPr>
          <w:tab/>
        </w:r>
        <w:r>
          <w:rPr>
            <w:noProof/>
            <w:webHidden/>
          </w:rPr>
          <w:fldChar w:fldCharType="begin"/>
        </w:r>
        <w:r>
          <w:rPr>
            <w:noProof/>
            <w:webHidden/>
          </w:rPr>
          <w:instrText xml:space="preserve"> PAGEREF _Toc193278765 \h </w:instrText>
        </w:r>
        <w:r>
          <w:rPr>
            <w:noProof/>
            <w:webHidden/>
          </w:rPr>
        </w:r>
        <w:r>
          <w:rPr>
            <w:noProof/>
            <w:webHidden/>
          </w:rPr>
          <w:fldChar w:fldCharType="separate"/>
        </w:r>
        <w:r>
          <w:rPr>
            <w:noProof/>
            <w:webHidden/>
          </w:rPr>
          <w:t>7</w:t>
        </w:r>
        <w:r>
          <w:rPr>
            <w:noProof/>
            <w:webHidden/>
          </w:rPr>
          <w:fldChar w:fldCharType="end"/>
        </w:r>
      </w:hyperlink>
    </w:p>
    <w:p w:rsidR="007F2225" w:rsidRDefault="007F2225" w14:paraId="2B3A1FDE" w14:textId="54B89FC9">
      <w:pPr>
        <w:pStyle w:val="Innehll1"/>
        <w:rPr>
          <w:rFonts w:asciiTheme="minorHAnsi" w:hAnsiTheme="minorHAnsi" w:eastAsiaTheme="minorEastAsia" w:cstheme="minorBidi"/>
          <w:noProof/>
          <w:kern w:val="2"/>
          <w14:ligatures w14:val="standardContextual"/>
        </w:rPr>
      </w:pPr>
      <w:hyperlink w:history="1" w:anchor="_Toc193278766">
        <w:r w:rsidRPr="008A7EE7">
          <w:rPr>
            <w:rStyle w:val="Hyperlnk"/>
            <w:rFonts w:eastAsia="MS Gothic"/>
            <w:noProof/>
          </w:rPr>
          <w:t>Referensförteckning</w:t>
        </w:r>
        <w:r>
          <w:rPr>
            <w:noProof/>
            <w:webHidden/>
          </w:rPr>
          <w:tab/>
        </w:r>
        <w:r>
          <w:rPr>
            <w:noProof/>
            <w:webHidden/>
          </w:rPr>
          <w:fldChar w:fldCharType="begin"/>
        </w:r>
        <w:r>
          <w:rPr>
            <w:noProof/>
            <w:webHidden/>
          </w:rPr>
          <w:instrText xml:space="preserve"> PAGEREF _Toc193278766 \h </w:instrText>
        </w:r>
        <w:r>
          <w:rPr>
            <w:noProof/>
            <w:webHidden/>
          </w:rPr>
        </w:r>
        <w:r>
          <w:rPr>
            <w:noProof/>
            <w:webHidden/>
          </w:rPr>
          <w:fldChar w:fldCharType="separate"/>
        </w:r>
        <w:r>
          <w:rPr>
            <w:noProof/>
            <w:webHidden/>
          </w:rPr>
          <w:t>7</w:t>
        </w:r>
        <w:r>
          <w:rPr>
            <w:noProof/>
            <w:webHidden/>
          </w:rPr>
          <w:fldChar w:fldCharType="end"/>
        </w:r>
      </w:hyperlink>
    </w:p>
    <w:p w:rsidRPr="0050517B" w:rsidR="0050517B" w:rsidP="00B60CE0" w:rsidRDefault="00C8351A" w14:paraId="77BD78A7" w14:textId="6FE541CA">
      <w:pPr>
        <w:pStyle w:val="Rubrik2"/>
      </w:pPr>
      <w:r>
        <w:rPr>
          <w:noProof/>
        </w:rPr>
        <w:fldChar w:fldCharType="end"/>
      </w:r>
      <w:bookmarkStart w:name="_Toc21610432" w:id="9"/>
      <w:bookmarkStart w:name="_Toc256000001" w:id="10"/>
      <w:bookmarkStart w:name="_Toc256000021" w:id="11"/>
      <w:bookmarkStart w:name="_Toc256000041" w:id="12"/>
      <w:bookmarkStart w:name="_Toc256000061" w:id="13"/>
      <w:bookmarkStart w:name="_Toc256000081" w:id="14"/>
      <w:bookmarkStart w:name="_Toc193278748" w:id="15"/>
      <w:r w:rsidRPr="0050517B" w:rsidR="0050517B">
        <w:t>Bakgrund</w:t>
      </w:r>
      <w:bookmarkEnd w:id="9"/>
      <w:bookmarkEnd w:id="10"/>
      <w:bookmarkEnd w:id="11"/>
      <w:bookmarkEnd w:id="12"/>
      <w:bookmarkEnd w:id="13"/>
      <w:bookmarkEnd w:id="14"/>
      <w:bookmarkEnd w:id="15"/>
    </w:p>
    <w:p w:rsidRPr="0050517B" w:rsidR="0050517B" w:rsidP="00C8351A" w:rsidRDefault="0050517B" w14:paraId="3ACA9F78" w14:textId="77777777">
      <w:pPr>
        <w:pStyle w:val="Rubrik3"/>
        <w:spacing w:before="120"/>
      </w:pPr>
      <w:bookmarkStart w:name="_Toc21610433" w:id="16"/>
      <w:bookmarkStart w:name="_Toc256000002" w:id="17"/>
      <w:bookmarkStart w:name="_Toc256000022" w:id="18"/>
      <w:bookmarkStart w:name="_Toc256000042" w:id="19"/>
      <w:bookmarkStart w:name="_Toc256000062" w:id="20"/>
      <w:bookmarkStart w:name="_Toc256000082" w:id="21"/>
      <w:bookmarkStart w:name="_Toc193278749" w:id="22"/>
      <w:r w:rsidRPr="0050517B">
        <w:t>Omfattning</w:t>
      </w:r>
      <w:bookmarkEnd w:id="16"/>
      <w:bookmarkEnd w:id="17"/>
      <w:bookmarkEnd w:id="18"/>
      <w:bookmarkEnd w:id="19"/>
      <w:bookmarkEnd w:id="20"/>
      <w:bookmarkEnd w:id="21"/>
      <w:bookmarkEnd w:id="22"/>
    </w:p>
    <w:p w:rsidRPr="0050517B" w:rsidR="0050517B" w:rsidP="00B60CE0" w:rsidRDefault="0050517B" w14:paraId="0A54A1BA" w14:textId="77777777">
      <w:r w:rsidRPr="0050517B">
        <w:t>Riktlinjen omfattar omhändertagande på sjukhus, av köldskador av varierande typ och allvarlighetsgrad hos främst vuxna patienter. Behandling av allmän nedkylning samt primärt förebyggande av köldskador och prehospitalt omhändertagande omfattas inte.</w:t>
      </w:r>
    </w:p>
    <w:p w:rsidRPr="0050517B" w:rsidR="0050517B" w:rsidP="00B60CE0" w:rsidRDefault="0050517B" w14:paraId="6BCD1BF5" w14:textId="77777777">
      <w:pPr>
        <w:pStyle w:val="Rubrik3"/>
      </w:pPr>
      <w:bookmarkStart w:name="_Toc21610434" w:id="23"/>
      <w:bookmarkStart w:name="_Toc256000003" w:id="24"/>
      <w:bookmarkStart w:name="_Toc256000023" w:id="25"/>
      <w:bookmarkStart w:name="_Toc256000043" w:id="26"/>
      <w:bookmarkStart w:name="_Toc256000063" w:id="27"/>
      <w:bookmarkStart w:name="_Toc256000083" w:id="28"/>
      <w:bookmarkStart w:name="_Toc193278750" w:id="29"/>
      <w:r w:rsidRPr="0050517B">
        <w:t>Etiologi och patofysiologi</w:t>
      </w:r>
      <w:bookmarkEnd w:id="23"/>
      <w:bookmarkEnd w:id="24"/>
      <w:bookmarkEnd w:id="25"/>
      <w:bookmarkEnd w:id="26"/>
      <w:bookmarkEnd w:id="27"/>
      <w:bookmarkEnd w:id="28"/>
      <w:bookmarkEnd w:id="29"/>
    </w:p>
    <w:p w:rsidRPr="0050517B" w:rsidR="0050517B" w:rsidP="00B60CE0" w:rsidRDefault="0050517B" w14:paraId="36B67978" w14:textId="6E106541">
      <w:r w:rsidRPr="0050517B">
        <w:t>Köldskador drabbar vanligtvis friluftsentusiaster, utomhusarbetande personal och de med ofrivillig utomhusvistelse (</w:t>
      </w:r>
      <w:proofErr w:type="gramStart"/>
      <w:r w:rsidRPr="0050517B">
        <w:t>t.ex.</w:t>
      </w:r>
      <w:proofErr w:type="gramEnd"/>
      <w:r w:rsidRPr="0050517B">
        <w:t xml:space="preserve"> hemlösa eller de som är vilse). Studier från Norrland visar på cirka 1,5 drabbade per 100</w:t>
      </w:r>
      <w:r w:rsidR="00C8351A">
        <w:t> </w:t>
      </w:r>
      <w:r w:rsidRPr="0050517B">
        <w:t>000 varje år.</w:t>
      </w:r>
    </w:p>
    <w:p w:rsidRPr="0050517B" w:rsidR="0050517B" w:rsidP="00B60CE0" w:rsidRDefault="0050517B" w14:paraId="115EC6FD" w14:textId="77777777">
      <w:r w:rsidRPr="0050517B">
        <w:t>Nedsatt allmäntillstånd, förvirring, rökning, alkohol och tidigare köldskador är vanliga riskfaktorer. Kroppsdelar som oftast drabbas är distala delar av extremiteter och annat utskjutande, såsom näsa, kinder och öron.</w:t>
      </w:r>
    </w:p>
    <w:p w:rsidRPr="0050517B" w:rsidR="0050517B" w:rsidP="00B60CE0" w:rsidRDefault="0050517B" w14:paraId="7C049BF1" w14:textId="77777777">
      <w:r w:rsidRPr="0050517B">
        <w:t>Köldskador kan i grova drag delas upp i två former; Förfrysning och KFI-skador (Kyla, Fukt, Immobilisering). Dessa kan i vissa fall förekomma samtidigt, då olika delar av kroppen utsätts för olika temperaturer.</w:t>
      </w:r>
    </w:p>
    <w:p w:rsidRPr="0050517B" w:rsidR="0050517B" w:rsidP="00B60CE0" w:rsidRDefault="0050517B" w14:paraId="57DF6A0E" w14:textId="77777777">
      <w:r w:rsidRPr="0050517B">
        <w:t xml:space="preserve">Förfrysning uppstår endast i miljöer som är kallare än noll grader, </w:t>
      </w:r>
      <w:proofErr w:type="gramStart"/>
      <w:r w:rsidRPr="0050517B">
        <w:t>t.ex.</w:t>
      </w:r>
      <w:proofErr w:type="gramEnd"/>
      <w:r w:rsidRPr="0050517B">
        <w:t xml:space="preserve"> vid kall luft, metall eller vätskor (t.ex. alkoholer). Patofysiologisk uppstår is</w:t>
      </w:r>
      <w:r w:rsidRPr="0050517B">
        <w:softHyphen/>
        <w:t>kristaller främst extracellulärt, men även intracellulärt, vilket orsakar såväl direkt celldöd, som inflammation och trombos, med lokal ischemi som följd.</w:t>
      </w:r>
    </w:p>
    <w:p w:rsidRPr="0050517B" w:rsidR="0050517B" w:rsidP="00B60CE0" w:rsidRDefault="0050517B" w14:paraId="30F47E84" w14:textId="77777777">
      <w:r w:rsidRPr="0050517B">
        <w:t>KFI-skador (Kyla, Fukt, Immobilisering), även kallat non-freezing cold injury (NFCI) eller skyttegravsfot (trench foot), uppstår vid kalla temperaturer över noll grader, i kombination med fuktiga och täta miljöer (</w:t>
      </w:r>
      <w:proofErr w:type="gramStart"/>
      <w:r w:rsidRPr="0050517B">
        <w:t>t.ex.</w:t>
      </w:r>
      <w:proofErr w:type="gramEnd"/>
      <w:r w:rsidRPr="0050517B">
        <w:t xml:space="preserve"> blöta fötter instängda i täta skor på slaskig mark) samt stillastående eller stillasittande. Patofysiologin är inte helt klarlagd, men involverar såväl vasokonstriktion som trombosbildning och reperfussionsskador, vilket ger skador på nerver och ytliga mjukdelar.</w:t>
      </w:r>
    </w:p>
    <w:p w:rsidRPr="0050517B" w:rsidR="0050517B" w:rsidP="00B60CE0" w:rsidRDefault="0050517B" w14:paraId="411F45F6" w14:textId="77777777">
      <w:pPr>
        <w:pStyle w:val="Rubrik2"/>
      </w:pPr>
      <w:bookmarkStart w:name="_Toc21610435" w:id="30"/>
      <w:bookmarkStart w:name="_Toc256000004" w:id="31"/>
      <w:bookmarkStart w:name="_Toc256000024" w:id="32"/>
      <w:bookmarkStart w:name="_Toc256000044" w:id="33"/>
      <w:bookmarkStart w:name="_Toc256000064" w:id="34"/>
      <w:bookmarkStart w:name="_Toc256000084" w:id="35"/>
      <w:bookmarkStart w:name="_Toc193278751" w:id="36"/>
      <w:r w:rsidRPr="0050517B">
        <w:t>Förutsättningar</w:t>
      </w:r>
      <w:bookmarkEnd w:id="30"/>
      <w:bookmarkEnd w:id="31"/>
      <w:bookmarkEnd w:id="32"/>
      <w:bookmarkEnd w:id="33"/>
      <w:bookmarkEnd w:id="34"/>
      <w:bookmarkEnd w:id="35"/>
      <w:bookmarkEnd w:id="36"/>
    </w:p>
    <w:p w:rsidRPr="0050517B" w:rsidR="0050517B" w:rsidP="00DC4BC8" w:rsidRDefault="0050517B" w14:paraId="67CBC62E" w14:textId="77777777">
      <w:pPr>
        <w:pStyle w:val="Rubrik3"/>
        <w:spacing w:before="120"/>
      </w:pPr>
      <w:bookmarkStart w:name="_Toc21610436" w:id="37"/>
      <w:bookmarkStart w:name="_Toc256000005" w:id="38"/>
      <w:bookmarkStart w:name="_Toc256000025" w:id="39"/>
      <w:bookmarkStart w:name="_Toc256000045" w:id="40"/>
      <w:bookmarkStart w:name="_Toc256000065" w:id="41"/>
      <w:bookmarkStart w:name="_Toc256000085" w:id="42"/>
      <w:bookmarkStart w:name="_Toc193278752" w:id="43"/>
      <w:r w:rsidRPr="0050517B">
        <w:t>Ansvarsfördelning</w:t>
      </w:r>
      <w:bookmarkEnd w:id="37"/>
      <w:bookmarkEnd w:id="38"/>
      <w:bookmarkEnd w:id="39"/>
      <w:bookmarkEnd w:id="40"/>
      <w:bookmarkEnd w:id="41"/>
      <w:bookmarkEnd w:id="42"/>
      <w:bookmarkEnd w:id="43"/>
    </w:p>
    <w:p w:rsidRPr="0050517B" w:rsidR="0050517B" w:rsidP="00B60CE0" w:rsidRDefault="0050517B" w14:paraId="0F7ECE6C" w14:textId="77777777">
      <w:pPr>
        <w:rPr>
          <w:highlight w:val="yellow"/>
        </w:rPr>
      </w:pPr>
      <w:r w:rsidRPr="0050517B">
        <w:t>Potentiellt livshotande sjukdomar eller skador (</w:t>
      </w:r>
      <w:proofErr w:type="gramStart"/>
      <w:r w:rsidRPr="0050517B">
        <w:t>t.ex.</w:t>
      </w:r>
      <w:proofErr w:type="gramEnd"/>
      <w:r w:rsidRPr="0050517B">
        <w:t xml:space="preserve"> allmän nedkylning eller andra allvarliga tillstånd) prioriteras alltid före eventuella köldskador. När köldskadan är den primärt behandlade </w:t>
      </w:r>
      <w:r w:rsidRPr="0050517B">
        <w:t>skadan bör akut omhändertagande inledas av akutläkare eller kirurg, med stöd från medicinläkare och ortoped.</w:t>
      </w:r>
    </w:p>
    <w:p w:rsidRPr="0050517B" w:rsidR="0050517B" w:rsidP="00B60CE0" w:rsidRDefault="0050517B" w14:paraId="0EC1B471" w14:textId="77777777">
      <w:pPr>
        <w:pStyle w:val="Rubrik3"/>
      </w:pPr>
      <w:bookmarkStart w:name="_Toc21610437" w:id="44"/>
      <w:bookmarkStart w:name="_Toc256000006" w:id="45"/>
      <w:bookmarkStart w:name="_Toc256000026" w:id="46"/>
      <w:bookmarkStart w:name="_Toc256000046" w:id="47"/>
      <w:bookmarkStart w:name="_Toc256000066" w:id="48"/>
      <w:bookmarkStart w:name="_Toc256000086" w:id="49"/>
      <w:bookmarkStart w:name="_Toc193278753" w:id="50"/>
      <w:r w:rsidRPr="0050517B">
        <w:t>Initiala symtom</w:t>
      </w:r>
      <w:bookmarkEnd w:id="44"/>
      <w:bookmarkEnd w:id="45"/>
      <w:bookmarkEnd w:id="46"/>
      <w:bookmarkEnd w:id="47"/>
      <w:bookmarkEnd w:id="48"/>
      <w:bookmarkEnd w:id="49"/>
      <w:bookmarkEnd w:id="50"/>
    </w:p>
    <w:p w:rsidRPr="0050517B" w:rsidR="0050517B" w:rsidP="00DC4BC8" w:rsidRDefault="0050517B" w14:paraId="38341729" w14:textId="77777777">
      <w:pPr>
        <w:pStyle w:val="MellanrubrikVGR"/>
        <w:spacing w:before="120"/>
      </w:pPr>
      <w:bookmarkStart w:name="_Toc21610438" w:id="51"/>
      <w:bookmarkStart w:name="_Toc256000007" w:id="52"/>
      <w:bookmarkStart w:name="_Toc256000027" w:id="53"/>
      <w:bookmarkStart w:name="_Toc256000047" w:id="54"/>
      <w:bookmarkStart w:name="_Toc256000067" w:id="55"/>
      <w:bookmarkStart w:name="_Toc256000087" w:id="56"/>
      <w:bookmarkStart w:name="_Toc193278754" w:id="57"/>
      <w:r w:rsidRPr="0050517B">
        <w:t>Förfrysning</w:t>
      </w:r>
      <w:bookmarkEnd w:id="51"/>
      <w:bookmarkEnd w:id="52"/>
      <w:bookmarkEnd w:id="53"/>
      <w:bookmarkEnd w:id="54"/>
      <w:bookmarkEnd w:id="55"/>
      <w:bookmarkEnd w:id="56"/>
      <w:bookmarkEnd w:id="57"/>
    </w:p>
    <w:p w:rsidRPr="0050517B" w:rsidR="0050517B" w:rsidP="00B60CE0" w:rsidRDefault="0050517B" w14:paraId="41695E01" w14:textId="77777777">
      <w:pPr>
        <w:rPr>
          <w:highlight w:val="yellow"/>
        </w:rPr>
      </w:pPr>
      <w:r w:rsidRPr="0050517B">
        <w:t xml:space="preserve">Hud med förfrysning, innan uppvärmning, är kall, hård och blek. Huden är även ofta okänslig över det skadade området. Förfrysning </w:t>
      </w:r>
      <w:r w:rsidRPr="0050517B">
        <w:rPr>
          <w:b/>
        </w:rPr>
        <w:t>kan inte graderas innan (hospital eller prehospital) uppvärmning</w:t>
      </w:r>
      <w:r w:rsidRPr="0050517B">
        <w:t>, för att bedöma behandlingsbehov och prognos (se diagnos och behandling nedan).</w:t>
      </w:r>
    </w:p>
    <w:p w:rsidRPr="0050517B" w:rsidR="0050517B" w:rsidP="00B60CE0" w:rsidRDefault="0050517B" w14:paraId="02482B9A" w14:textId="77777777">
      <w:pPr>
        <w:pStyle w:val="MellanrubrikVGR"/>
      </w:pPr>
      <w:bookmarkStart w:name="_Toc21610439" w:id="58"/>
      <w:bookmarkStart w:name="_Toc256000008" w:id="59"/>
      <w:bookmarkStart w:name="_Toc256000028" w:id="60"/>
      <w:bookmarkStart w:name="_Toc256000048" w:id="61"/>
      <w:bookmarkStart w:name="_Toc256000068" w:id="62"/>
      <w:bookmarkStart w:name="_Toc256000088" w:id="63"/>
      <w:bookmarkStart w:name="_Toc193278755" w:id="64"/>
      <w:r w:rsidRPr="0050517B">
        <w:t>KFI-skada</w:t>
      </w:r>
      <w:bookmarkEnd w:id="58"/>
      <w:bookmarkEnd w:id="59"/>
      <w:bookmarkEnd w:id="60"/>
      <w:bookmarkEnd w:id="61"/>
      <w:bookmarkEnd w:id="62"/>
      <w:bookmarkEnd w:id="63"/>
      <w:bookmarkEnd w:id="64"/>
    </w:p>
    <w:p w:rsidRPr="0050517B" w:rsidR="0050517B" w:rsidP="00B60CE0" w:rsidRDefault="0050517B" w14:paraId="25BD6141" w14:textId="77777777">
      <w:r w:rsidRPr="0050517B">
        <w:t>KFI-skador innan uppvärmning är ofta röda, bleka eller vita, beroende på hur långt i förloppet skadan gått. Även bortfall av känsel och proprioception före</w:t>
      </w:r>
      <w:r w:rsidRPr="0050517B">
        <w:softHyphen/>
        <w:t>kommer. KFI-skadan kan likna förfrysningsskadan, men anamnes kring förloppet och att KFI-skador sällan känns hårda, skiljer skadetyperna åt.</w:t>
      </w:r>
    </w:p>
    <w:p w:rsidRPr="0050517B" w:rsidR="0050517B" w:rsidP="00B60CE0" w:rsidRDefault="0050517B" w14:paraId="19C14038" w14:textId="77777777">
      <w:pPr>
        <w:pStyle w:val="Rubrik2"/>
      </w:pPr>
      <w:bookmarkStart w:name="_Toc21610440" w:id="65"/>
      <w:bookmarkStart w:name="_Toc256000009" w:id="66"/>
      <w:bookmarkStart w:name="_Toc256000029" w:id="67"/>
      <w:bookmarkStart w:name="_Toc256000049" w:id="68"/>
      <w:bookmarkStart w:name="_Toc256000069" w:id="69"/>
      <w:bookmarkStart w:name="_Toc256000089" w:id="70"/>
      <w:bookmarkStart w:name="_Toc193278756" w:id="71"/>
      <w:r w:rsidRPr="0050517B">
        <w:t>Genomförande</w:t>
      </w:r>
      <w:bookmarkEnd w:id="65"/>
      <w:bookmarkEnd w:id="66"/>
      <w:bookmarkEnd w:id="67"/>
      <w:bookmarkEnd w:id="68"/>
      <w:bookmarkEnd w:id="69"/>
      <w:bookmarkEnd w:id="70"/>
      <w:bookmarkEnd w:id="71"/>
    </w:p>
    <w:p w:rsidRPr="0050517B" w:rsidR="0050517B" w:rsidP="00DC4BC8" w:rsidRDefault="0050517B" w14:paraId="25C97618" w14:textId="77777777">
      <w:pPr>
        <w:pStyle w:val="Rubrik3"/>
        <w:spacing w:before="120"/>
      </w:pPr>
      <w:bookmarkStart w:name="_Toc21610441" w:id="72"/>
      <w:bookmarkStart w:name="_Toc256000010" w:id="73"/>
      <w:bookmarkStart w:name="_Toc256000030" w:id="74"/>
      <w:bookmarkStart w:name="_Toc256000050" w:id="75"/>
      <w:bookmarkStart w:name="_Toc256000070" w:id="76"/>
      <w:bookmarkStart w:name="_Toc256000090" w:id="77"/>
      <w:bookmarkStart w:name="_Toc193278757" w:id="78"/>
      <w:r w:rsidRPr="0050517B">
        <w:t>Förfrysning</w:t>
      </w:r>
      <w:bookmarkEnd w:id="72"/>
      <w:bookmarkEnd w:id="73"/>
      <w:bookmarkEnd w:id="74"/>
      <w:bookmarkEnd w:id="75"/>
      <w:bookmarkEnd w:id="76"/>
      <w:bookmarkEnd w:id="77"/>
      <w:bookmarkEnd w:id="78"/>
    </w:p>
    <w:p w:rsidRPr="0050517B" w:rsidR="0050517B" w:rsidP="00DC4BC8" w:rsidRDefault="0050517B" w14:paraId="3CC430B7" w14:textId="77777777">
      <w:pPr>
        <w:pStyle w:val="MellanrubrikVGR"/>
        <w:spacing w:before="120"/>
      </w:pPr>
      <w:bookmarkStart w:name="_Toc21610442" w:id="79"/>
      <w:bookmarkStart w:name="_Toc256000011" w:id="80"/>
      <w:bookmarkStart w:name="_Toc256000031" w:id="81"/>
      <w:bookmarkStart w:name="_Toc256000051" w:id="82"/>
      <w:bookmarkStart w:name="_Toc256000071" w:id="83"/>
      <w:bookmarkStart w:name="_Toc256000091" w:id="84"/>
      <w:bookmarkStart w:name="_Toc193278758" w:id="85"/>
      <w:r w:rsidRPr="0050517B">
        <w:t>I akutskedet</w:t>
      </w:r>
      <w:bookmarkEnd w:id="79"/>
      <w:bookmarkEnd w:id="80"/>
      <w:bookmarkEnd w:id="81"/>
      <w:bookmarkEnd w:id="82"/>
      <w:bookmarkEnd w:id="83"/>
      <w:bookmarkEnd w:id="84"/>
      <w:bookmarkEnd w:id="85"/>
    </w:p>
    <w:p w:rsidRPr="0050517B" w:rsidR="0050517B" w:rsidP="00B60CE0" w:rsidRDefault="0050517B" w14:paraId="4D8DA696" w14:textId="77777777">
      <w:r w:rsidRPr="0050517B">
        <w:t>Den skadade kroppsdelen hanteras mycket varsamt och tinas i uppvärmt vatten (</w:t>
      </w:r>
      <w:proofErr w:type="gramStart"/>
      <w:r w:rsidRPr="0050517B">
        <w:t>37-39</w:t>
      </w:r>
      <w:proofErr w:type="gramEnd"/>
      <w:r w:rsidRPr="0050517B">
        <w:rPr>
          <w:color w:val="000000"/>
        </w:rPr>
        <w:t>°C</w:t>
      </w:r>
      <w:r w:rsidRPr="0050517B">
        <w:t xml:space="preserve">), om detta inte gjorts prehospitalt. Upptining är oftast genomförd när området är röd-blått och mjukt, vilket kan ta </w:t>
      </w:r>
      <w:proofErr w:type="gramStart"/>
      <w:r w:rsidRPr="0050517B">
        <w:t>15-30</w:t>
      </w:r>
      <w:proofErr w:type="gramEnd"/>
      <w:r w:rsidRPr="0050517B">
        <w:t xml:space="preserve"> minuter. Uppvärmningen kan vara mycket smärtsam, varför adekvat smärtlindring behövs (ofta opioider inledningsvis). Varm luft, passiv värmning eller värmetäcken har svårreglerad temperatur och rekommenderas endast om vattenuppvärmning inte är möjlig.</w:t>
      </w:r>
    </w:p>
    <w:p w:rsidRPr="0050517B" w:rsidR="0050517B" w:rsidP="00B60CE0" w:rsidRDefault="0050517B" w14:paraId="4E3C949E" w14:textId="77777777">
      <w:pPr>
        <w:rPr>
          <w:highlight w:val="yellow"/>
        </w:rPr>
      </w:pPr>
      <w:r w:rsidRPr="0050517B">
        <w:t>Om det efter uppvärmning finns tecken till cyanos eller hemorragiska blåsor proximalt om DIP-leder (i fingrar och tår) eller där denna gräns i övrigt antyder att skadan kan ge en allvarlig nedsättning av livskvaliteten, bör patienten snarast undersökas för att bedöma cirkulationen i det drabbade området (i första hand med skintigrafi, i andra hand med angiografi).</w:t>
      </w:r>
    </w:p>
    <w:p w:rsidR="00B90299" w:rsidP="00B90299" w:rsidRDefault="0050517B" w14:paraId="12DD2B6E" w14:textId="0B79518D">
      <w:r w:rsidRPr="0050517B">
        <w:t xml:space="preserve">Om undersökningar genomförs </w:t>
      </w:r>
      <w:r w:rsidRPr="0050517B">
        <w:rPr>
          <w:b/>
        </w:rPr>
        <w:t>inom 24 timmar</w:t>
      </w:r>
      <w:r w:rsidRPr="0050517B">
        <w:t xml:space="preserve"> från skadetillfället och ingen cirkulation konstateras i det skadade området, bör behandling med Alteplas (Actilyse) och dalteparin (Fragmin) inledas (se nedan).</w:t>
      </w:r>
    </w:p>
    <w:p w:rsidRPr="0050517B" w:rsidR="0050517B" w:rsidP="00B90299" w:rsidRDefault="0050517B" w14:paraId="051E6039" w14:textId="468C63CB">
      <w:pPr>
        <w:keepNext/>
        <w:keepLines/>
      </w:pPr>
      <w:r w:rsidRPr="0050517B">
        <w:t>Behandlingen bör genomföras på vårdenhet med vana vid trombolys eller allvarlig blödningsrisk.</w:t>
      </w:r>
      <w:r w:rsidRPr="007F2225">
        <w:t xml:space="preserve"> </w:t>
      </w:r>
      <w:r w:rsidRPr="0050517B">
        <w:t>Fragmin utan föregående trombolys har ingen påvisad effekt.</w:t>
      </w:r>
    </w:p>
    <w:p w:rsidRPr="0050517B" w:rsidR="0050517B" w:rsidP="00B60CE0" w:rsidRDefault="0050517B" w14:paraId="795E109E" w14:textId="77777777">
      <w:r w:rsidRPr="0050517B">
        <w:t xml:space="preserve">Iloprost (Ilomedin) bör ges i samband med att Actilyse administreras. Om undersökning eller behandling dröjer kan Iloprost-behandling inledas som </w:t>
      </w:r>
      <w:r w:rsidRPr="0050517B">
        <w:rPr>
          <w:b/>
        </w:rPr>
        <w:t>ensam behandling upp till 48 timmar</w:t>
      </w:r>
      <w:r w:rsidRPr="0050517B">
        <w:t xml:space="preserve"> efter skadedebut.</w:t>
      </w:r>
    </w:p>
    <w:p w:rsidRPr="0050517B" w:rsidR="0050517B" w:rsidP="00B60CE0" w:rsidRDefault="0050517B" w14:paraId="28B07A28" w14:textId="77777777">
      <w:r w:rsidRPr="0050517B">
        <w:t>Behandling som startar senare än 48 timmar efter skadetillfället, eller där skadan är minimal, bör behandlas med sårvård och exspektans (se nedan).</w:t>
      </w:r>
    </w:p>
    <w:p w:rsidRPr="0050517B" w:rsidR="0050517B" w:rsidP="00873A17" w:rsidRDefault="0050517B" w14:paraId="7C63B5AF" w14:textId="4A82A9B6">
      <w:pPr>
        <w:rPr>
          <w:szCs w:val="20"/>
          <w:highlight w:val="yellow"/>
        </w:rPr>
      </w:pPr>
      <w:r w:rsidRPr="0050517B">
        <w:t>Det bör tidigt tillses att patienten har fullgott Tetanusprofylax. Dock finns inget stöd för antibiotikabehandling, såvida inte infektionstecken föreligger.</w:t>
      </w:r>
    </w:p>
    <w:tbl>
      <w:tblPr>
        <w:tblpPr w:leftFromText="142" w:rightFromText="142" w:bottomFromText="170" w:vertAnchor="text" w:tblpX="988" w:tblpY="1"/>
        <w:tblOverlap w:val="never"/>
        <w:tblW w:w="78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Alteplas (Actilyse)"/>
        <w:tblDescription w:val="Tabellen tydliggör dosering och kontraindikation för insättande av   behandling med Alteplas (Actilyse). "/>
      </w:tblPr>
      <w:tblGrid>
        <w:gridCol w:w="2289"/>
        <w:gridCol w:w="5580"/>
      </w:tblGrid>
      <w:tr w:rsidRPr="0050517B" w:rsidR="0050517B" w:rsidTr="00E02768" w14:paraId="1D996CBB" w14:textId="77777777">
        <w:trPr>
          <w:trHeight w:val="405"/>
        </w:trPr>
        <w:tc>
          <w:tcPr>
            <w:tcW w:w="7869" w:type="dxa"/>
            <w:gridSpan w:val="2"/>
            <w:tcBorders>
              <w:bottom w:val="single" w:color="auto" w:sz="4" w:space="0"/>
            </w:tcBorders>
            <w:shd w:val="clear" w:color="auto" w:fill="D0CECE"/>
            <w:vAlign w:val="center"/>
          </w:tcPr>
          <w:p w:rsidRPr="000E63E4" w:rsidR="0050517B" w:rsidP="00E02768" w:rsidRDefault="0050517B" w14:paraId="183E002D" w14:textId="77777777">
            <w:pPr>
              <w:spacing w:before="40" w:after="40" w:line="240" w:lineRule="auto"/>
              <w:ind w:left="0" w:right="0"/>
              <w:jc w:val="center"/>
              <w:rPr>
                <w:rFonts w:ascii="Verdana" w:hAnsi="Verdana"/>
                <w:b/>
                <w:sz w:val="22"/>
                <w:szCs w:val="20"/>
              </w:rPr>
            </w:pPr>
            <w:r w:rsidRPr="000E63E4">
              <w:rPr>
                <w:rFonts w:ascii="Verdana" w:hAnsi="Verdana"/>
                <w:b/>
                <w:sz w:val="22"/>
                <w:szCs w:val="20"/>
              </w:rPr>
              <w:t>Alteplas (Actilyse)</w:t>
            </w:r>
          </w:p>
        </w:tc>
      </w:tr>
      <w:tr w:rsidRPr="0050517B" w:rsidR="0050517B" w:rsidTr="00873A17" w14:paraId="308CEBDE" w14:textId="77777777">
        <w:trPr>
          <w:trHeight w:val="710"/>
        </w:trPr>
        <w:tc>
          <w:tcPr>
            <w:tcW w:w="2017" w:type="dxa"/>
            <w:shd w:val="clear" w:color="auto" w:fill="E7E6E6"/>
          </w:tcPr>
          <w:p w:rsidRPr="000E63E4" w:rsidR="0050517B" w:rsidP="00E02768" w:rsidRDefault="0050517B" w14:paraId="21ED061F" w14:textId="77777777">
            <w:pPr>
              <w:spacing w:before="40" w:after="40" w:line="240" w:lineRule="auto"/>
              <w:ind w:left="0" w:right="0"/>
              <w:rPr>
                <w:rFonts w:ascii="Verdana" w:hAnsi="Verdana"/>
                <w:b/>
                <w:sz w:val="22"/>
                <w:szCs w:val="20"/>
              </w:rPr>
            </w:pPr>
            <w:r w:rsidRPr="000E63E4">
              <w:rPr>
                <w:rFonts w:ascii="Verdana" w:hAnsi="Verdana"/>
                <w:b/>
                <w:sz w:val="22"/>
                <w:szCs w:val="20"/>
              </w:rPr>
              <w:t>Dosering</w:t>
            </w:r>
          </w:p>
        </w:tc>
        <w:tc>
          <w:tcPr>
            <w:tcW w:w="5852" w:type="dxa"/>
            <w:shd w:val="clear" w:color="auto" w:fill="E7E6E6"/>
            <w:vAlign w:val="center"/>
          </w:tcPr>
          <w:p w:rsidRPr="0050517B" w:rsidR="0050517B" w:rsidP="00E02768" w:rsidRDefault="0050517B" w14:paraId="1D1091FB" w14:textId="77777777">
            <w:pPr>
              <w:spacing w:before="40" w:after="40" w:line="240" w:lineRule="auto"/>
              <w:ind w:left="0" w:right="0"/>
              <w:rPr>
                <w:sz w:val="23"/>
                <w:szCs w:val="20"/>
              </w:rPr>
            </w:pPr>
            <w:r w:rsidRPr="0050517B">
              <w:rPr>
                <w:sz w:val="23"/>
                <w:szCs w:val="20"/>
              </w:rPr>
              <w:t>0,15 mg/kg iv på 15 minuter.</w:t>
            </w:r>
          </w:p>
          <w:p w:rsidRPr="0050517B" w:rsidR="0050517B" w:rsidP="00E02768" w:rsidRDefault="0050517B" w14:paraId="1FBCFEEF" w14:textId="77777777">
            <w:pPr>
              <w:spacing w:before="40" w:after="40" w:line="240" w:lineRule="auto"/>
              <w:ind w:left="0" w:right="0"/>
              <w:rPr>
                <w:sz w:val="23"/>
                <w:szCs w:val="20"/>
                <w:highlight w:val="yellow"/>
              </w:rPr>
            </w:pPr>
            <w:r w:rsidRPr="0050517B">
              <w:rPr>
                <w:sz w:val="23"/>
                <w:szCs w:val="20"/>
              </w:rPr>
              <w:t>Därefter 0,15 mg/kg/timme i 6 timmar (maximalt 100 mg)</w:t>
            </w:r>
          </w:p>
        </w:tc>
      </w:tr>
      <w:tr w:rsidRPr="0050517B" w:rsidR="0050517B" w:rsidTr="00873A17" w14:paraId="65FCB1F1" w14:textId="77777777">
        <w:trPr>
          <w:trHeight w:val="2262"/>
        </w:trPr>
        <w:tc>
          <w:tcPr>
            <w:tcW w:w="2017" w:type="dxa"/>
            <w:tcBorders>
              <w:bottom w:val="single" w:color="auto" w:sz="4" w:space="0"/>
            </w:tcBorders>
            <w:shd w:val="clear" w:color="auto" w:fill="auto"/>
          </w:tcPr>
          <w:p w:rsidRPr="000E63E4" w:rsidR="0050517B" w:rsidP="00E02768" w:rsidRDefault="0050517B" w14:paraId="294183B5" w14:textId="77777777">
            <w:pPr>
              <w:spacing w:before="40" w:after="40" w:line="240" w:lineRule="auto"/>
              <w:ind w:left="0" w:right="0"/>
              <w:rPr>
                <w:rFonts w:ascii="Verdana" w:hAnsi="Verdana"/>
                <w:b/>
                <w:sz w:val="22"/>
                <w:szCs w:val="20"/>
              </w:rPr>
            </w:pPr>
            <w:r w:rsidRPr="000E63E4">
              <w:rPr>
                <w:rFonts w:ascii="Verdana" w:hAnsi="Verdana"/>
                <w:b/>
                <w:sz w:val="22"/>
                <w:szCs w:val="20"/>
              </w:rPr>
              <w:t>Kontraindikation</w:t>
            </w:r>
          </w:p>
        </w:tc>
        <w:tc>
          <w:tcPr>
            <w:tcW w:w="5852" w:type="dxa"/>
            <w:tcBorders>
              <w:bottom w:val="single" w:color="auto" w:sz="4" w:space="0"/>
            </w:tcBorders>
            <w:shd w:val="clear" w:color="auto" w:fill="auto"/>
            <w:vAlign w:val="center"/>
          </w:tcPr>
          <w:p w:rsidRPr="0050517B" w:rsidR="0050517B" w:rsidP="00E02768" w:rsidRDefault="0050517B" w14:paraId="51668B59" w14:textId="77777777">
            <w:pPr>
              <w:spacing w:before="40" w:after="40" w:line="240" w:lineRule="auto"/>
              <w:ind w:left="0" w:right="0"/>
              <w:rPr>
                <w:sz w:val="23"/>
                <w:szCs w:val="20"/>
              </w:rPr>
            </w:pPr>
            <w:r w:rsidRPr="0050517B">
              <w:rPr>
                <w:sz w:val="23"/>
                <w:szCs w:val="20"/>
              </w:rPr>
              <w:t xml:space="preserve">Misstänkt eller pågående </w:t>
            </w:r>
            <w:r w:rsidRPr="0050517B">
              <w:rPr>
                <w:b/>
                <w:sz w:val="23"/>
                <w:szCs w:val="20"/>
              </w:rPr>
              <w:t>blödning</w:t>
            </w:r>
            <w:r w:rsidRPr="0050517B">
              <w:rPr>
                <w:sz w:val="23"/>
                <w:szCs w:val="20"/>
              </w:rPr>
              <w:t xml:space="preserve">, ökad </w:t>
            </w:r>
            <w:r w:rsidRPr="0050517B">
              <w:rPr>
                <w:b/>
                <w:sz w:val="23"/>
                <w:szCs w:val="20"/>
              </w:rPr>
              <w:t>blödningsrisk</w:t>
            </w:r>
            <w:r w:rsidRPr="0050517B">
              <w:rPr>
                <w:sz w:val="23"/>
                <w:szCs w:val="20"/>
              </w:rPr>
              <w:t xml:space="preserve"> (</w:t>
            </w:r>
            <w:proofErr w:type="gramStart"/>
            <w:r w:rsidRPr="0050517B">
              <w:rPr>
                <w:sz w:val="23"/>
                <w:szCs w:val="20"/>
              </w:rPr>
              <w:t>t.ex.</w:t>
            </w:r>
            <w:proofErr w:type="gramEnd"/>
            <w:r w:rsidRPr="0050517B">
              <w:rPr>
                <w:sz w:val="23"/>
                <w:szCs w:val="20"/>
              </w:rPr>
              <w:t xml:space="preserve"> lever-/blodsjukdom, kärlsjukdomar/skador, ulcus, svår hypertoni, intrakraniell blödning, trauma, större operation inom 3 månader, antikoagulantia). </w:t>
            </w:r>
            <w:r w:rsidRPr="0050517B">
              <w:rPr>
                <w:b/>
                <w:sz w:val="23"/>
                <w:szCs w:val="20"/>
              </w:rPr>
              <w:t>HLR, förlossning, punktion</w:t>
            </w:r>
            <w:r w:rsidRPr="0050517B">
              <w:rPr>
                <w:sz w:val="23"/>
                <w:szCs w:val="20"/>
              </w:rPr>
              <w:t xml:space="preserve"> av icke-komprimerbart kärl (</w:t>
            </w:r>
            <w:proofErr w:type="gramStart"/>
            <w:r w:rsidRPr="0050517B">
              <w:rPr>
                <w:sz w:val="23"/>
                <w:szCs w:val="20"/>
              </w:rPr>
              <w:t>t.ex.</w:t>
            </w:r>
            <w:proofErr w:type="gramEnd"/>
            <w:r w:rsidRPr="0050517B">
              <w:rPr>
                <w:sz w:val="23"/>
                <w:szCs w:val="20"/>
              </w:rPr>
              <w:t xml:space="preserve"> v. subclavia) inom 10 dagar. </w:t>
            </w:r>
            <w:r w:rsidRPr="0050517B">
              <w:rPr>
                <w:b/>
                <w:sz w:val="23"/>
                <w:szCs w:val="20"/>
              </w:rPr>
              <w:t>Vissa sjukdomar</w:t>
            </w:r>
            <w:r w:rsidRPr="0050517B">
              <w:rPr>
                <w:sz w:val="23"/>
                <w:szCs w:val="20"/>
              </w:rPr>
              <w:t xml:space="preserve"> (CNS-tumör/aneurysm, intrakraniell/spinal kirurgi, nylig stroke, akut pankreatit, endo-/perikardit).</w:t>
            </w:r>
          </w:p>
        </w:tc>
      </w:tr>
      <w:tr w:rsidRPr="00C96E35" w:rsidR="0050517B" w:rsidTr="00873A17" w14:paraId="28429EF7" w14:textId="77777777">
        <w:trPr>
          <w:trHeight w:val="419"/>
        </w:trPr>
        <w:tc>
          <w:tcPr>
            <w:tcW w:w="2017" w:type="dxa"/>
            <w:shd w:val="clear" w:color="auto" w:fill="E7E6E6"/>
          </w:tcPr>
          <w:p w:rsidRPr="00C96E35" w:rsidR="0050517B" w:rsidP="00E02768" w:rsidRDefault="0050517B" w14:paraId="2A4357DF" w14:textId="77777777">
            <w:pPr>
              <w:spacing w:before="40" w:after="40" w:line="240" w:lineRule="auto"/>
              <w:ind w:left="0" w:right="0"/>
              <w:rPr>
                <w:rFonts w:ascii="Verdana" w:hAnsi="Verdana"/>
                <w:b/>
              </w:rPr>
            </w:pPr>
            <w:r w:rsidRPr="00C96E35">
              <w:rPr>
                <w:rFonts w:ascii="Verdana" w:hAnsi="Verdana"/>
                <w:b/>
              </w:rPr>
              <w:t>Övrigt</w:t>
            </w:r>
          </w:p>
        </w:tc>
        <w:tc>
          <w:tcPr>
            <w:tcW w:w="5852" w:type="dxa"/>
            <w:shd w:val="clear" w:color="auto" w:fill="E7E6E6"/>
            <w:vAlign w:val="center"/>
          </w:tcPr>
          <w:p w:rsidRPr="00C96E35" w:rsidR="0050517B" w:rsidP="00E02768" w:rsidRDefault="0050517B" w14:paraId="748EE05F" w14:textId="77777777">
            <w:pPr>
              <w:spacing w:before="40" w:after="40" w:line="240" w:lineRule="auto"/>
              <w:ind w:left="0" w:right="0"/>
              <w:rPr>
                <w:highlight w:val="yellow"/>
              </w:rPr>
            </w:pPr>
            <w:r w:rsidRPr="00C96E35">
              <w:t>Endast om behandling inleds inom 24 timmar.</w:t>
            </w:r>
          </w:p>
        </w:tc>
      </w:tr>
    </w:tbl>
    <w:p w:rsidRPr="00C96E35" w:rsidR="0050517B" w:rsidP="0050517B" w:rsidRDefault="0050517B" w14:paraId="1ED9265A" w14:textId="77777777">
      <w:pPr>
        <w:spacing w:after="160" w:line="240" w:lineRule="auto"/>
        <w:ind w:left="2676" w:right="0"/>
        <w:rPr>
          <w:highlight w:val="yellow"/>
        </w:rPr>
      </w:pPr>
    </w:p>
    <w:tbl>
      <w:tblPr>
        <w:tblpPr w:leftFromText="142" w:rightFromText="142" w:bottomFromText="170" w:vertAnchor="text" w:tblpX="988" w:tblpY="1"/>
        <w:tblOverlap w:val="never"/>
        <w:tblW w:w="78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Dalteparin (Fragmin)"/>
        <w:tblDescription w:val="Tabellen tydliggör dosering och kontraindikation för insättande av   behandling med Dalteparin (Fragmin). "/>
      </w:tblPr>
      <w:tblGrid>
        <w:gridCol w:w="2289"/>
        <w:gridCol w:w="5580"/>
      </w:tblGrid>
      <w:tr w:rsidRPr="0050517B" w:rsidR="0050517B" w:rsidTr="00E02768" w14:paraId="39F61326" w14:textId="77777777">
        <w:trPr>
          <w:trHeight w:val="405"/>
        </w:trPr>
        <w:tc>
          <w:tcPr>
            <w:tcW w:w="7869" w:type="dxa"/>
            <w:gridSpan w:val="2"/>
            <w:tcBorders>
              <w:bottom w:val="single" w:color="auto" w:sz="4" w:space="0"/>
            </w:tcBorders>
            <w:shd w:val="clear" w:color="auto" w:fill="D0CECE"/>
            <w:vAlign w:val="center"/>
          </w:tcPr>
          <w:p w:rsidRPr="00343295" w:rsidR="0050517B" w:rsidP="00E02768" w:rsidRDefault="0050517B" w14:paraId="0BA0FC27" w14:textId="77777777">
            <w:pPr>
              <w:spacing w:before="40" w:after="40" w:line="240" w:lineRule="auto"/>
              <w:ind w:left="0" w:right="0"/>
              <w:jc w:val="center"/>
              <w:rPr>
                <w:rFonts w:ascii="Verdana" w:hAnsi="Verdana"/>
                <w:b/>
                <w:sz w:val="22"/>
                <w:szCs w:val="20"/>
              </w:rPr>
            </w:pPr>
            <w:r w:rsidRPr="00343295">
              <w:rPr>
                <w:rFonts w:ascii="Verdana" w:hAnsi="Verdana"/>
                <w:b/>
                <w:sz w:val="22"/>
                <w:szCs w:val="20"/>
              </w:rPr>
              <w:t>Dalteparin (Fragmin)</w:t>
            </w:r>
          </w:p>
        </w:tc>
      </w:tr>
      <w:tr w:rsidRPr="0050517B" w:rsidR="0050517B" w:rsidTr="00873A17" w14:paraId="2D90CDA9" w14:textId="77777777">
        <w:trPr>
          <w:trHeight w:val="403" w:hRule="exact"/>
        </w:trPr>
        <w:tc>
          <w:tcPr>
            <w:tcW w:w="2017" w:type="dxa"/>
            <w:shd w:val="clear" w:color="auto" w:fill="E7E6E6"/>
          </w:tcPr>
          <w:p w:rsidRPr="00343295" w:rsidR="0050517B" w:rsidP="00E02768" w:rsidRDefault="0050517B" w14:paraId="30496E60" w14:textId="77777777">
            <w:pPr>
              <w:spacing w:before="40" w:after="40" w:line="240" w:lineRule="auto"/>
              <w:ind w:left="0" w:right="0"/>
              <w:rPr>
                <w:rFonts w:ascii="Verdana" w:hAnsi="Verdana"/>
                <w:b/>
                <w:sz w:val="22"/>
                <w:szCs w:val="20"/>
              </w:rPr>
            </w:pPr>
            <w:r w:rsidRPr="00343295">
              <w:rPr>
                <w:rFonts w:ascii="Verdana" w:hAnsi="Verdana"/>
                <w:b/>
                <w:sz w:val="22"/>
                <w:szCs w:val="20"/>
              </w:rPr>
              <w:t>Dosering</w:t>
            </w:r>
          </w:p>
        </w:tc>
        <w:tc>
          <w:tcPr>
            <w:tcW w:w="5852" w:type="dxa"/>
            <w:shd w:val="clear" w:color="auto" w:fill="E7E6E6"/>
            <w:vAlign w:val="center"/>
          </w:tcPr>
          <w:p w:rsidRPr="0050517B" w:rsidR="0050517B" w:rsidP="00E02768" w:rsidRDefault="0050517B" w14:paraId="0C1C1CFD" w14:textId="77777777">
            <w:pPr>
              <w:spacing w:before="40" w:after="40" w:line="240" w:lineRule="auto"/>
              <w:ind w:left="0" w:right="0"/>
              <w:rPr>
                <w:sz w:val="23"/>
                <w:szCs w:val="20"/>
                <w:highlight w:val="yellow"/>
              </w:rPr>
            </w:pPr>
            <w:r w:rsidRPr="0050517B">
              <w:rPr>
                <w:b/>
                <w:sz w:val="23"/>
                <w:szCs w:val="20"/>
              </w:rPr>
              <w:t>Efter</w:t>
            </w:r>
            <w:r w:rsidRPr="0050517B">
              <w:rPr>
                <w:sz w:val="23"/>
                <w:szCs w:val="20"/>
              </w:rPr>
              <w:t xml:space="preserve"> alteplasbehandling: 100E/kg sc x 2 i 14 dagar</w:t>
            </w:r>
          </w:p>
        </w:tc>
      </w:tr>
      <w:tr w:rsidRPr="0050517B" w:rsidR="0050517B" w:rsidTr="00873A17" w14:paraId="33ED5E18" w14:textId="77777777">
        <w:trPr>
          <w:trHeight w:val="403"/>
        </w:trPr>
        <w:tc>
          <w:tcPr>
            <w:tcW w:w="2017" w:type="dxa"/>
            <w:tcBorders>
              <w:bottom w:val="single" w:color="auto" w:sz="4" w:space="0"/>
            </w:tcBorders>
            <w:shd w:val="clear" w:color="auto" w:fill="auto"/>
          </w:tcPr>
          <w:p w:rsidRPr="00343295" w:rsidR="0050517B" w:rsidP="00E02768" w:rsidRDefault="0050517B" w14:paraId="272E8544" w14:textId="77777777">
            <w:pPr>
              <w:spacing w:before="40" w:after="40" w:line="240" w:lineRule="auto"/>
              <w:ind w:left="0" w:right="0"/>
              <w:rPr>
                <w:rFonts w:ascii="Verdana" w:hAnsi="Verdana"/>
                <w:b/>
                <w:sz w:val="22"/>
                <w:szCs w:val="20"/>
              </w:rPr>
            </w:pPr>
            <w:r w:rsidRPr="00343295">
              <w:rPr>
                <w:rFonts w:ascii="Verdana" w:hAnsi="Verdana"/>
                <w:b/>
                <w:sz w:val="22"/>
                <w:szCs w:val="20"/>
              </w:rPr>
              <w:t>Kontraindikation</w:t>
            </w:r>
          </w:p>
        </w:tc>
        <w:tc>
          <w:tcPr>
            <w:tcW w:w="5852" w:type="dxa"/>
            <w:tcBorders>
              <w:bottom w:val="single" w:color="auto" w:sz="4" w:space="0"/>
            </w:tcBorders>
            <w:shd w:val="clear" w:color="auto" w:fill="auto"/>
            <w:vAlign w:val="center"/>
          </w:tcPr>
          <w:p w:rsidRPr="0050517B" w:rsidR="0050517B" w:rsidP="00E02768" w:rsidRDefault="0050517B" w14:paraId="3EBB565F" w14:textId="77777777">
            <w:pPr>
              <w:spacing w:before="40" w:after="40" w:line="240" w:lineRule="auto"/>
              <w:ind w:left="0" w:right="0"/>
              <w:rPr>
                <w:sz w:val="23"/>
                <w:szCs w:val="20"/>
              </w:rPr>
            </w:pPr>
            <w:r w:rsidRPr="0050517B">
              <w:rPr>
                <w:sz w:val="23"/>
                <w:szCs w:val="20"/>
              </w:rPr>
              <w:t>Blödning eller blödningsrisk (se Alteplas). Antikropps</w:t>
            </w:r>
            <w:r w:rsidRPr="0050517B">
              <w:rPr>
                <w:sz w:val="23"/>
                <w:szCs w:val="20"/>
              </w:rPr>
              <w:softHyphen/>
              <w:t>medierad heparininducerad trombocytopeni inom de senaste 100 dagarna.</w:t>
            </w:r>
          </w:p>
        </w:tc>
      </w:tr>
      <w:tr w:rsidRPr="00C96E35" w:rsidR="0050517B" w:rsidTr="00873A17" w14:paraId="2EA4EBB8" w14:textId="77777777">
        <w:trPr>
          <w:trHeight w:val="419"/>
        </w:trPr>
        <w:tc>
          <w:tcPr>
            <w:tcW w:w="2017" w:type="dxa"/>
            <w:shd w:val="clear" w:color="auto" w:fill="E7E6E6"/>
          </w:tcPr>
          <w:p w:rsidRPr="00C96E35" w:rsidR="0050517B" w:rsidP="00E02768" w:rsidRDefault="0050517B" w14:paraId="343F818E" w14:textId="77777777">
            <w:pPr>
              <w:spacing w:before="40" w:after="40" w:line="240" w:lineRule="auto"/>
              <w:ind w:left="0" w:right="0"/>
              <w:rPr>
                <w:rFonts w:ascii="Verdana" w:hAnsi="Verdana"/>
                <w:b/>
              </w:rPr>
            </w:pPr>
            <w:r w:rsidRPr="00C96E35">
              <w:rPr>
                <w:rFonts w:ascii="Verdana" w:hAnsi="Verdana"/>
                <w:b/>
              </w:rPr>
              <w:t>Övrigt</w:t>
            </w:r>
          </w:p>
        </w:tc>
        <w:tc>
          <w:tcPr>
            <w:tcW w:w="5852" w:type="dxa"/>
            <w:shd w:val="clear" w:color="auto" w:fill="E7E6E6"/>
            <w:vAlign w:val="center"/>
          </w:tcPr>
          <w:p w:rsidRPr="00C96E35" w:rsidR="0050517B" w:rsidP="00E02768" w:rsidRDefault="0050517B" w14:paraId="0359FF54" w14:textId="77777777">
            <w:pPr>
              <w:spacing w:before="40" w:after="40" w:line="240" w:lineRule="auto"/>
              <w:ind w:left="0" w:right="0"/>
              <w:rPr>
                <w:highlight w:val="yellow"/>
              </w:rPr>
            </w:pPr>
            <w:r w:rsidRPr="00C96E35">
              <w:t>Endast om trombolys har inletts (ej ensamt).</w:t>
            </w:r>
          </w:p>
        </w:tc>
      </w:tr>
    </w:tbl>
    <w:p w:rsidR="00343295" w:rsidP="0050517B" w:rsidRDefault="00343295" w14:paraId="79FB8530" w14:textId="77777777">
      <w:pPr>
        <w:spacing w:after="160" w:line="240" w:lineRule="auto"/>
        <w:ind w:left="2676" w:right="0"/>
        <w:rPr>
          <w:highlight w:val="yellow"/>
        </w:rPr>
      </w:pPr>
    </w:p>
    <w:p w:rsidR="00C96E35" w:rsidP="0050517B" w:rsidRDefault="00C96E35" w14:paraId="1A1A5414" w14:textId="77777777">
      <w:pPr>
        <w:spacing w:after="160" w:line="240" w:lineRule="auto"/>
        <w:ind w:left="2676" w:right="0"/>
        <w:rPr>
          <w:highlight w:val="yellow"/>
        </w:rPr>
      </w:pPr>
    </w:p>
    <w:p w:rsidR="00C96E35" w:rsidP="0050517B" w:rsidRDefault="00C96E35" w14:paraId="62F55AC8" w14:textId="77777777">
      <w:pPr>
        <w:spacing w:after="160" w:line="240" w:lineRule="auto"/>
        <w:ind w:left="2676" w:right="0"/>
        <w:rPr>
          <w:highlight w:val="yellow"/>
        </w:rPr>
      </w:pPr>
    </w:p>
    <w:p w:rsidRPr="00C96E35" w:rsidR="00C96E35" w:rsidP="0050517B" w:rsidRDefault="00C96E35" w14:paraId="55DAD52A" w14:textId="77777777">
      <w:pPr>
        <w:spacing w:after="160" w:line="240" w:lineRule="auto"/>
        <w:ind w:left="2676" w:right="0"/>
        <w:rPr>
          <w:highlight w:val="yellow"/>
        </w:rPr>
      </w:pPr>
    </w:p>
    <w:tbl>
      <w:tblPr>
        <w:tblpPr w:leftFromText="142" w:rightFromText="142" w:bottomFromText="170" w:vertAnchor="text" w:tblpX="988" w:tblpY="1"/>
        <w:tblOverlap w:val="never"/>
        <w:tblW w:w="78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Iloprost (Ilomedin"/>
        <w:tblDescription w:val="Tabellen tydliggör dosering och kontraindikation för insättande av   behandling med Iloprost (Ilomedin). "/>
      </w:tblPr>
      <w:tblGrid>
        <w:gridCol w:w="2289"/>
        <w:gridCol w:w="5580"/>
      </w:tblGrid>
      <w:tr w:rsidRPr="0050517B" w:rsidR="0050517B" w:rsidTr="00E02768" w14:paraId="1DD4F91E" w14:textId="77777777">
        <w:trPr>
          <w:trHeight w:val="405"/>
        </w:trPr>
        <w:tc>
          <w:tcPr>
            <w:tcW w:w="7869" w:type="dxa"/>
            <w:gridSpan w:val="2"/>
            <w:tcBorders>
              <w:bottom w:val="single" w:color="auto" w:sz="4" w:space="0"/>
            </w:tcBorders>
            <w:shd w:val="clear" w:color="auto" w:fill="D0CECE"/>
            <w:vAlign w:val="center"/>
          </w:tcPr>
          <w:p w:rsidRPr="00343295" w:rsidR="0050517B" w:rsidP="00343295" w:rsidRDefault="0050517B" w14:paraId="2D1F1E2A" w14:textId="77777777">
            <w:pPr>
              <w:keepNext/>
              <w:keepLines/>
              <w:spacing w:before="40" w:after="40" w:line="240" w:lineRule="auto"/>
              <w:ind w:left="0" w:right="0"/>
              <w:jc w:val="center"/>
              <w:rPr>
                <w:rFonts w:ascii="Verdana" w:hAnsi="Verdana"/>
                <w:b/>
                <w:sz w:val="22"/>
                <w:szCs w:val="20"/>
              </w:rPr>
            </w:pPr>
            <w:r w:rsidRPr="00343295">
              <w:rPr>
                <w:rFonts w:ascii="Verdana" w:hAnsi="Verdana"/>
                <w:b/>
                <w:sz w:val="22"/>
                <w:szCs w:val="20"/>
                <w:shd w:val="clear" w:color="auto" w:fill="D0CECE"/>
              </w:rPr>
              <w:t>Iloprost (Ilomedin</w:t>
            </w:r>
            <w:r w:rsidRPr="00343295">
              <w:rPr>
                <w:rFonts w:ascii="Verdana" w:hAnsi="Verdana"/>
                <w:b/>
                <w:sz w:val="22"/>
                <w:szCs w:val="20"/>
              </w:rPr>
              <w:t>)</w:t>
            </w:r>
          </w:p>
        </w:tc>
      </w:tr>
      <w:tr w:rsidRPr="0050517B" w:rsidR="0050517B" w:rsidTr="00873A17" w14:paraId="1611CA6D" w14:textId="77777777">
        <w:trPr>
          <w:trHeight w:val="1275"/>
        </w:trPr>
        <w:tc>
          <w:tcPr>
            <w:tcW w:w="2017" w:type="dxa"/>
            <w:shd w:val="clear" w:color="auto" w:fill="E7E6E6"/>
          </w:tcPr>
          <w:p w:rsidRPr="00343295" w:rsidR="0050517B" w:rsidP="00343295" w:rsidRDefault="0050517B" w14:paraId="0E65AECC" w14:textId="77777777">
            <w:pPr>
              <w:keepNext/>
              <w:keepLines/>
              <w:spacing w:before="40" w:after="40" w:line="240" w:lineRule="auto"/>
              <w:ind w:left="0" w:right="0"/>
              <w:rPr>
                <w:rFonts w:ascii="Verdana" w:hAnsi="Verdana"/>
                <w:b/>
                <w:sz w:val="22"/>
                <w:szCs w:val="20"/>
              </w:rPr>
            </w:pPr>
            <w:r w:rsidRPr="00343295">
              <w:rPr>
                <w:rFonts w:ascii="Verdana" w:hAnsi="Verdana"/>
                <w:b/>
                <w:sz w:val="22"/>
                <w:szCs w:val="20"/>
              </w:rPr>
              <w:t>Dosering</w:t>
            </w:r>
          </w:p>
        </w:tc>
        <w:tc>
          <w:tcPr>
            <w:tcW w:w="5852" w:type="dxa"/>
            <w:shd w:val="clear" w:color="auto" w:fill="E7E6E6"/>
            <w:vAlign w:val="center"/>
          </w:tcPr>
          <w:p w:rsidRPr="0050517B" w:rsidR="0050517B" w:rsidP="00343295" w:rsidRDefault="0050517B" w14:paraId="6DEF72BE" w14:textId="77777777">
            <w:pPr>
              <w:keepNext/>
              <w:keepLines/>
              <w:spacing w:before="40" w:after="40" w:line="240" w:lineRule="auto"/>
              <w:ind w:left="0" w:right="0"/>
              <w:rPr>
                <w:sz w:val="23"/>
                <w:szCs w:val="20"/>
              </w:rPr>
            </w:pPr>
            <w:r w:rsidRPr="0050517B">
              <w:rPr>
                <w:b/>
                <w:sz w:val="23"/>
                <w:szCs w:val="20"/>
              </w:rPr>
              <w:t>0,5 ng/kg/minut iv.</w:t>
            </w:r>
            <w:r w:rsidRPr="0050517B">
              <w:rPr>
                <w:sz w:val="23"/>
                <w:szCs w:val="20"/>
              </w:rPr>
              <w:t xml:space="preserve"> Öka 0,5 ng/kg/minut var 30:e minut (max 2 ng/kg/minut). Vid huvudvärk, illamående eller hypotension minska med 0,5 ng/kg/minut till högsta tolerabla dos. Ge 6 timmar per dag i fem dagar.</w:t>
            </w:r>
          </w:p>
        </w:tc>
      </w:tr>
      <w:tr w:rsidRPr="0050517B" w:rsidR="0050517B" w:rsidTr="00873A17" w14:paraId="7B2E489D" w14:textId="77777777">
        <w:trPr>
          <w:trHeight w:val="1268"/>
        </w:trPr>
        <w:tc>
          <w:tcPr>
            <w:tcW w:w="2017" w:type="dxa"/>
            <w:tcBorders>
              <w:bottom w:val="single" w:color="auto" w:sz="4" w:space="0"/>
            </w:tcBorders>
            <w:shd w:val="clear" w:color="auto" w:fill="auto"/>
          </w:tcPr>
          <w:p w:rsidRPr="00343295" w:rsidR="0050517B" w:rsidP="00343295" w:rsidRDefault="0050517B" w14:paraId="438F848D" w14:textId="77777777">
            <w:pPr>
              <w:keepNext/>
              <w:keepLines/>
              <w:spacing w:before="40" w:after="40" w:line="240" w:lineRule="auto"/>
              <w:ind w:left="0" w:right="0"/>
              <w:rPr>
                <w:rFonts w:ascii="Verdana" w:hAnsi="Verdana"/>
                <w:b/>
                <w:sz w:val="22"/>
                <w:szCs w:val="20"/>
              </w:rPr>
            </w:pPr>
            <w:r w:rsidRPr="00343295">
              <w:rPr>
                <w:rFonts w:ascii="Verdana" w:hAnsi="Verdana"/>
                <w:b/>
                <w:sz w:val="22"/>
                <w:szCs w:val="20"/>
              </w:rPr>
              <w:t>Kontraindikation</w:t>
            </w:r>
          </w:p>
        </w:tc>
        <w:tc>
          <w:tcPr>
            <w:tcW w:w="5852" w:type="dxa"/>
            <w:tcBorders>
              <w:bottom w:val="single" w:color="auto" w:sz="4" w:space="0"/>
            </w:tcBorders>
            <w:shd w:val="clear" w:color="auto" w:fill="auto"/>
            <w:vAlign w:val="center"/>
          </w:tcPr>
          <w:p w:rsidRPr="0050517B" w:rsidR="0050517B" w:rsidP="00343295" w:rsidRDefault="0050517B" w14:paraId="73DCDD9A" w14:textId="77777777">
            <w:pPr>
              <w:keepNext/>
              <w:keepLines/>
              <w:spacing w:before="40" w:after="40" w:line="240" w:lineRule="auto"/>
              <w:ind w:left="0" w:right="0"/>
              <w:rPr>
                <w:sz w:val="23"/>
                <w:szCs w:val="20"/>
              </w:rPr>
            </w:pPr>
            <w:r w:rsidRPr="0050517B">
              <w:rPr>
                <w:sz w:val="23"/>
                <w:szCs w:val="20"/>
              </w:rPr>
              <w:t xml:space="preserve">Misstänkt/pågående </w:t>
            </w:r>
            <w:r w:rsidRPr="0050517B">
              <w:rPr>
                <w:b/>
                <w:sz w:val="23"/>
                <w:szCs w:val="20"/>
              </w:rPr>
              <w:t xml:space="preserve">blödning </w:t>
            </w:r>
            <w:r w:rsidRPr="0050517B">
              <w:rPr>
                <w:sz w:val="23"/>
                <w:szCs w:val="20"/>
              </w:rPr>
              <w:t xml:space="preserve">eller ökad </w:t>
            </w:r>
            <w:r w:rsidRPr="0050517B">
              <w:rPr>
                <w:b/>
                <w:sz w:val="23"/>
                <w:szCs w:val="20"/>
              </w:rPr>
              <w:t>blödningsrisk</w:t>
            </w:r>
            <w:r w:rsidRPr="0050517B">
              <w:rPr>
                <w:sz w:val="23"/>
                <w:szCs w:val="20"/>
              </w:rPr>
              <w:t xml:space="preserve">. </w:t>
            </w:r>
            <w:r w:rsidRPr="0050517B">
              <w:rPr>
                <w:b/>
                <w:sz w:val="23"/>
                <w:szCs w:val="20"/>
              </w:rPr>
              <w:t>Hjärtinfarkt</w:t>
            </w:r>
            <w:r w:rsidRPr="0050517B">
              <w:rPr>
                <w:sz w:val="23"/>
                <w:szCs w:val="20"/>
              </w:rPr>
              <w:t xml:space="preserve"> senaste sex månader. Svår </w:t>
            </w:r>
            <w:r w:rsidRPr="0050517B">
              <w:rPr>
                <w:b/>
                <w:sz w:val="23"/>
                <w:szCs w:val="20"/>
              </w:rPr>
              <w:t>kranskärlssjukdom</w:t>
            </w:r>
            <w:r w:rsidRPr="0050517B">
              <w:rPr>
                <w:sz w:val="23"/>
                <w:szCs w:val="20"/>
              </w:rPr>
              <w:t xml:space="preserve">, svår </w:t>
            </w:r>
            <w:r w:rsidRPr="0050517B">
              <w:rPr>
                <w:b/>
                <w:sz w:val="23"/>
                <w:szCs w:val="20"/>
              </w:rPr>
              <w:t>arytmi</w:t>
            </w:r>
            <w:r w:rsidRPr="0050517B">
              <w:rPr>
                <w:sz w:val="23"/>
                <w:szCs w:val="20"/>
              </w:rPr>
              <w:t xml:space="preserve"> eller </w:t>
            </w:r>
            <w:r w:rsidRPr="0050517B">
              <w:rPr>
                <w:b/>
                <w:sz w:val="23"/>
                <w:szCs w:val="20"/>
              </w:rPr>
              <w:t>hjärtsvikt</w:t>
            </w:r>
            <w:r w:rsidRPr="0050517B">
              <w:rPr>
                <w:sz w:val="23"/>
                <w:szCs w:val="20"/>
              </w:rPr>
              <w:t xml:space="preserve"> (NYHA II-IV). Misstänkt </w:t>
            </w:r>
            <w:r w:rsidRPr="0050517B">
              <w:rPr>
                <w:b/>
                <w:sz w:val="23"/>
                <w:szCs w:val="20"/>
              </w:rPr>
              <w:t xml:space="preserve">lungödem. Graviditet </w:t>
            </w:r>
            <w:r w:rsidRPr="0050517B">
              <w:rPr>
                <w:sz w:val="23"/>
                <w:szCs w:val="20"/>
              </w:rPr>
              <w:t>och</w:t>
            </w:r>
            <w:r w:rsidRPr="0050517B">
              <w:rPr>
                <w:b/>
                <w:sz w:val="23"/>
                <w:szCs w:val="20"/>
              </w:rPr>
              <w:t xml:space="preserve"> amning</w:t>
            </w:r>
            <w:r w:rsidRPr="0050517B">
              <w:rPr>
                <w:sz w:val="23"/>
                <w:szCs w:val="20"/>
              </w:rPr>
              <w:t>.</w:t>
            </w:r>
          </w:p>
        </w:tc>
      </w:tr>
      <w:tr w:rsidRPr="0050517B" w:rsidR="0050517B" w:rsidTr="00873A17" w14:paraId="79D4DBB5" w14:textId="77777777">
        <w:trPr>
          <w:trHeight w:val="723"/>
        </w:trPr>
        <w:tc>
          <w:tcPr>
            <w:tcW w:w="2017" w:type="dxa"/>
            <w:shd w:val="clear" w:color="auto" w:fill="E7E6E6"/>
          </w:tcPr>
          <w:p w:rsidRPr="00343295" w:rsidR="0050517B" w:rsidP="00343295" w:rsidRDefault="0050517B" w14:paraId="39A4AFFD" w14:textId="77777777">
            <w:pPr>
              <w:keepNext/>
              <w:keepLines/>
              <w:spacing w:before="40" w:after="40" w:line="240" w:lineRule="auto"/>
              <w:ind w:left="0" w:right="0"/>
              <w:rPr>
                <w:rFonts w:ascii="Verdana" w:hAnsi="Verdana"/>
                <w:b/>
                <w:sz w:val="22"/>
                <w:szCs w:val="20"/>
              </w:rPr>
            </w:pPr>
            <w:r w:rsidRPr="00343295">
              <w:rPr>
                <w:rFonts w:ascii="Verdana" w:hAnsi="Verdana"/>
                <w:b/>
                <w:sz w:val="22"/>
                <w:szCs w:val="20"/>
              </w:rPr>
              <w:t>Övrigt</w:t>
            </w:r>
          </w:p>
        </w:tc>
        <w:tc>
          <w:tcPr>
            <w:tcW w:w="5852" w:type="dxa"/>
            <w:shd w:val="clear" w:color="auto" w:fill="E7E6E6"/>
            <w:vAlign w:val="center"/>
          </w:tcPr>
          <w:p w:rsidRPr="0050517B" w:rsidR="0050517B" w:rsidP="00343295" w:rsidRDefault="0050517B" w14:paraId="7E00479C" w14:textId="77777777">
            <w:pPr>
              <w:keepNext/>
              <w:keepLines/>
              <w:spacing w:before="40" w:after="40" w:line="240" w:lineRule="auto"/>
              <w:ind w:left="0" w:right="0"/>
              <w:rPr>
                <w:sz w:val="23"/>
                <w:szCs w:val="20"/>
              </w:rPr>
            </w:pPr>
            <w:r w:rsidRPr="0050517B">
              <w:rPr>
                <w:sz w:val="23"/>
                <w:szCs w:val="20"/>
              </w:rPr>
              <w:t>Som tillägg till trombolys om behandling inom 24 timmar.</w:t>
            </w:r>
          </w:p>
          <w:p w:rsidRPr="0050517B" w:rsidR="0050517B" w:rsidP="00343295" w:rsidRDefault="0050517B" w14:paraId="6BC82F8B" w14:textId="77777777">
            <w:pPr>
              <w:keepNext/>
              <w:keepLines/>
              <w:spacing w:before="40" w:after="40" w:line="240" w:lineRule="auto"/>
              <w:ind w:left="0" w:right="0"/>
              <w:rPr>
                <w:sz w:val="23"/>
                <w:szCs w:val="20"/>
              </w:rPr>
            </w:pPr>
            <w:r w:rsidRPr="0050517B">
              <w:rPr>
                <w:sz w:val="23"/>
                <w:szCs w:val="20"/>
              </w:rPr>
              <w:t>Kan ges ensamt om behandling inom 48 timmar.</w:t>
            </w:r>
          </w:p>
        </w:tc>
      </w:tr>
    </w:tbl>
    <w:p w:rsidRPr="0050517B" w:rsidR="0050517B" w:rsidP="00E02768" w:rsidRDefault="0050517B" w14:paraId="75FDA477" w14:textId="77777777">
      <w:pPr>
        <w:pStyle w:val="MellanrubrikVGR"/>
      </w:pPr>
      <w:bookmarkStart w:name="_Toc21610443" w:id="86"/>
      <w:bookmarkStart w:name="_Toc256000012" w:id="87"/>
      <w:bookmarkStart w:name="_Toc256000032" w:id="88"/>
      <w:bookmarkStart w:name="_Toc256000052" w:id="89"/>
      <w:bookmarkStart w:name="_Toc256000072" w:id="90"/>
      <w:bookmarkStart w:name="_Toc256000092" w:id="91"/>
      <w:bookmarkStart w:name="_Toc193278759" w:id="92"/>
      <w:r w:rsidRPr="0050517B">
        <w:t>Vidare inneliggande behandling</w:t>
      </w:r>
      <w:bookmarkEnd w:id="86"/>
      <w:bookmarkEnd w:id="87"/>
      <w:bookmarkEnd w:id="88"/>
      <w:bookmarkEnd w:id="89"/>
      <w:bookmarkEnd w:id="90"/>
      <w:bookmarkEnd w:id="91"/>
      <w:bookmarkEnd w:id="92"/>
    </w:p>
    <w:p w:rsidRPr="0050517B" w:rsidR="0050517B" w:rsidP="00E02768" w:rsidRDefault="0050517B" w14:paraId="1E9B50DC" w14:textId="77777777">
      <w:r w:rsidRPr="0050517B">
        <w:t xml:space="preserve">Inom 24 timmar blir oftast det skadade området erytematöst (förutom i cyanotiska områden) och ödematöst. Blåsor, med klar eller blodtillblandad vätska, bildas ofta tidigt. Det föreligger ingen evidensbaserad konsensus om hur blåsorna ska behandlas, men visst stöd finns för att dränera större blåsor (för att minska inflammatoriska mediatorer), men att endast debridera om det föreligger inskränkning av rörelse, </w:t>
      </w:r>
      <w:proofErr w:type="gramStart"/>
      <w:r w:rsidRPr="0050517B">
        <w:t>t.ex.</w:t>
      </w:r>
      <w:proofErr w:type="gramEnd"/>
      <w:r w:rsidRPr="0050517B">
        <w:t xml:space="preserve"> i en led.</w:t>
      </w:r>
    </w:p>
    <w:p w:rsidRPr="0050517B" w:rsidR="0050517B" w:rsidP="00E02768" w:rsidRDefault="0050517B" w14:paraId="4779C37D" w14:textId="77777777">
      <w:r w:rsidRPr="0050517B">
        <w:t>I samma område bildas inom en till ett par veckor även en svart krusta, vilken i bästa fall kan försvinna utan vävnadsförlust. Området bör observeras för eventuell nekros med påföljande autoamputation, vilket ofta tar flera veckor upp till månader. Amputation eller annan kirurgisk intervention bör endast genomföras om det utvecklas tecken till infektion eller kompartmentsyndrom.</w:t>
      </w:r>
    </w:p>
    <w:p w:rsidRPr="0050517B" w:rsidR="0050517B" w:rsidP="00E02768" w:rsidRDefault="0050517B" w14:paraId="254D7BC3" w14:textId="77777777">
      <w:r w:rsidRPr="0050517B">
        <w:t>Det skadade området bör torka passivt innan omläggning. Omläggningen bör bestå av rena icke-vidhäftande kompresser eller gasbinda, som omläggs utan kompression eller ocklusion. Fingrar och tår som är påverkade bör omläggas separat från varandra. Skadade extremiteter bör ligga avlastat i högläge.</w:t>
      </w:r>
    </w:p>
    <w:p w:rsidRPr="0050517B" w:rsidR="0050517B" w:rsidP="00E02768" w:rsidRDefault="0050517B" w14:paraId="2891AA27" w14:textId="77777777">
      <w:r w:rsidRPr="0050517B">
        <w:t xml:space="preserve">Perorala </w:t>
      </w:r>
      <w:proofErr w:type="gramStart"/>
      <w:r w:rsidRPr="0050517B">
        <w:t>NSAIDs</w:t>
      </w:r>
      <w:proofErr w:type="gramEnd"/>
      <w:r w:rsidRPr="0050517B">
        <w:t xml:space="preserve"> har begränsad evidens avseende att förhindra inflammatoriska komplikationer, men kan användas om inga kontraindikationer finns. Vid tillgång till Topical Aloe Vera (salva som kan köpas receptfritt på apotek) kan den användas vid såromläggningar för att minska inflammatoriska komplikationer, evidensen är dock begränsad.</w:t>
      </w:r>
    </w:p>
    <w:p w:rsidRPr="0050517B" w:rsidR="0050517B" w:rsidP="00E02768" w:rsidRDefault="0050517B" w14:paraId="77396A7D" w14:textId="77777777">
      <w:r w:rsidRPr="0050517B">
        <w:t>Arbets- och fysioterapi bör inledas tidigt i förloppet för att förhindra rörelseinskränkning i skadade områden.</w:t>
      </w:r>
    </w:p>
    <w:p w:rsidRPr="0050517B" w:rsidR="0050517B" w:rsidP="00E02768" w:rsidRDefault="0050517B" w14:paraId="70B732D2" w14:textId="77777777">
      <w:pPr>
        <w:pStyle w:val="MellanrubrikVGR"/>
      </w:pPr>
      <w:bookmarkStart w:name="_Toc21610444" w:id="93"/>
      <w:bookmarkStart w:name="_Toc256000013" w:id="94"/>
      <w:bookmarkStart w:name="_Toc256000033" w:id="95"/>
      <w:bookmarkStart w:name="_Toc256000053" w:id="96"/>
      <w:bookmarkStart w:name="_Toc256000073" w:id="97"/>
      <w:bookmarkStart w:name="_Toc256000093" w:id="98"/>
      <w:bookmarkStart w:name="_Toc193278760" w:id="99"/>
      <w:r w:rsidRPr="0050517B">
        <w:t>Komplikationer</w:t>
      </w:r>
      <w:bookmarkEnd w:id="93"/>
      <w:bookmarkEnd w:id="94"/>
      <w:bookmarkEnd w:id="95"/>
      <w:bookmarkEnd w:id="96"/>
      <w:bookmarkEnd w:id="97"/>
      <w:bookmarkEnd w:id="98"/>
      <w:bookmarkEnd w:id="99"/>
    </w:p>
    <w:p w:rsidRPr="0050517B" w:rsidR="0050517B" w:rsidP="00E02768" w:rsidRDefault="0050517B" w14:paraId="3F259468" w14:textId="77777777">
      <w:r w:rsidRPr="0050517B">
        <w:t>Smärtor och parestesier i det skadade området kan börja tidigt och kvarstå i månader eller längre, och kan behöva långvarig smärtlindring. Smärtlindring bör ges efter typ (neuropatisk eller nociceptiv) och grad av smärta.</w:t>
      </w:r>
    </w:p>
    <w:p w:rsidRPr="0050517B" w:rsidR="0050517B" w:rsidP="00E02768" w:rsidRDefault="0050517B" w14:paraId="1FBB25D6" w14:textId="77777777">
      <w:r w:rsidRPr="0050517B">
        <w:t>Andra typer av komplikationer som kan behöva medicinsk eller arbets-/</w:t>
      </w:r>
      <w:r w:rsidRPr="0050517B">
        <w:br/>
      </w:r>
      <w:r w:rsidRPr="0050517B">
        <w:t>fysioterapeutisk hjälp är ärrbildning, vävnadsatrofi, artros och nedsatt pro-prioception. Även psykologisk hjälp p.g.a. kronisk smärta eller amputationer kan behövas.</w:t>
      </w:r>
    </w:p>
    <w:p w:rsidRPr="0050517B" w:rsidR="0050517B" w:rsidP="00E02768" w:rsidRDefault="0050517B" w14:paraId="69A7443A" w14:textId="77777777">
      <w:r w:rsidRPr="0050517B">
        <w:t>P.g.a. köldinducerad vasospasm, med risk för förnyad skada, är köldexponering efter skadan helt kontraindicerat i sex månader vid mindre skador (ingen eller mycket liten autoamputation) eller 12 månader vid större skador. Den skadade kroppsdelen bör skyddas mot kyla i flera år, upp till livslångt.</w:t>
      </w:r>
    </w:p>
    <w:p w:rsidRPr="0050517B" w:rsidR="0050517B" w:rsidP="00E02768" w:rsidRDefault="0050517B" w14:paraId="50F15BD5" w14:textId="77777777">
      <w:pPr>
        <w:pStyle w:val="Rubrik3"/>
      </w:pPr>
      <w:bookmarkStart w:name="_Toc21610445" w:id="100"/>
      <w:bookmarkStart w:name="_Toc256000014" w:id="101"/>
      <w:bookmarkStart w:name="_Toc256000034" w:id="102"/>
      <w:bookmarkStart w:name="_Toc256000054" w:id="103"/>
      <w:bookmarkStart w:name="_Toc256000074" w:id="104"/>
      <w:bookmarkStart w:name="_Toc256000094" w:id="105"/>
      <w:bookmarkStart w:name="_Toc193278761" w:id="106"/>
      <w:r w:rsidRPr="0050517B">
        <w:t>KFI-Skada</w:t>
      </w:r>
      <w:bookmarkEnd w:id="100"/>
      <w:bookmarkEnd w:id="101"/>
      <w:bookmarkEnd w:id="102"/>
      <w:bookmarkEnd w:id="103"/>
      <w:bookmarkEnd w:id="104"/>
      <w:bookmarkEnd w:id="105"/>
      <w:bookmarkEnd w:id="106"/>
    </w:p>
    <w:p w:rsidRPr="0050517B" w:rsidR="0050517B" w:rsidP="00CB03FB" w:rsidRDefault="0050517B" w14:paraId="565CD065" w14:textId="77777777">
      <w:pPr>
        <w:pStyle w:val="MellanrubrikVGR"/>
        <w:spacing w:before="120"/>
      </w:pPr>
      <w:bookmarkStart w:name="_Toc21610446" w:id="107"/>
      <w:bookmarkStart w:name="_Toc256000015" w:id="108"/>
      <w:bookmarkStart w:name="_Toc256000035" w:id="109"/>
      <w:bookmarkStart w:name="_Toc256000055" w:id="110"/>
      <w:bookmarkStart w:name="_Toc256000075" w:id="111"/>
      <w:bookmarkStart w:name="_Toc256000095" w:id="112"/>
      <w:bookmarkStart w:name="_Toc193278762" w:id="113"/>
      <w:r w:rsidRPr="0050517B">
        <w:t>I akutskedet</w:t>
      </w:r>
      <w:bookmarkEnd w:id="107"/>
      <w:bookmarkEnd w:id="108"/>
      <w:bookmarkEnd w:id="109"/>
      <w:bookmarkEnd w:id="110"/>
      <w:bookmarkEnd w:id="111"/>
      <w:bookmarkEnd w:id="112"/>
      <w:bookmarkEnd w:id="113"/>
    </w:p>
    <w:p w:rsidRPr="0050517B" w:rsidR="0050517B" w:rsidP="00E02768" w:rsidRDefault="0050517B" w14:paraId="41B3A09D" w14:textId="77777777">
      <w:r w:rsidRPr="0050517B">
        <w:t>Till skillnad mot förfrysning, ska KFI-skador värmas passivt och lufttorkas. Den skadade kroppsdelen ska hanteras mycket varsamt och vara upphöjd och avlastad (såvida ingen annan skada kräver en annan handläggning).</w:t>
      </w:r>
    </w:p>
    <w:p w:rsidRPr="0050517B" w:rsidR="0050517B" w:rsidP="00E02768" w:rsidRDefault="0050517B" w14:paraId="23256C6C" w14:textId="77777777">
      <w:r w:rsidRPr="0050517B">
        <w:t>Såvida ingen annan skada misstänks, finns ingen anledning till radiologisk undersökning. Trombolys har heller inte visat någon effekt på KFI-skador.</w:t>
      </w:r>
    </w:p>
    <w:p w:rsidRPr="0050517B" w:rsidR="0050517B" w:rsidP="00E02768" w:rsidRDefault="0050517B" w14:paraId="6DBD265A" w14:textId="0532DDF2">
      <w:r w:rsidRPr="0050517B">
        <w:t>Det bör tidigt tillses att patienten har fullgott Tetanusprofylax. Dock finns inget stöd för antibiotikabehandling, såvida inte infektionstecken föreligger. Låggradig feber kan uppstå första 12</w:t>
      </w:r>
      <w:r w:rsidR="00485A4C">
        <w:t> </w:t>
      </w:r>
      <w:r w:rsidRPr="0050517B">
        <w:t>till 36 timmarna utan att det föreligger någon infektion.</w:t>
      </w:r>
    </w:p>
    <w:p w:rsidRPr="0050517B" w:rsidR="0050517B" w:rsidP="00E02768" w:rsidRDefault="0050517B" w14:paraId="0C75309A" w14:textId="77777777">
      <w:pPr>
        <w:pStyle w:val="MellanrubrikVGR"/>
      </w:pPr>
      <w:bookmarkStart w:name="_Toc21610447" w:id="114"/>
      <w:bookmarkStart w:name="_Toc256000016" w:id="115"/>
      <w:bookmarkStart w:name="_Toc256000036" w:id="116"/>
      <w:bookmarkStart w:name="_Toc256000056" w:id="117"/>
      <w:bookmarkStart w:name="_Toc256000076" w:id="118"/>
      <w:bookmarkStart w:name="_Toc256000096" w:id="119"/>
      <w:bookmarkStart w:name="_Toc193278763" w:id="120"/>
      <w:r w:rsidRPr="0050517B">
        <w:t>Vidare inneliggande behandling</w:t>
      </w:r>
      <w:bookmarkEnd w:id="114"/>
      <w:bookmarkEnd w:id="115"/>
      <w:bookmarkEnd w:id="116"/>
      <w:bookmarkEnd w:id="117"/>
      <w:bookmarkEnd w:id="118"/>
      <w:bookmarkEnd w:id="119"/>
      <w:bookmarkEnd w:id="120"/>
    </w:p>
    <w:p w:rsidRPr="0050517B" w:rsidR="0050517B" w:rsidP="00E02768" w:rsidRDefault="0050517B" w14:paraId="06D638A0" w14:textId="77777777">
      <w:r w:rsidRPr="0050517B">
        <w:t>Efter att den skadade kroppsdelen tas bort från kyla och väta, blir den oftast blå och med försämrad kapillär återfyllnad, under timmar till dagar. Därefter tilltar ett hyperemiskt tillstånd, fortsatt med försämrad kapillär återfyllnad, samt med kraftig spontan smärta och hyperalgesi, under dagar till veckor. Feber kan tillstöta de första dagarna, men behöver oftast inte behandlas.</w:t>
      </w:r>
    </w:p>
    <w:p w:rsidRPr="0050517B" w:rsidR="0050517B" w:rsidP="00E02768" w:rsidRDefault="0050517B" w14:paraId="6346F9D6" w14:textId="77777777">
      <w:r w:rsidRPr="0050517B">
        <w:t xml:space="preserve">Smärtan bör behandlas så tidigt som den uppstår med amitriptylin eller i andra hand gabapentin (se FASS för dosering). </w:t>
      </w:r>
      <w:proofErr w:type="gramStart"/>
      <w:r w:rsidRPr="0050517B">
        <w:t>NSAIDs</w:t>
      </w:r>
      <w:proofErr w:type="gramEnd"/>
      <w:r w:rsidRPr="0050517B">
        <w:t xml:space="preserve"> eller opioider kan prövas, men har ofta dålig effekt.</w:t>
      </w:r>
    </w:p>
    <w:p w:rsidRPr="0050517B" w:rsidR="0050517B" w:rsidP="00E02768" w:rsidRDefault="0050517B" w14:paraId="34EB6AEC" w14:textId="77777777">
      <w:r w:rsidRPr="0050517B">
        <w:t>Även om amputationskrävande skador och kompartmentsyndrom är mycket ovanliga vid KFI-skador, bör tecken till dessa observeras under vårdtiden.</w:t>
      </w:r>
    </w:p>
    <w:p w:rsidRPr="0050517B" w:rsidR="0050517B" w:rsidP="00E02768" w:rsidRDefault="0050517B" w14:paraId="4671B3F4" w14:textId="77777777">
      <w:pPr>
        <w:pStyle w:val="MellanrubrikVGR"/>
      </w:pPr>
      <w:bookmarkStart w:name="_Toc21610448" w:id="121"/>
      <w:bookmarkStart w:name="_Toc256000017" w:id="122"/>
      <w:bookmarkStart w:name="_Toc256000037" w:id="123"/>
      <w:bookmarkStart w:name="_Toc256000057" w:id="124"/>
      <w:bookmarkStart w:name="_Toc256000077" w:id="125"/>
      <w:bookmarkStart w:name="_Toc256000097" w:id="126"/>
      <w:bookmarkStart w:name="_Toc193278764" w:id="127"/>
      <w:r w:rsidRPr="0050517B">
        <w:t>Komplikationer</w:t>
      </w:r>
      <w:bookmarkEnd w:id="121"/>
      <w:bookmarkEnd w:id="122"/>
      <w:bookmarkEnd w:id="123"/>
      <w:bookmarkEnd w:id="124"/>
      <w:bookmarkEnd w:id="125"/>
      <w:bookmarkEnd w:id="126"/>
      <w:bookmarkEnd w:id="127"/>
    </w:p>
    <w:p w:rsidRPr="0050517B" w:rsidR="0050517B" w:rsidP="00E02768" w:rsidRDefault="0050517B" w14:paraId="131177C7" w14:textId="77777777">
      <w:r w:rsidRPr="0050517B">
        <w:t>Efter det hyperemiska tillståndet tilltar ett stadium med anestesi, hyperhidros och kronisk smärta, som förvärras även vid korta exponeringar av kyla. Detta kan kvarstå i veckor, månader eller vara permanent. Det finns dåligt med evidens avseende behandling av komplikationer. Dock behövs ofta långvarig smärtbehandling och arbets- och fysioterapi vid mer omfattande skador. Prognosen för full återhämtning vid en utvecklad KFI-skada är dålig.</w:t>
      </w:r>
    </w:p>
    <w:p w:rsidRPr="0050517B" w:rsidR="0050517B" w:rsidP="00861F37" w:rsidRDefault="0050517B" w14:paraId="202CC27F" w14:textId="6543432C">
      <w:pPr>
        <w:pStyle w:val="Rubrik2"/>
      </w:pPr>
      <w:bookmarkStart w:name="_Toc182366122" w:id="128"/>
      <w:bookmarkStart w:name="_Toc21610449" w:id="129"/>
      <w:bookmarkStart w:name="_Toc256000018" w:id="130"/>
      <w:bookmarkStart w:name="_Toc256000038" w:id="131"/>
      <w:bookmarkStart w:name="_Toc256000058" w:id="132"/>
      <w:bookmarkStart w:name="_Toc256000078" w:id="133"/>
      <w:bookmarkStart w:name="_Toc256000098" w:id="134"/>
      <w:bookmarkStart w:name="_Toc193278765" w:id="135"/>
      <w:r w:rsidRPr="0050517B">
        <w:t>Dokumentinformation</w:t>
      </w:r>
      <w:bookmarkEnd w:id="128"/>
      <w:bookmarkEnd w:id="129"/>
      <w:bookmarkEnd w:id="130"/>
      <w:bookmarkEnd w:id="131"/>
      <w:bookmarkEnd w:id="132"/>
      <w:bookmarkEnd w:id="133"/>
      <w:bookmarkEnd w:id="134"/>
      <w:bookmarkEnd w:id="135"/>
    </w:p>
    <w:p w:rsidRPr="00485A4C" w:rsidR="0050517B" w:rsidP="00E02768" w:rsidRDefault="0050517B" w14:paraId="702E3443" w14:textId="77777777">
      <w:pPr>
        <w:spacing w:after="0"/>
        <w:rPr>
          <w:b/>
          <w:bCs/>
          <w:sz w:val="23"/>
        </w:rPr>
      </w:pPr>
      <w:r w:rsidRPr="00485A4C">
        <w:rPr>
          <w:b/>
          <w:bCs/>
          <w:sz w:val="23"/>
        </w:rPr>
        <w:t>För innehållet svarar</w:t>
      </w:r>
    </w:p>
    <w:p w:rsidRPr="00485A4C" w:rsidR="0050517B" w:rsidP="00E02768" w:rsidRDefault="0050517B" w14:paraId="57E11C1C" w14:textId="2C9A3B46">
      <w:pPr>
        <w:rPr>
          <w:sz w:val="23"/>
          <w:szCs w:val="20"/>
        </w:rPr>
      </w:pPr>
      <w:r w:rsidRPr="00485A4C">
        <w:rPr>
          <w:sz w:val="23"/>
          <w:szCs w:val="20"/>
        </w:rPr>
        <w:t xml:space="preserve">Johan Silverflod, </w:t>
      </w:r>
      <w:r w:rsidRPr="00485A4C" w:rsidR="00EC4925">
        <w:rPr>
          <w:sz w:val="23"/>
          <w:szCs w:val="20"/>
        </w:rPr>
        <w:t>specialist</w:t>
      </w:r>
      <w:r w:rsidRPr="00485A4C">
        <w:rPr>
          <w:sz w:val="23"/>
          <w:szCs w:val="20"/>
        </w:rPr>
        <w:t xml:space="preserve">läkare, </w:t>
      </w:r>
      <w:r w:rsidRPr="00485A4C" w:rsidR="00EC4925">
        <w:rPr>
          <w:sz w:val="23"/>
          <w:szCs w:val="20"/>
        </w:rPr>
        <w:t xml:space="preserve">VO </w:t>
      </w:r>
      <w:r w:rsidRPr="00485A4C">
        <w:rPr>
          <w:sz w:val="23"/>
          <w:szCs w:val="20"/>
        </w:rPr>
        <w:t>akut</w:t>
      </w:r>
      <w:r w:rsidRPr="00485A4C" w:rsidR="007473C1">
        <w:rPr>
          <w:sz w:val="23"/>
          <w:szCs w:val="20"/>
        </w:rPr>
        <w:t>sjukvård</w:t>
      </w:r>
      <w:r w:rsidRPr="00485A4C">
        <w:rPr>
          <w:sz w:val="23"/>
          <w:szCs w:val="20"/>
        </w:rPr>
        <w:t>, SÄS</w:t>
      </w:r>
      <w:r w:rsidRPr="00485A4C" w:rsidR="00571750">
        <w:rPr>
          <w:sz w:val="23"/>
          <w:szCs w:val="20"/>
        </w:rPr>
        <w:br/>
      </w:r>
      <w:r w:rsidRPr="00485A4C">
        <w:rPr>
          <w:sz w:val="23"/>
          <w:szCs w:val="20"/>
        </w:rPr>
        <w:t xml:space="preserve">Levente Tanács, överläkare, </w:t>
      </w:r>
      <w:r w:rsidRPr="00485A4C" w:rsidR="007473C1">
        <w:rPr>
          <w:sz w:val="23"/>
          <w:szCs w:val="20"/>
        </w:rPr>
        <w:t>VO akutsjukvård</w:t>
      </w:r>
      <w:r w:rsidRPr="00485A4C">
        <w:rPr>
          <w:sz w:val="23"/>
          <w:szCs w:val="20"/>
        </w:rPr>
        <w:t>, SÄS</w:t>
      </w:r>
    </w:p>
    <w:p w:rsidRPr="00485A4C" w:rsidR="0050517B" w:rsidP="00E02768" w:rsidRDefault="0050517B" w14:paraId="72004C04" w14:textId="2ED04CEE">
      <w:pPr>
        <w:spacing w:after="0"/>
        <w:rPr>
          <w:b/>
          <w:bCs/>
          <w:sz w:val="23"/>
        </w:rPr>
      </w:pPr>
      <w:bookmarkStart w:name="_Toc149035757" w:id="136"/>
      <w:bookmarkStart w:name="_Toc149978547" w:id="137"/>
      <w:r w:rsidRPr="00485A4C">
        <w:rPr>
          <w:b/>
          <w:bCs/>
          <w:sz w:val="23"/>
        </w:rPr>
        <w:t>Remissinstanser</w:t>
      </w:r>
      <w:bookmarkEnd w:id="136"/>
      <w:bookmarkEnd w:id="137"/>
      <w:r w:rsidRPr="00485A4C" w:rsidR="00571750">
        <w:rPr>
          <w:b/>
          <w:bCs/>
          <w:sz w:val="23"/>
        </w:rPr>
        <w:t xml:space="preserve"> (utgåva 1)</w:t>
      </w:r>
    </w:p>
    <w:p w:rsidRPr="00485A4C" w:rsidR="0050517B" w:rsidP="00E02768" w:rsidRDefault="0050517B" w14:paraId="10711A3C" w14:textId="77777777">
      <w:pPr>
        <w:rPr>
          <w:sz w:val="23"/>
          <w:szCs w:val="20"/>
        </w:rPr>
      </w:pPr>
      <w:r w:rsidRPr="00485A4C">
        <w:rPr>
          <w:sz w:val="23"/>
          <w:szCs w:val="20"/>
        </w:rPr>
        <w:t>Verksamhetschefer, SÄS</w:t>
      </w:r>
    </w:p>
    <w:p w:rsidRPr="00485A4C" w:rsidR="0050517B" w:rsidP="00E02768" w:rsidRDefault="0050517B" w14:paraId="5E082F1C" w14:textId="77777777">
      <w:pPr>
        <w:spacing w:after="0"/>
        <w:rPr>
          <w:b/>
          <w:bCs/>
          <w:sz w:val="23"/>
        </w:rPr>
      </w:pPr>
      <w:r w:rsidRPr="00485A4C">
        <w:rPr>
          <w:b/>
          <w:bCs/>
          <w:sz w:val="23"/>
        </w:rPr>
        <w:t>Fastställt av</w:t>
      </w:r>
    </w:p>
    <w:p w:rsidRPr="00485A4C" w:rsidR="0050517B" w:rsidP="00E02768" w:rsidRDefault="00E02768" w14:paraId="7B0431AA" w14:textId="15BBA55B">
      <w:pPr>
        <w:rPr>
          <w:sz w:val="23"/>
          <w:szCs w:val="20"/>
        </w:rPr>
      </w:pPr>
      <w:r w:rsidRPr="00485A4C">
        <w:rPr>
          <w:sz w:val="23"/>
          <w:szCs w:val="20"/>
        </w:rPr>
        <w:t>Jerker Nilson</w:t>
      </w:r>
      <w:r w:rsidRPr="00485A4C" w:rsidR="0050517B">
        <w:rPr>
          <w:sz w:val="23"/>
          <w:szCs w:val="20"/>
        </w:rPr>
        <w:t>, chefläkare, SÄS</w:t>
      </w:r>
    </w:p>
    <w:p w:rsidRPr="00485A4C" w:rsidR="0050517B" w:rsidP="00E02768" w:rsidRDefault="0050517B" w14:paraId="6AF2478F" w14:textId="77777777">
      <w:pPr>
        <w:spacing w:after="0"/>
        <w:rPr>
          <w:b/>
          <w:bCs/>
          <w:sz w:val="23"/>
        </w:rPr>
      </w:pPr>
      <w:r w:rsidRPr="00485A4C">
        <w:rPr>
          <w:b/>
          <w:bCs/>
          <w:sz w:val="23"/>
        </w:rPr>
        <w:t>Nyckelord</w:t>
      </w:r>
    </w:p>
    <w:p w:rsidRPr="00485A4C" w:rsidR="0050517B" w:rsidP="00E02768" w:rsidRDefault="0050517B" w14:paraId="6BB01C14" w14:textId="77777777">
      <w:pPr>
        <w:rPr>
          <w:sz w:val="23"/>
          <w:szCs w:val="20"/>
        </w:rPr>
      </w:pPr>
      <w:r w:rsidRPr="00485A4C">
        <w:rPr>
          <w:sz w:val="23"/>
          <w:szCs w:val="20"/>
        </w:rPr>
        <w:t>Förfrysning, KFI-skada, kyla, köldskada, väta</w:t>
      </w:r>
    </w:p>
    <w:p w:rsidRPr="0050517B" w:rsidR="0050517B" w:rsidP="00E02768" w:rsidRDefault="0050517B" w14:paraId="41C699DD" w14:textId="77777777">
      <w:pPr>
        <w:pStyle w:val="Rubrik2"/>
      </w:pPr>
      <w:bookmarkStart w:name="_Toc21610450" w:id="138"/>
      <w:bookmarkStart w:name="_Toc256000019" w:id="139"/>
      <w:bookmarkStart w:name="_Toc256000039" w:id="140"/>
      <w:bookmarkStart w:name="_Toc256000059" w:id="141"/>
      <w:bookmarkStart w:name="_Toc256000079" w:id="142"/>
      <w:bookmarkStart w:name="_Toc256000099" w:id="143"/>
      <w:bookmarkStart w:name="_Toc169686209" w:id="144"/>
      <w:bookmarkStart w:name="_Toc169686713" w:id="145"/>
      <w:bookmarkStart w:name="_Toc182366123" w:id="146"/>
      <w:bookmarkStart w:name="_Toc193278766" w:id="147"/>
      <w:r w:rsidRPr="0050517B">
        <w:t>Referensförteckning</w:t>
      </w:r>
      <w:bookmarkEnd w:id="138"/>
      <w:bookmarkEnd w:id="139"/>
      <w:bookmarkEnd w:id="140"/>
      <w:bookmarkEnd w:id="141"/>
      <w:bookmarkEnd w:id="142"/>
      <w:bookmarkEnd w:id="143"/>
      <w:bookmarkEnd w:id="147"/>
    </w:p>
    <w:p w:rsidRPr="000B721E" w:rsidR="0050517B" w:rsidP="00E02768" w:rsidRDefault="0050517B" w14:paraId="7B098C72" w14:textId="77777777">
      <w:pPr>
        <w:pStyle w:val="Punktlistanumrerad"/>
        <w:rPr>
          <w:sz w:val="23"/>
        </w:rPr>
      </w:pPr>
      <w:r w:rsidRPr="000B721E">
        <w:rPr>
          <w:sz w:val="23"/>
        </w:rPr>
        <w:t xml:space="preserve">Auerbach, P, Cushing, T, Harris, N (Red.). 2017. </w:t>
      </w:r>
      <w:r w:rsidRPr="000B721E">
        <w:rPr>
          <w:i/>
          <w:sz w:val="23"/>
        </w:rPr>
        <w:t>Auerbach’s Wilderness Medicine, 7th edition.</w:t>
      </w:r>
      <w:r w:rsidRPr="000B721E">
        <w:rPr>
          <w:sz w:val="23"/>
        </w:rPr>
        <w:t xml:space="preserve"> Philadephia: Elsevier, Inc.</w:t>
      </w:r>
    </w:p>
    <w:p w:rsidRPr="000B721E" w:rsidR="0050517B" w:rsidP="00E02768" w:rsidRDefault="0050517B" w14:paraId="385DF776" w14:textId="77777777">
      <w:pPr>
        <w:pStyle w:val="Punktlistanumrerad"/>
        <w:rPr>
          <w:sz w:val="23"/>
        </w:rPr>
      </w:pPr>
      <w:r w:rsidRPr="000B721E">
        <w:rPr>
          <w:sz w:val="23"/>
        </w:rPr>
        <w:t xml:space="preserve">Brändström, H. 2012. </w:t>
      </w:r>
      <w:r w:rsidRPr="000B721E">
        <w:rPr>
          <w:i/>
          <w:sz w:val="23"/>
        </w:rPr>
        <w:t xml:space="preserve">Accidental hypothermia and local cold injury: physiological and epidemiological studies on risk. </w:t>
      </w:r>
      <w:r w:rsidRPr="000B721E">
        <w:rPr>
          <w:sz w:val="23"/>
        </w:rPr>
        <w:t>Umeå: Print Media.</w:t>
      </w:r>
    </w:p>
    <w:p w:rsidRPr="000B721E" w:rsidR="0050517B" w:rsidP="00E02768" w:rsidRDefault="0050517B" w14:paraId="07EB4210" w14:textId="6D125429">
      <w:pPr>
        <w:pStyle w:val="Punktlistanumrerad"/>
        <w:rPr>
          <w:sz w:val="23"/>
        </w:rPr>
      </w:pPr>
      <w:r w:rsidRPr="000B721E">
        <w:rPr>
          <w:sz w:val="23"/>
        </w:rPr>
        <w:t xml:space="preserve">Zafren, K, Crawford Mechem, C. 2018. </w:t>
      </w:r>
      <w:r w:rsidRPr="000B721E">
        <w:rPr>
          <w:i/>
          <w:sz w:val="23"/>
        </w:rPr>
        <w:t>Frostbite.</w:t>
      </w:r>
      <w:r w:rsidRPr="000B721E">
        <w:rPr>
          <w:sz w:val="23"/>
        </w:rPr>
        <w:t xml:space="preserve"> UpToDate. </w:t>
      </w:r>
      <w:hyperlink w:history="1" r:id="rId12">
        <w:r w:rsidRPr="000B721E" w:rsidR="005C3B1A">
          <w:rPr>
            <w:rStyle w:val="Hyperlnk"/>
            <w:sz w:val="23"/>
          </w:rPr>
          <w:t>www.uptodate.com/contents/frostbite</w:t>
        </w:r>
      </w:hyperlink>
      <w:r w:rsidRPr="000B721E">
        <w:rPr>
          <w:sz w:val="23"/>
        </w:rPr>
        <w:t xml:space="preserve"> (hämtad 2021-08-25)).</w:t>
      </w:r>
    </w:p>
    <w:p w:rsidRPr="00536A5A" w:rsidR="00536A5A" w:rsidP="00861F37" w:rsidRDefault="0050517B" w14:paraId="76B9F95B" w14:textId="14F0B74C">
      <w:pPr>
        <w:pStyle w:val="Punktlistanumrerad"/>
      </w:pPr>
      <w:r w:rsidRPr="000B721E">
        <w:rPr>
          <w:sz w:val="23"/>
        </w:rPr>
        <w:t xml:space="preserve">Zafren, K. </w:t>
      </w:r>
      <w:r w:rsidRPr="000B721E">
        <w:rPr>
          <w:i/>
          <w:sz w:val="23"/>
        </w:rPr>
        <w:t>Nonfreezing cold water (trench foot) and warm water immersion injuries.</w:t>
      </w:r>
      <w:r w:rsidRPr="000B721E">
        <w:rPr>
          <w:sz w:val="23"/>
        </w:rPr>
        <w:t xml:space="preserve"> 2018. UpToDate. </w:t>
      </w:r>
      <w:hyperlink w:history="1" r:id="rId13">
        <w:r w:rsidRPr="000B721E" w:rsidR="00861F37">
          <w:rPr>
            <w:rStyle w:val="Hyperlnk"/>
            <w:sz w:val="23"/>
          </w:rPr>
          <w:t>www.uptodate.com/contents/nonfreezing-cold-water-trench-foot-and-warm-water-immersion-injuries</w:t>
        </w:r>
      </w:hyperlink>
      <w:r w:rsidRPr="0050517B">
        <w:t xml:space="preserve"> (hämtad 2021-08-25).</w:t>
      </w:r>
      <w:bookmarkEnd w:id="144"/>
      <w:bookmarkEnd w:id="145"/>
      <w:bookmarkEnd w:id="146"/>
      <w:bookmarkEnd w:id="0"/>
    </w:p>
    <w:sectPr w:rsidRPr="00536A5A" w:rsidR="00536A5A" w:rsidSect="0050517B">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660269" w:rsidP="000E63E4" w:rsidRDefault="000E63E4" w14:paraId="1FE2B822" w14:textId="03650EC7">
    <w:pPr>
      <w:pStyle w:val="Sidfot"/>
      <w:spacing w:after="0" w:line="240" w:lineRule="auto"/>
      <w:ind w:left="6237" w:firstLine="426"/>
      <w:jc w:val="left"/>
    </w:pPr>
    <w:r>
      <w:rPr>
        <w:noProof/>
      </w:rPr>
      <w:drawing>
        <wp:inline distT="0" distB="0" distL="0" distR="0" wp14:anchorId="56F4A821" wp14:editId="02E2F0E7">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CFB00D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2B5495B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Pr="007473C1" w:rsidR="00413A60" w:rsidRDefault="00413A60" w14:paraId="72D45401" w14:textId="0A2CCBAA">
                          <w:pPr>
                            <w:ind w:left="0"/>
                          </w:pPr>
                          <w:r w:rsidRPr="007473C1">
                            <w:rPr>
                              <w:sz w:val="20"/>
                              <w:szCs w:val="20"/>
                            </w:rPr>
                            <w:t>OBS! Utskriven version kan vara ogiltig. Verifiera innehållet</w:t>
                          </w:r>
                          <w:r w:rsidRPr="007473C1"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063F376">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Pr="007473C1" w:rsidR="00413A60" w:rsidRDefault="00413A60" w14:paraId="6D41DF98" w14:textId="0A2CCBAA">
                    <w:pPr>
                      <w:ind w:left="0"/>
                    </w:pPr>
                    <w:r w:rsidRPr="007473C1">
                      <w:rPr>
                        <w:sz w:val="20"/>
                        <w:szCs w:val="20"/>
                      </w:rPr>
                      <w:t>OBS! Utskriven version kan vara ogiltig. Verifiera innehållet</w:t>
                    </w:r>
                    <w:r w:rsidRPr="007473C1"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14ECE990"/>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6A8F4B36"/>
    <w:multiLevelType w:val="multilevel"/>
    <w:tmpl w:val="1C8EDCA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807577055">
    <w:abstractNumId w:val="1"/>
  </w:num>
  <w:num w:numId="2" w16cid:durableId="544412871">
    <w:abstractNumId w:val="16"/>
  </w:num>
  <w:num w:numId="3" w16cid:durableId="9822686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2789075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1398560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20068788">
    <w:abstractNumId w:val="3"/>
  </w:num>
  <w:num w:numId="7" w16cid:durableId="1240676348">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21E"/>
    <w:rsid w:val="000B7715"/>
    <w:rsid w:val="000E463B"/>
    <w:rsid w:val="000E5A7E"/>
    <w:rsid w:val="000E63E4"/>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476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3295"/>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5A4C"/>
    <w:rsid w:val="004876F6"/>
    <w:rsid w:val="0049236A"/>
    <w:rsid w:val="00492718"/>
    <w:rsid w:val="004A355D"/>
    <w:rsid w:val="004A4970"/>
    <w:rsid w:val="004B2183"/>
    <w:rsid w:val="004B2A01"/>
    <w:rsid w:val="004C2559"/>
    <w:rsid w:val="004D7BA3"/>
    <w:rsid w:val="004F4518"/>
    <w:rsid w:val="004F4C62"/>
    <w:rsid w:val="00501433"/>
    <w:rsid w:val="0050517B"/>
    <w:rsid w:val="00511CC4"/>
    <w:rsid w:val="00531E60"/>
    <w:rsid w:val="00536A5A"/>
    <w:rsid w:val="00541D07"/>
    <w:rsid w:val="00544BAB"/>
    <w:rsid w:val="00545F31"/>
    <w:rsid w:val="005578FA"/>
    <w:rsid w:val="00565129"/>
    <w:rsid w:val="00565CD0"/>
    <w:rsid w:val="00567820"/>
    <w:rsid w:val="00571750"/>
    <w:rsid w:val="005770AD"/>
    <w:rsid w:val="00581414"/>
    <w:rsid w:val="00582490"/>
    <w:rsid w:val="005826FA"/>
    <w:rsid w:val="00597E28"/>
    <w:rsid w:val="005A2E3B"/>
    <w:rsid w:val="005A54ED"/>
    <w:rsid w:val="005A5D5B"/>
    <w:rsid w:val="005A6081"/>
    <w:rsid w:val="005A627D"/>
    <w:rsid w:val="005C0045"/>
    <w:rsid w:val="005C084E"/>
    <w:rsid w:val="005C3B1A"/>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73C1"/>
    <w:rsid w:val="00754905"/>
    <w:rsid w:val="00760038"/>
    <w:rsid w:val="00762EE0"/>
    <w:rsid w:val="00765C41"/>
    <w:rsid w:val="00771100"/>
    <w:rsid w:val="007759DD"/>
    <w:rsid w:val="0078609F"/>
    <w:rsid w:val="007917BA"/>
    <w:rsid w:val="007A5C6F"/>
    <w:rsid w:val="007D4241"/>
    <w:rsid w:val="007D4317"/>
    <w:rsid w:val="007D4EA3"/>
    <w:rsid w:val="007F1CFF"/>
    <w:rsid w:val="007F2225"/>
    <w:rsid w:val="007F5DD5"/>
    <w:rsid w:val="00821A1B"/>
    <w:rsid w:val="008262E9"/>
    <w:rsid w:val="00827E69"/>
    <w:rsid w:val="00835C4D"/>
    <w:rsid w:val="00843F48"/>
    <w:rsid w:val="00851423"/>
    <w:rsid w:val="00857848"/>
    <w:rsid w:val="00861F37"/>
    <w:rsid w:val="008654B6"/>
    <w:rsid w:val="0087139C"/>
    <w:rsid w:val="00873A17"/>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4AD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014D"/>
    <w:rsid w:val="00B60C6C"/>
    <w:rsid w:val="00B60CE0"/>
    <w:rsid w:val="00B619A9"/>
    <w:rsid w:val="00B65A9D"/>
    <w:rsid w:val="00B66D60"/>
    <w:rsid w:val="00B75EDE"/>
    <w:rsid w:val="00B77D88"/>
    <w:rsid w:val="00B77FAF"/>
    <w:rsid w:val="00B84336"/>
    <w:rsid w:val="00B851B9"/>
    <w:rsid w:val="00B86453"/>
    <w:rsid w:val="00B90054"/>
    <w:rsid w:val="00B90299"/>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351A"/>
    <w:rsid w:val="00C85DA1"/>
    <w:rsid w:val="00C9071C"/>
    <w:rsid w:val="00C908FF"/>
    <w:rsid w:val="00C96E35"/>
    <w:rsid w:val="00C97BD3"/>
    <w:rsid w:val="00CA39EF"/>
    <w:rsid w:val="00CA521F"/>
    <w:rsid w:val="00CB03FB"/>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4BC8"/>
    <w:rsid w:val="00DD2BE0"/>
    <w:rsid w:val="00DE4447"/>
    <w:rsid w:val="00DE5DA2"/>
    <w:rsid w:val="00DF0033"/>
    <w:rsid w:val="00E026BF"/>
    <w:rsid w:val="00E02768"/>
    <w:rsid w:val="00E07B1B"/>
    <w:rsid w:val="00E11853"/>
    <w:rsid w:val="00E22D6F"/>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4925"/>
    <w:rsid w:val="00EC5006"/>
    <w:rsid w:val="00ED49C3"/>
    <w:rsid w:val="00ED6CE8"/>
    <w:rsid w:val="00ED7AA6"/>
    <w:rsid w:val="00EE2A56"/>
    <w:rsid w:val="00EE3818"/>
    <w:rsid w:val="00F108C2"/>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37F557C3"/>
    <w:rsid w:val="53CD574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473C1"/>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C96E35"/>
    <w:pPr>
      <w:keepNext/>
      <w:spacing w:before="1500" w:after="240"/>
      <w:ind w:left="992"/>
      <w:contextualSpacing/>
      <w:outlineLvl w:val="0"/>
    </w:pPr>
    <w:rPr>
      <w:rFonts w:ascii="Verdana" w:hAnsi="Verdana" w:eastAsia="MS Gothic"/>
      <w:bCs/>
      <w:kern w:val="32"/>
      <w:sz w:val="44"/>
      <w:szCs w:val="32"/>
    </w:rPr>
  </w:style>
  <w:style w:type="paragraph" w:styleId="Rubrik2">
    <w:name w:val="heading 2"/>
    <w:aliases w:val="Rubrik 2 VGR"/>
    <w:basedOn w:val="Normal"/>
    <w:next w:val="Normal"/>
    <w:link w:val="Rubrik2Char"/>
    <w:uiPriority w:val="3"/>
    <w:unhideWhenUsed/>
    <w:qFormat/>
    <w:rsid w:val="007473C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0E63E4"/>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50517B"/>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50517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50517B"/>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96E35"/>
    <w:rPr>
      <w:rFonts w:ascii="Verdana" w:hAnsi="Verdana" w:eastAsia="MS Gothic"/>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73C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0E63E4"/>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8351A"/>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8351A"/>
    <w:pPr>
      <w:tabs>
        <w:tab w:val="right" w:leader="dot" w:pos="8777"/>
      </w:tabs>
      <w:spacing w:after="0"/>
      <w:ind w:left="1349"/>
    </w:pPr>
  </w:style>
  <w:style w:type="paragraph" w:styleId="Innehll3">
    <w:name w:val="toc 3"/>
    <w:basedOn w:val="Normal"/>
    <w:next w:val="Normal"/>
    <w:autoRedefine/>
    <w:uiPriority w:val="39"/>
    <w:unhideWhenUsed/>
    <w:rsid w:val="00C8351A"/>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0E63E4"/>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50517B"/>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50517B"/>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50517B"/>
    <w:rPr>
      <w:rFonts w:asciiTheme="majorHAnsi" w:hAnsiTheme="majorHAnsi" w:eastAsiaTheme="majorEastAsia" w:cstheme="majorBidi"/>
      <w:i/>
      <w:iCs/>
      <w:color w:val="272727" w:themeColor="text1" w:themeTint="D8"/>
      <w:sz w:val="21"/>
      <w:szCs w:val="21"/>
    </w:rPr>
  </w:style>
  <w:style w:type="paragraph" w:styleId="a" w:customStyle="1">
    <w:next w:val="Numreradlista"/>
    <w:rsid w:val="0050517B"/>
    <w:pPr>
      <w:tabs>
        <w:tab w:val="num" w:pos="3036"/>
      </w:tabs>
      <w:spacing w:after="80"/>
      <w:ind w:left="3033" w:hanging="357"/>
    </w:pPr>
    <w:rPr>
      <w:sz w:val="24"/>
    </w:rPr>
  </w:style>
  <w:style w:type="paragraph" w:styleId="Numreradlista">
    <w:name w:val="List Number"/>
    <w:basedOn w:val="Normal"/>
    <w:uiPriority w:val="99"/>
    <w:semiHidden/>
    <w:unhideWhenUsed/>
    <w:rsid w:val="0050517B"/>
    <w:pPr>
      <w:tabs>
        <w:tab w:val="num" w:pos="720"/>
      </w:tabs>
      <w:ind w:left="720" w:hanging="720"/>
      <w:contextualSpacing/>
    </w:pPr>
  </w:style>
  <w:style w:type="paragraph" w:styleId="Punktlistanumrerad" w:customStyle="1">
    <w:name w:val="Punktlista numrerad"/>
    <w:qFormat/>
    <w:rsid w:val="000B721E"/>
    <w:pPr>
      <w:numPr>
        <w:numId w:val="1"/>
      </w:numPr>
      <w:tabs>
        <w:tab w:val="left" w:pos="1349"/>
      </w:tabs>
      <w:overflowPunct w:val="0"/>
      <w:autoSpaceDE w:val="0"/>
      <w:autoSpaceDN w:val="0"/>
      <w:adjustRightInd w:val="0"/>
      <w:spacing w:after="80" w:line="288" w:lineRule="auto"/>
      <w:ind w:right="868"/>
      <w:textAlignment w:val="baseline"/>
    </w:pPr>
    <w:rPr>
      <w:rFonts w:ascii="Georgia" w:hAnsi="Georgia"/>
      <w:sz w:val="24"/>
      <w:lang w:val="en-US"/>
    </w:rPr>
  </w:style>
  <w:style w:type="character" w:styleId="Olstomnmnande">
    <w:name w:val="Unresolved Mention"/>
    <w:basedOn w:val="Standardstycketeckensnitt"/>
    <w:uiPriority w:val="99"/>
    <w:semiHidden/>
    <w:unhideWhenUsed/>
    <w:rsid w:val="005C3B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uptodate.com/contents/nonfreezing-cold-water-trench-foot-and-warm-water-immersion-injuries"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www.uptodate.com/contents/frostbit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Köldskador – Handläggning vid SÄS</dc:title>
  <dc:subject/>
  <dc:creator>patrik.jens.johansson@vgregion.se</dc:creator>
  <keywords/>
  <lastModifiedBy>Karin Åhlin</lastModifiedBy>
  <revision>27</revision>
  <lastPrinted>2016-03-31T10:56:00.0000000Z</lastPrinted>
  <dcterms:created xsi:type="dcterms:W3CDTF">2022-03-28T05:15:00.0000000Z</dcterms:created>
  <dcterms:modified xsi:type="dcterms:W3CDTF">2025-03-19T12:31:23.0000000Z</dcterms:modified>
</coreProperties>
</file>