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0E0C2B" w14:paraId="061914D4" w14:textId="5AB2FCFF">
      <w:pPr>
        <w:pStyle w:val="Rubrik1"/>
      </w:pPr>
      <w:r w:rsidRPr="000E0C2B">
        <w:t>Intyg och utlåtanden inom hälso- och sjukvården</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rsidR="009A32ED">
        <w:rPr/>
        <w:t>Förändringar sedan föregående version</w:t>
      </w:r>
      <w:bookmarkEnd w:id="1"/>
      <w:bookmarkEnd w:id="2"/>
    </w:p>
    <w:p w:rsidR="06E33310" w:rsidP="22B857F8" w:rsidRDefault="06E33310" w14:paraId="12B08262" w14:textId="232C86B0">
      <w:pPr>
        <w:spacing w:before="0" w:beforeAutospacing="off" w:after="120" w:afterAutospacing="off"/>
      </w:pPr>
      <w:r w:rsidRPr="22B857F8" w:rsidR="06E33310">
        <w:rPr>
          <w:rFonts w:ascii="Georgia" w:hAnsi="Georgia" w:eastAsia="Georgia" w:cs="Georgia"/>
          <w:noProof w:val="0"/>
          <w:sz w:val="24"/>
          <w:szCs w:val="24"/>
          <w:lang w:val="sv-SE"/>
        </w:rPr>
        <w:t>Redaktionella ändringar, giltighetstiden förlängd.</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B405A1" w:rsidP="000E0C2B" w:rsidRDefault="000E0C2B" w14:paraId="1FC6584C" w14:textId="3C08B6DB">
      <w:pPr>
        <w:ind w:right="-143"/>
      </w:pPr>
      <w:r w:rsidRPr="000E0C2B">
        <w:t xml:space="preserve">Denna riktlinje innehåller grundläggande information avseende när intyg ska avfattas. Verksamhetschefen ansvarar för att det finns fastställda rutiner för intygsskrivande vid kliniken. </w:t>
      </w:r>
    </w:p>
    <w:p w:rsidR="009A32ED" w:rsidP="009A32ED" w:rsidRDefault="009A32ED" w14:paraId="70B2A54A" w14:textId="77777777">
      <w:pPr>
        <w:pStyle w:val="Rubrik2"/>
        <w:ind w:right="-143"/>
      </w:pPr>
      <w:bookmarkStart w:name="_Toc100327187" w:id="6"/>
      <w:bookmarkStart w:name="_Toc181866760" w:id="7"/>
      <w:bookmarkEnd w:id="5"/>
      <w:r>
        <w:t>Förutsättningar</w:t>
      </w:r>
      <w:bookmarkEnd w:id="6"/>
      <w:bookmarkEnd w:id="7"/>
    </w:p>
    <w:p w:rsidR="000E0C2B" w:rsidP="000E0C2B" w:rsidRDefault="000E0C2B" w14:paraId="2BDA7911" w14:textId="77777777">
      <w:pPr>
        <w:ind w:right="-143"/>
      </w:pPr>
      <w:r>
        <w:t xml:space="preserve">Ett intyg innehåller objektiva omständigheter om vården, en redovisning av fakta till skillnad från ett utlåtande som också kan innehålla bedömningar, analyser och prognoser över den vård som har getts. Denna riktlinje beskriver allmänna förutsättningar för intygsskrivande. Kort berörs också den allmänna skyldigheten att i offentlig vård utfärda utlåtanden enligt patientsäkerhetslag (2010:659) [1]. </w:t>
      </w:r>
    </w:p>
    <w:p w:rsidRPr="000E0C2B" w:rsidR="000E0C2B" w:rsidP="000E0C2B" w:rsidRDefault="000E0C2B" w14:paraId="2A6B7642" w14:textId="77777777">
      <w:pPr>
        <w:pStyle w:val="Rubrik2"/>
        <w:ind w:right="-143"/>
      </w:pPr>
      <w:r w:rsidRPr="000E0C2B">
        <w:t>Allmänt </w:t>
      </w:r>
    </w:p>
    <w:p w:rsidRPr="000E0C2B" w:rsidR="000E0C2B" w:rsidP="000E0C2B" w:rsidRDefault="000E0C2B" w14:paraId="77A47E4A" w14:textId="77777777">
      <w:pPr>
        <w:ind w:right="-143"/>
      </w:pPr>
      <w:r w:rsidRPr="000E0C2B">
        <w:t>I patientdatalag (2008:355), 3 kap 16 § [2], anges att den som är skyldig att föra patientjournal också är skyldig att utfärda intyg om vården. Skyldigheten gäller begäran som kommer från patienten själv. Om patienten inte begär det själv utan begäran kommer genom en annan person, ska den styrkas genom en fullmakt. För minderåriga gäller, i det fall att det finns flera vårdnadshavare, att båda vårdnadshavarna tillsammans ska begära ett intyg. I praktiken kan det emellertid i de flesta fall antas att båda föräldrarna är införstådda med begäran om intyg. I tveksamma fall ska medarbetare rådgöra med sin närmaste chef. </w:t>
      </w:r>
    </w:p>
    <w:p w:rsidR="000E0C2B" w:rsidP="000E0C2B" w:rsidRDefault="000E0C2B" w14:paraId="77633A91" w14:textId="77777777">
      <w:pPr>
        <w:ind w:right="-143"/>
      </w:pPr>
    </w:p>
    <w:p w:rsidR="009A32ED" w:rsidP="000E0C2B" w:rsidRDefault="000E0C2B" w14:paraId="107BEA0B" w14:textId="63EBDC6E">
      <w:pPr>
        <w:ind w:right="-143"/>
      </w:pPr>
      <w:r>
        <w:t xml:space="preserve">Vid intygsskrivande uppmanas till en allmän försiktighet. Den som har att utfärda ett intyg ska alltid ställa sig frågan om det i det enskilda fallet finns legalt stöd för intyget/utlåtandet. </w:t>
      </w:r>
    </w:p>
    <w:p w:rsidRPr="000E0C2B" w:rsidR="000E0C2B" w:rsidP="000E0C2B" w:rsidRDefault="000E0C2B" w14:paraId="2E3C62B0" w14:textId="77777777">
      <w:pPr>
        <w:ind w:right="-143"/>
        <w:rPr>
          <w:b/>
          <w:bCs/>
        </w:rPr>
      </w:pPr>
      <w:r w:rsidRPr="000E0C2B">
        <w:rPr>
          <w:b/>
          <w:bCs/>
        </w:rPr>
        <w:t>Allmänt om skyldigheten att i offentligvård utfärda utlåtanden </w:t>
      </w:r>
    </w:p>
    <w:p w:rsidRPr="000E0C2B" w:rsidR="000E0C2B" w:rsidP="000E0C2B" w:rsidRDefault="000E0C2B" w14:paraId="5DA2BAC0" w14:textId="77777777">
      <w:pPr>
        <w:ind w:right="-143"/>
      </w:pPr>
      <w:r w:rsidRPr="000E0C2B">
        <w:t>Patientsäkerhetslagen (SFS 2010:659) [1] anger i 6 kap. 9 § att läkare som är verksamma inom offentlig sjukvård är skyldiga att bistå länsstyrelse, domstol, åklagarmyndighet eller polismyndighet: </w:t>
      </w:r>
    </w:p>
    <w:p w:rsidRPr="000E0C2B" w:rsidR="000E0C2B" w:rsidP="000E0C2B" w:rsidRDefault="000E0C2B" w14:paraId="5CC82CE5" w14:textId="77777777">
      <w:pPr>
        <w:ind w:left="1134"/>
      </w:pPr>
      <w:r w:rsidRPr="000E0C2B">
        <w:t>9 § En läkare eller tandläkare som är verksam inom den offentligt bedrivna hälso- och sjukvården är skyldig att, i den omfattning övriga skyldigheter i yrkesutövningen inte hindrar det eller det annars inte finns särskilda skäl mot det, utföra undersökningar och ge utlåtanden över dessa på begäran av länsstyrelse, domstol, åklagarmyndighet eller polismyndighet. </w:t>
      </w:r>
    </w:p>
    <w:p w:rsidRPr="000E0C2B" w:rsidR="000E0C2B" w:rsidP="000E0C2B" w:rsidRDefault="000E0C2B" w14:paraId="066F3EB6" w14:textId="77777777">
      <w:pPr>
        <w:ind w:left="1134"/>
      </w:pPr>
      <w:r w:rsidRPr="000E0C2B">
        <w:t>En läkare som är verksam inom den offentligt bedrivna hälso- och sjukvården är på begäran av polisman skyldig att, i den omfattning övriga skyldigheter i yrkesutövningen inte hindrar det eller det annars inte finns särskilda skäl mot det, utföra en undersökning som innebär kroppsbesiktning av någon som är misstänkt för brott som kan ge frihetsstraff. </w:t>
      </w:r>
    </w:p>
    <w:p w:rsidRPr="000E0C2B" w:rsidR="000E0C2B" w:rsidP="000E0C2B" w:rsidRDefault="000E0C2B" w14:paraId="74C586B5" w14:textId="77777777">
      <w:pPr>
        <w:ind w:left="1134"/>
      </w:pPr>
      <w:r w:rsidRPr="000E0C2B">
        <w:t>Begränsningen i skyldigheten att utföra undersökningar och ge utlåtanden gäller inte för en läkare som är verksam huvudsakligen inom öppen vård och, när det gäller undersökning och utlåtande om alkoholpåverkan, inte heller för någon annan läkare. </w:t>
      </w:r>
    </w:p>
    <w:p w:rsidRPr="000E0C2B" w:rsidR="000E0C2B" w:rsidP="000E0C2B" w:rsidRDefault="000E0C2B" w14:paraId="58CDCF9A" w14:textId="77777777">
      <w:pPr>
        <w:ind w:left="1134"/>
      </w:pPr>
      <w:r w:rsidRPr="000E0C2B">
        <w:t>I lagen (2005:225) om rättsintyg i anledning av brott finns det särskilda bestämmelser om utlåtanden i vissa fall [3]. </w:t>
      </w:r>
    </w:p>
    <w:p w:rsidR="000E0C2B" w:rsidP="000E0C2B" w:rsidRDefault="000E0C2B" w14:paraId="12EDE32B" w14:textId="0FEDE16D">
      <w:pPr>
        <w:ind w:right="-143"/>
      </w:pPr>
      <w:r w:rsidRPr="000E0C2B">
        <w:t>Vid begäran från dessa instanser kan således intyg/utlåtande utfärdas utan samtycke från patienten. </w:t>
      </w:r>
    </w:p>
    <w:p w:rsidRPr="000E0C2B" w:rsidR="000E0C2B" w:rsidP="000E0C2B" w:rsidRDefault="000E0C2B" w14:paraId="10044E2B" w14:textId="77777777">
      <w:pPr>
        <w:pStyle w:val="Rubrik2"/>
      </w:pPr>
      <w:bookmarkStart w:name="_Toc100327188" w:id="8"/>
      <w:r w:rsidRPr="000E0C2B">
        <w:t>Roller och ansvar </w:t>
      </w:r>
    </w:p>
    <w:p w:rsidRPr="000E0C2B" w:rsidR="000E0C2B" w:rsidP="000E0C2B" w:rsidRDefault="000E0C2B" w14:paraId="103773D5" w14:textId="77777777">
      <w:pPr>
        <w:ind w:right="-143"/>
        <w:rPr>
          <w:rFonts w:eastAsiaTheme="majorEastAsia"/>
        </w:rPr>
      </w:pPr>
      <w:r w:rsidRPr="000E0C2B">
        <w:rPr>
          <w:rFonts w:eastAsiaTheme="majorEastAsia"/>
        </w:rPr>
        <w:t xml:space="preserve">Reglering av ansvar för intyg inom en </w:t>
      </w:r>
      <w:r w:rsidRPr="000E0C2B">
        <w:t>verksamhet</w:t>
      </w:r>
      <w:r w:rsidRPr="000E0C2B">
        <w:rPr>
          <w:rFonts w:eastAsiaTheme="majorEastAsia"/>
        </w:rPr>
        <w:t xml:space="preserve"> preciseras i Socialstyrelsens föreskrift (HSLF-FS 2018:54) om utfärdande av intyg inom hälso- och sjukvården m.m. Regleringen av ansvar finns i 2, 3, 4 </w:t>
      </w:r>
      <w:r w:rsidRPr="000E0C2B">
        <w:t>och</w:t>
      </w:r>
      <w:r w:rsidRPr="000E0C2B">
        <w:rPr>
          <w:rFonts w:eastAsiaTheme="majorEastAsia"/>
        </w:rPr>
        <w:t xml:space="preserve"> 5 kap [4]. </w:t>
      </w:r>
    </w:p>
    <w:p w:rsidRPr="000E0C2B" w:rsidR="000E0C2B" w:rsidP="000E0C2B" w:rsidRDefault="000E0C2B" w14:paraId="3A636C4D" w14:textId="77777777">
      <w:pPr>
        <w:ind w:right="-143"/>
        <w:rPr>
          <w:rFonts w:eastAsiaTheme="majorEastAsia"/>
        </w:rPr>
      </w:pPr>
      <w:r w:rsidRPr="000E0C2B">
        <w:rPr>
          <w:rFonts w:eastAsiaTheme="majorEastAsia"/>
        </w:rPr>
        <w:t>Vårdgivaren, landstinget, ansvarar för att det finns ändamålsenliga rutiner för utfärdande av intyg och utlåtanden samt att berörda yrkesutövare fått adekvat utbildning och fortbildning i ämnet. Det är dessutom vårdgivarens ansvar att se till att det finns en etablerad samverkan med lokal polismyndighet. </w:t>
      </w:r>
    </w:p>
    <w:p w:rsidRPr="000E0C2B" w:rsidR="000E0C2B" w:rsidP="000E0C2B" w:rsidRDefault="000E0C2B" w14:paraId="133E891D" w14:textId="77777777">
      <w:pPr>
        <w:ind w:right="-143"/>
        <w:rPr>
          <w:rFonts w:eastAsiaTheme="majorEastAsia"/>
        </w:rPr>
      </w:pPr>
      <w:r w:rsidRPr="000E0C2B">
        <w:rPr>
          <w:rFonts w:eastAsiaTheme="majorEastAsia"/>
        </w:rPr>
        <w:t xml:space="preserve">Verksamhetschefen ansvarar bland annat för </w:t>
      </w:r>
      <w:r w:rsidRPr="000E0C2B">
        <w:t>att</w:t>
      </w:r>
      <w:r w:rsidRPr="000E0C2B">
        <w:rPr>
          <w:rFonts w:eastAsiaTheme="majorEastAsia"/>
        </w:rPr>
        <w:t xml:space="preserve"> det finns fastställda rutiner och fördelning av ansvar inom en verksamhet. Rutiner och ansvarsfördelning ska dokumenteras.</w:t>
      </w:r>
    </w:p>
    <w:p w:rsidRPr="00065A6B" w:rsidR="009A32ED" w:rsidP="009A32ED" w:rsidRDefault="009A32ED" w14:paraId="37C7076C" w14:textId="77777777">
      <w:pPr>
        <w:pStyle w:val="Rubrik2"/>
        <w:ind w:right="-143"/>
        <w:rPr>
          <w:color w:val="auto"/>
        </w:rPr>
      </w:pPr>
      <w:bookmarkStart w:name="_Toc100327192" w:id="9"/>
      <w:bookmarkStart w:name="_Toc181866761" w:id="10"/>
      <w:bookmarkEnd w:id="8"/>
      <w:r w:rsidRPr="00065A6B">
        <w:rPr>
          <w:color w:val="auto"/>
        </w:rPr>
        <w:t>Utförande</w:t>
      </w:r>
      <w:bookmarkEnd w:id="9"/>
      <w:bookmarkEnd w:id="10"/>
    </w:p>
    <w:p w:rsidRPr="000E0C2B" w:rsidR="000E0C2B" w:rsidP="000E0C2B" w:rsidRDefault="000E0C2B" w14:paraId="691CB101" w14:textId="3A21E72A">
      <w:pPr>
        <w:pStyle w:val="Rubrik3"/>
      </w:pPr>
      <w:r>
        <w:t>A</w:t>
      </w:r>
      <w:r w:rsidRPr="000E0C2B">
        <w:t>tt utfärda intyg </w:t>
      </w:r>
    </w:p>
    <w:p w:rsidRPr="000E0C2B" w:rsidR="000E0C2B" w:rsidP="000E0C2B" w:rsidRDefault="000E0C2B" w14:paraId="0CBF590B" w14:textId="77777777">
      <w:pPr>
        <w:ind w:right="-143"/>
      </w:pPr>
      <w:r w:rsidRPr="000E0C2B">
        <w:t>I Socialstyrelsens föreskrift (HSLF-FS 2018:54) om utfärdande av intyg inom hälso- och sjukvården m.m. anges förutsättningar för att utfärda intyg och utlåtanden [4]. Där anges att ett intyg ska utformas så att intygspersonen och mottagaren kan förstå förhållandena och värdera innebörden av uttalandena. Intyget ska vara fullständigt och entydigt och skrivas med en läslig text och på ett begripligt språk. Intyget ska innehålla uppgifter om: </w:t>
      </w:r>
    </w:p>
    <w:p w:rsidRPr="000E0C2B" w:rsidR="000E0C2B" w:rsidP="000E0C2B" w:rsidRDefault="000E0C2B" w14:paraId="23C7C122" w14:textId="77777777">
      <w:pPr>
        <w:pStyle w:val="Liststycke"/>
        <w:numPr>
          <w:ilvl w:val="0"/>
          <w:numId w:val="24"/>
        </w:numPr>
      </w:pPr>
      <w:r w:rsidRPr="000E0C2B">
        <w:t>Ändamålet med intyget. </w:t>
      </w:r>
    </w:p>
    <w:p w:rsidRPr="000E0C2B" w:rsidR="000E0C2B" w:rsidP="000E0C2B" w:rsidRDefault="000E0C2B" w14:paraId="4148E96D" w14:textId="77777777">
      <w:pPr>
        <w:pStyle w:val="Liststycke"/>
        <w:numPr>
          <w:ilvl w:val="0"/>
          <w:numId w:val="24"/>
        </w:numPr>
      </w:pPr>
      <w:r w:rsidRPr="000E0C2B">
        <w:t>Intygspersonens identitet beskrivna på ett sådant sätt att han eller hon inte kan förväxlas med någon annan. Namn och personnummer/samordningsnummer kan ersättas med en adekvat beskrivning av personens identitet. </w:t>
      </w:r>
    </w:p>
    <w:p w:rsidRPr="000E0C2B" w:rsidR="000E0C2B" w:rsidP="000E0C2B" w:rsidRDefault="000E0C2B" w14:paraId="252FDDA8" w14:textId="77777777">
      <w:pPr>
        <w:pStyle w:val="Liststycke"/>
        <w:numPr>
          <w:ilvl w:val="0"/>
          <w:numId w:val="24"/>
        </w:numPr>
      </w:pPr>
      <w:r w:rsidRPr="000E0C2B">
        <w:t>Hur identiteten har styrkts. </w:t>
      </w:r>
    </w:p>
    <w:p w:rsidR="000E0C2B" w:rsidP="000E0C2B" w:rsidRDefault="000E0C2B" w14:paraId="38572E74" w14:textId="77777777">
      <w:pPr>
        <w:pStyle w:val="Liststycke"/>
        <w:numPr>
          <w:ilvl w:val="0"/>
          <w:numId w:val="24"/>
        </w:numPr>
      </w:pPr>
      <w:r w:rsidRPr="000E0C2B">
        <w:t>Intygsutfärdarens namn, kompetens, tjänsteställning/befattning, tjänsteställe, adress och telefonnummer. </w:t>
      </w:r>
    </w:p>
    <w:p w:rsidRPr="000E0C2B" w:rsidR="000E0C2B" w:rsidP="000E0C2B" w:rsidRDefault="000E0C2B" w14:paraId="2EDC70A0" w14:textId="77777777">
      <w:pPr>
        <w:pStyle w:val="Liststycke"/>
        <w:numPr>
          <w:ilvl w:val="0"/>
          <w:numId w:val="24"/>
        </w:numPr>
      </w:pPr>
      <w:r w:rsidRPr="000E0C2B">
        <w:t>Om intyget ska åberopas vid domstol eller annat rättsförhållande ska </w:t>
      </w:r>
      <w:r w:rsidRPr="000E0C2B">
        <w:br/>
      </w:r>
      <w:r w:rsidRPr="000E0C2B">
        <w:t>detta särskilt anges i intyget. Intyget ska dateras och undertecknas av  </w:t>
      </w:r>
      <w:r w:rsidRPr="000E0C2B">
        <w:br/>
      </w:r>
      <w:r w:rsidRPr="000E0C2B">
        <w:t>intygsutfärdaren, se 6 kap. </w:t>
      </w:r>
    </w:p>
    <w:p w:rsidRPr="000E0C2B" w:rsidR="000E0C2B" w:rsidP="000E0C2B" w:rsidRDefault="000E0C2B" w14:paraId="59D97DE5" w14:textId="77777777">
      <w:pPr>
        <w:pStyle w:val="Liststycke"/>
        <w:numPr>
          <w:ilvl w:val="0"/>
          <w:numId w:val="24"/>
        </w:numPr>
      </w:pPr>
      <w:r w:rsidRPr="000E0C2B">
        <w:t>Intygsutfärdaren ska beakta att intyget kan få en avgörande betydelse i offentliga och enskilda rättsförhållanden och endast uttala sig om förhållanden som han/hon har tillräcklig kännedom om. Det ska tydligt framgå vad som är intygsutfärdarens egna uttalanden och vilka uppgifter som härrör från intygspersonen eller andra, se 6 kap. </w:t>
      </w:r>
    </w:p>
    <w:p w:rsidRPr="000E0C2B" w:rsidR="000E0C2B" w:rsidP="000E0C2B" w:rsidRDefault="000E0C2B" w14:paraId="07BF96E2" w14:textId="77777777">
      <w:pPr>
        <w:pStyle w:val="Liststycke"/>
        <w:numPr>
          <w:ilvl w:val="0"/>
          <w:numId w:val="24"/>
        </w:numPr>
      </w:pPr>
      <w:r w:rsidRPr="000E0C2B">
        <w:t>Intyget ska innehålla noggranna uppgifter om undersökningar, upplysningar, journalhandlingar och andra handlingar som ligger till grund för bedömningen. Symtom och iakttagelser som framkommit vid personlig undersökning ska redovisas, samt vilka av dessa och vi vilka avseenden de ligger till grund för bedömningen, se 5 kap. </w:t>
      </w:r>
    </w:p>
    <w:p w:rsidRPr="000E0C2B" w:rsidR="000E0C2B" w:rsidP="000E0C2B" w:rsidRDefault="000E0C2B" w14:paraId="5C0C03AA" w14:textId="77777777">
      <w:pPr>
        <w:pStyle w:val="Liststycke"/>
        <w:numPr>
          <w:ilvl w:val="0"/>
          <w:numId w:val="24"/>
        </w:numPr>
      </w:pPr>
      <w:r w:rsidRPr="000E0C2B">
        <w:t>Vid utfärdande av intyg, förtydliga gärna att det grundas på tillgänglig  </w:t>
      </w:r>
      <w:r w:rsidRPr="000E0C2B">
        <w:br/>
      </w:r>
      <w:r w:rsidRPr="000E0C2B">
        <w:t>information och vari denna information består, för att markera vad som är grunden till bedömningen. </w:t>
      </w:r>
    </w:p>
    <w:p w:rsidRPr="000E0C2B" w:rsidR="000E0C2B" w:rsidP="000E0C2B" w:rsidRDefault="000E0C2B" w14:paraId="53F56700" w14:textId="77777777">
      <w:pPr>
        <w:pStyle w:val="Liststycke"/>
        <w:numPr>
          <w:ilvl w:val="0"/>
          <w:numId w:val="24"/>
        </w:numPr>
      </w:pPr>
      <w:r w:rsidRPr="000E0C2B">
        <w:t>Intygsutfärdaren ska informera intygspersonen om de undersökningar, uppgifter och upplysningar som krävs för intyget. Informationen ska uppfylla kraven i kap 5 och 6 samt 6 kap i patientsäkerhetslagen (2010:659). Utredningen ska genomföras med respekt för intygspersonens självbestämmande, integritet och värdighet [1]. </w:t>
      </w:r>
    </w:p>
    <w:p w:rsidR="009A32ED" w:rsidP="009A32ED" w:rsidRDefault="009A32ED" w14:paraId="55F2C9B3" w14:textId="77777777">
      <w:pPr>
        <w:pStyle w:val="MellanrubrikVGR"/>
        <w:ind w:right="-143"/>
      </w:pPr>
      <w:r>
        <w:t>Uppföljning</w:t>
      </w:r>
    </w:p>
    <w:p w:rsidR="000E0C2B" w:rsidP="000E0C2B" w:rsidRDefault="000E0C2B" w14:paraId="5E30BAA2" w14:textId="45557192">
      <w:pPr>
        <w:ind w:right="-143"/>
      </w:pPr>
      <w:r w:rsidRPr="000E0C2B">
        <w:t>Verksamhetschefen ska fortlöpande följa upp och säkerställa att verksamheten och rutinerna och ansvarsfördelningen uppfyller kvalitets- och säkerhetskraven i HSLF-FS 2018:54 [4]. </w:t>
      </w:r>
    </w:p>
    <w:p w:rsidR="009A32ED" w:rsidP="009A32ED" w:rsidRDefault="009A32ED" w14:paraId="0E74B431" w14:textId="396198AF">
      <w:pPr>
        <w:ind w:right="-143"/>
      </w:pPr>
      <w:r>
        <w:t xml:space="preserve"> </w:t>
      </w:r>
    </w:p>
    <w:p w:rsidRPr="000D04ED" w:rsidR="009A32ED" w:rsidP="009A32ED" w:rsidRDefault="009A32ED" w14:paraId="188AE2C8" w14:textId="77777777">
      <w:pPr>
        <w:pStyle w:val="Rubrik2"/>
        <w:ind w:right="-143"/>
      </w:pPr>
      <w:bookmarkStart w:name="_Toc100327195" w:id="11"/>
      <w:bookmarkStart w:name="_Toc181866764" w:id="12"/>
      <w:r w:rsidRPr="000D04ED">
        <w:t>Källförteckning</w:t>
      </w:r>
      <w:bookmarkEnd w:id="11"/>
      <w:bookmarkEnd w:id="12"/>
    </w:p>
    <w:p w:rsidRPr="000E0C2B" w:rsidR="000E0C2B" w:rsidP="000E0C2B" w:rsidRDefault="000E0C2B" w14:paraId="234F2DCA" w14:textId="77777777">
      <w:pPr>
        <w:numPr>
          <w:ilvl w:val="0"/>
          <w:numId w:val="30"/>
        </w:numPr>
        <w:ind w:right="-143"/>
      </w:pPr>
      <w:r w:rsidRPr="000E0C2B">
        <w:t>Patientsäkerhetslag (SFS 2010:659). Svensk författningssamling. </w:t>
      </w:r>
      <w:r w:rsidRPr="000E0C2B">
        <w:br/>
      </w:r>
      <w:hyperlink w:tgtFrame="_blank" w:history="1" r:id="rId11">
        <w:r w:rsidRPr="000E0C2B">
          <w:rPr>
            <w:rStyle w:val="Hyperlnk"/>
          </w:rPr>
          <w:t>www.riksdagen.se</w:t>
        </w:r>
      </w:hyperlink>
      <w:r w:rsidRPr="000E0C2B">
        <w:t xml:space="preserve"> under rubrik </w:t>
      </w:r>
      <w:r w:rsidRPr="000E0C2B">
        <w:rPr>
          <w:i/>
          <w:iCs/>
        </w:rPr>
        <w:t>Dokument &amp; lagar</w:t>
      </w:r>
      <w:r w:rsidRPr="000E0C2B">
        <w:t> </w:t>
      </w:r>
    </w:p>
    <w:p w:rsidRPr="000E0C2B" w:rsidR="000E0C2B" w:rsidP="000E0C2B" w:rsidRDefault="000E0C2B" w14:paraId="2F9C65CA" w14:textId="77777777">
      <w:pPr>
        <w:numPr>
          <w:ilvl w:val="0"/>
          <w:numId w:val="31"/>
        </w:numPr>
        <w:ind w:right="-143"/>
      </w:pPr>
      <w:r w:rsidRPr="000E0C2B">
        <w:t>Patientdatalag (SFS 2008:355). Svensk författningssamling </w:t>
      </w:r>
      <w:r w:rsidRPr="000E0C2B">
        <w:br/>
      </w:r>
      <w:hyperlink w:tgtFrame="_blank" w:history="1" r:id="rId12">
        <w:r w:rsidRPr="000E0C2B">
          <w:rPr>
            <w:rStyle w:val="Hyperlnk"/>
          </w:rPr>
          <w:t>www.riksdagen.se</w:t>
        </w:r>
      </w:hyperlink>
      <w:r w:rsidRPr="000E0C2B">
        <w:t xml:space="preserve"> under rubrik </w:t>
      </w:r>
      <w:r w:rsidRPr="000E0C2B">
        <w:rPr>
          <w:i/>
          <w:iCs/>
        </w:rPr>
        <w:t>Dokument &amp; lagar</w:t>
      </w:r>
      <w:r w:rsidRPr="000E0C2B">
        <w:t> </w:t>
      </w:r>
    </w:p>
    <w:p w:rsidRPr="000E0C2B" w:rsidR="000E0C2B" w:rsidP="000E0C2B" w:rsidRDefault="000E0C2B" w14:paraId="1DF9D432" w14:textId="77777777">
      <w:pPr>
        <w:numPr>
          <w:ilvl w:val="0"/>
          <w:numId w:val="32"/>
        </w:numPr>
        <w:ind w:right="-143"/>
      </w:pPr>
      <w:r w:rsidRPr="000E0C2B">
        <w:t>Lagen (SFS 2005:225) om rättsintyg. Svensk författningssamling </w:t>
      </w:r>
      <w:r w:rsidRPr="000E0C2B">
        <w:br/>
      </w:r>
      <w:hyperlink w:tgtFrame="_blank" w:history="1" r:id="rId13">
        <w:r w:rsidRPr="000E0C2B">
          <w:rPr>
            <w:rStyle w:val="Hyperlnk"/>
          </w:rPr>
          <w:t>www.riksdagen.se</w:t>
        </w:r>
      </w:hyperlink>
      <w:r w:rsidRPr="000E0C2B">
        <w:t xml:space="preserve"> under </w:t>
      </w:r>
      <w:r w:rsidRPr="000E0C2B">
        <w:rPr>
          <w:i/>
          <w:iCs/>
        </w:rPr>
        <w:t>Dokument &amp; lagar</w:t>
      </w:r>
      <w:r w:rsidRPr="000E0C2B">
        <w:t> </w:t>
      </w:r>
    </w:p>
    <w:p w:rsidRPr="000E0C2B" w:rsidR="000E0C2B" w:rsidP="000E0C2B" w:rsidRDefault="000E0C2B" w14:paraId="144E4587" w14:textId="77777777">
      <w:pPr>
        <w:numPr>
          <w:ilvl w:val="0"/>
          <w:numId w:val="33"/>
        </w:numPr>
        <w:ind w:right="-143"/>
      </w:pPr>
      <w:r w:rsidRPr="000E0C2B">
        <w:t>Socialstyrelsens föreskrifter om att utfärda intyg i hälso- och sjukvården (HSLF-FS 2018:54). Socialstyrelsens författningssamling </w:t>
      </w:r>
      <w:r w:rsidRPr="000E0C2B">
        <w:br/>
      </w:r>
      <w:r w:rsidRPr="000E0C2B">
        <w:rPr>
          <w:u w:val="single"/>
        </w:rPr>
        <w:t>www.socialstyrelsen.se/kunskapsstod-och-regler/regler-och-riktlinjer/foreskrifter-och-allmanna-rad/konsoliderade-foreskrifter/201854-om-att-utfarda-intyg-i-halso--och-sjukvarden2</w:t>
      </w:r>
      <w:r w:rsidRPr="000E0C2B">
        <w:t> </w:t>
      </w:r>
    </w:p>
    <w:p w:rsidR="009C6C0C" w:rsidP="000E0C2B" w:rsidRDefault="009C6C0C" w14:paraId="40AA233F" w14:textId="6A142EAA">
      <w:pPr>
        <w:ind w:right="-143"/>
      </w:pPr>
    </w:p>
    <w:sectPr w:rsidR="009C6C0C" w:rsidSect="00B96AFF">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A1FBE" w:rsidRDefault="006A1FBE" w14:paraId="21E5DBF6" w14:textId="77777777">
      <w:r>
        <w:separator/>
      </w:r>
    </w:p>
  </w:endnote>
  <w:endnote w:type="continuationSeparator" w:id="0">
    <w:p w:rsidR="006A1FBE" w:rsidRDefault="006A1FBE" w14:paraId="0E7C9EB6" w14:textId="77777777">
      <w:r>
        <w:continuationSeparator/>
      </w:r>
    </w:p>
  </w:endnote>
  <w:endnote w:type="continuationNotice" w:id="1">
    <w:p w:rsidR="006A1FBE" w:rsidRDefault="006A1FBE" w14:paraId="2A341AD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6A1FBE"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A1FBE" w:rsidRDefault="006A1FBE" w14:paraId="6DA3763E" w14:textId="77777777"/>
  </w:footnote>
  <w:footnote w:type="continuationSeparator" w:id="0">
    <w:p w:rsidR="006A1FBE" w:rsidRDefault="006A1FBE" w14:paraId="0C1E1711" w14:textId="77777777">
      <w:r>
        <w:continuationSeparator/>
      </w:r>
    </w:p>
  </w:footnote>
  <w:footnote w:type="continuationNotice" w:id="1">
    <w:p w:rsidR="006A1FBE" w:rsidRDefault="006A1FBE" w14:paraId="15EFB27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5F328B1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0B3138E1">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2A168A"/>
    <w:multiLevelType w:val="multilevel"/>
    <w:tmpl w:val="BF162C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8403E49"/>
    <w:multiLevelType w:val="multilevel"/>
    <w:tmpl w:val="8BB8A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2C1FD4"/>
    <w:multiLevelType w:val="multilevel"/>
    <w:tmpl w:val="8098B5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127969E8"/>
    <w:multiLevelType w:val="multilevel"/>
    <w:tmpl w:val="548CD0D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AB9471C"/>
    <w:multiLevelType w:val="multilevel"/>
    <w:tmpl w:val="6C8210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2FE645BF"/>
    <w:multiLevelType w:val="multilevel"/>
    <w:tmpl w:val="D1FEA9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30B306D2"/>
    <w:multiLevelType w:val="multilevel"/>
    <w:tmpl w:val="AE70A7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3D396D61"/>
    <w:multiLevelType w:val="multilevel"/>
    <w:tmpl w:val="FB42B3C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4A2E1C8F"/>
    <w:multiLevelType w:val="multilevel"/>
    <w:tmpl w:val="7F82435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BB940FF"/>
    <w:multiLevelType w:val="multilevel"/>
    <w:tmpl w:val="4DDC7B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4EE20384"/>
    <w:multiLevelType w:val="multilevel"/>
    <w:tmpl w:val="2312E9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611159F"/>
    <w:multiLevelType w:val="multilevel"/>
    <w:tmpl w:val="596044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73E153BD"/>
    <w:multiLevelType w:val="hybridMultilevel"/>
    <w:tmpl w:val="712293C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1" w15:restartNumberingAfterBreak="0">
    <w:nsid w:val="7EE86BD2"/>
    <w:multiLevelType w:val="multilevel"/>
    <w:tmpl w:val="6C2A08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909921896">
    <w:abstractNumId w:val="30"/>
  </w:num>
  <w:num w:numId="2" w16cid:durableId="1367871050">
    <w:abstractNumId w:val="26"/>
  </w:num>
  <w:num w:numId="3" w16cid:durableId="164058872">
    <w:abstractNumId w:val="0"/>
  </w:num>
  <w:num w:numId="4" w16cid:durableId="861477783">
    <w:abstractNumId w:val="10"/>
  </w:num>
  <w:num w:numId="5" w16cid:durableId="1280868239">
    <w:abstractNumId w:val="27"/>
  </w:num>
  <w:num w:numId="6" w16cid:durableId="444931515">
    <w:abstractNumId w:val="2"/>
  </w:num>
  <w:num w:numId="7" w16cid:durableId="739910959">
    <w:abstractNumId w:val="19"/>
  </w:num>
  <w:num w:numId="8" w16cid:durableId="391579451">
    <w:abstractNumId w:val="15"/>
  </w:num>
  <w:num w:numId="9" w16cid:durableId="1296368398">
    <w:abstractNumId w:val="1"/>
  </w:num>
  <w:num w:numId="10" w16cid:durableId="689646344">
    <w:abstractNumId w:val="1"/>
  </w:num>
  <w:num w:numId="11" w16cid:durableId="1979215945">
    <w:abstractNumId w:val="4"/>
  </w:num>
  <w:num w:numId="12" w16cid:durableId="830874331">
    <w:abstractNumId w:val="8"/>
  </w:num>
  <w:num w:numId="13" w16cid:durableId="57095060">
    <w:abstractNumId w:val="24"/>
  </w:num>
  <w:num w:numId="14" w16cid:durableId="36130748">
    <w:abstractNumId w:val="16"/>
  </w:num>
  <w:num w:numId="15" w16cid:durableId="560679449">
    <w:abstractNumId w:val="11"/>
  </w:num>
  <w:num w:numId="16" w16cid:durableId="1420566503">
    <w:abstractNumId w:val="23"/>
  </w:num>
  <w:num w:numId="17" w16cid:durableId="256527698">
    <w:abstractNumId w:val="9"/>
  </w:num>
  <w:num w:numId="18" w16cid:durableId="1090539201">
    <w:abstractNumId w:val="18"/>
  </w:num>
  <w:num w:numId="19" w16cid:durableId="1846439597">
    <w:abstractNumId w:val="29"/>
  </w:num>
  <w:num w:numId="20" w16cid:durableId="1205631394">
    <w:abstractNumId w:val="31"/>
  </w:num>
  <w:num w:numId="21" w16cid:durableId="1927151857">
    <w:abstractNumId w:val="7"/>
  </w:num>
  <w:num w:numId="22" w16cid:durableId="573904330">
    <w:abstractNumId w:val="25"/>
  </w:num>
  <w:num w:numId="23" w16cid:durableId="1855261618">
    <w:abstractNumId w:val="6"/>
  </w:num>
  <w:num w:numId="24" w16cid:durableId="138767009">
    <w:abstractNumId w:val="28"/>
  </w:num>
  <w:num w:numId="25" w16cid:durableId="1477532926">
    <w:abstractNumId w:val="3"/>
  </w:num>
  <w:num w:numId="26" w16cid:durableId="1010259078">
    <w:abstractNumId w:val="21"/>
  </w:num>
  <w:num w:numId="27" w16cid:durableId="1410613342">
    <w:abstractNumId w:val="22"/>
  </w:num>
  <w:num w:numId="28" w16cid:durableId="932711382">
    <w:abstractNumId w:val="12"/>
  </w:num>
  <w:num w:numId="29" w16cid:durableId="1701280837">
    <w:abstractNumId w:val="13"/>
  </w:num>
  <w:num w:numId="30" w16cid:durableId="1241719512">
    <w:abstractNumId w:val="5"/>
  </w:num>
  <w:num w:numId="31" w16cid:durableId="269900713">
    <w:abstractNumId w:val="17"/>
  </w:num>
  <w:num w:numId="32" w16cid:durableId="346443861">
    <w:abstractNumId w:val="14"/>
  </w:num>
  <w:num w:numId="33" w16cid:durableId="2061057067">
    <w:abstractNumId w:val="2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0C2B"/>
    <w:rsid w:val="000E463B"/>
    <w:rsid w:val="000E4F35"/>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1FBE"/>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48F3"/>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55DCB"/>
    <w:rsid w:val="00D62468"/>
    <w:rsid w:val="00D67C88"/>
    <w:rsid w:val="00D85218"/>
    <w:rsid w:val="00D915B1"/>
    <w:rsid w:val="00DA299D"/>
    <w:rsid w:val="00DA65C4"/>
    <w:rsid w:val="00DE1BC0"/>
    <w:rsid w:val="00DE4447"/>
    <w:rsid w:val="00DE5DA2"/>
    <w:rsid w:val="00DE63C6"/>
    <w:rsid w:val="00DF0033"/>
    <w:rsid w:val="00DF2674"/>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274C"/>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6E33310"/>
    <w:rsid w:val="22B857F8"/>
    <w:rsid w:val="53ECD3A4"/>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47BD183-BC11-4EF1-91D1-6C46254DBBC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0E0C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704831">
      <w:bodyDiv w:val="1"/>
      <w:marLeft w:val="0"/>
      <w:marRight w:val="0"/>
      <w:marTop w:val="0"/>
      <w:marBottom w:val="0"/>
      <w:divBdr>
        <w:top w:val="none" w:sz="0" w:space="0" w:color="auto"/>
        <w:left w:val="none" w:sz="0" w:space="0" w:color="auto"/>
        <w:bottom w:val="none" w:sz="0" w:space="0" w:color="auto"/>
        <w:right w:val="none" w:sz="0" w:space="0" w:color="auto"/>
      </w:divBdr>
      <w:divsChild>
        <w:div w:id="653873398">
          <w:marLeft w:val="0"/>
          <w:marRight w:val="0"/>
          <w:marTop w:val="0"/>
          <w:marBottom w:val="0"/>
          <w:divBdr>
            <w:top w:val="none" w:sz="0" w:space="0" w:color="auto"/>
            <w:left w:val="none" w:sz="0" w:space="0" w:color="auto"/>
            <w:bottom w:val="none" w:sz="0" w:space="0" w:color="auto"/>
            <w:right w:val="none" w:sz="0" w:space="0" w:color="auto"/>
          </w:divBdr>
        </w:div>
        <w:div w:id="2065059357">
          <w:marLeft w:val="0"/>
          <w:marRight w:val="0"/>
          <w:marTop w:val="0"/>
          <w:marBottom w:val="0"/>
          <w:divBdr>
            <w:top w:val="none" w:sz="0" w:space="0" w:color="auto"/>
            <w:left w:val="none" w:sz="0" w:space="0" w:color="auto"/>
            <w:bottom w:val="none" w:sz="0" w:space="0" w:color="auto"/>
            <w:right w:val="none" w:sz="0" w:space="0" w:color="auto"/>
          </w:divBdr>
        </w:div>
        <w:div w:id="1338924454">
          <w:marLeft w:val="0"/>
          <w:marRight w:val="0"/>
          <w:marTop w:val="0"/>
          <w:marBottom w:val="0"/>
          <w:divBdr>
            <w:top w:val="none" w:sz="0" w:space="0" w:color="auto"/>
            <w:left w:val="none" w:sz="0" w:space="0" w:color="auto"/>
            <w:bottom w:val="none" w:sz="0" w:space="0" w:color="auto"/>
            <w:right w:val="none" w:sz="0" w:space="0" w:color="auto"/>
          </w:divBdr>
        </w:div>
        <w:div w:id="1555046963">
          <w:marLeft w:val="0"/>
          <w:marRight w:val="0"/>
          <w:marTop w:val="0"/>
          <w:marBottom w:val="0"/>
          <w:divBdr>
            <w:top w:val="none" w:sz="0" w:space="0" w:color="auto"/>
            <w:left w:val="none" w:sz="0" w:space="0" w:color="auto"/>
            <w:bottom w:val="none" w:sz="0" w:space="0" w:color="auto"/>
            <w:right w:val="none" w:sz="0" w:space="0" w:color="auto"/>
          </w:divBdr>
        </w:div>
      </w:divsChild>
    </w:div>
    <w:div w:id="174392654">
      <w:bodyDiv w:val="1"/>
      <w:marLeft w:val="0"/>
      <w:marRight w:val="0"/>
      <w:marTop w:val="0"/>
      <w:marBottom w:val="0"/>
      <w:divBdr>
        <w:top w:val="none" w:sz="0" w:space="0" w:color="auto"/>
        <w:left w:val="none" w:sz="0" w:space="0" w:color="auto"/>
        <w:bottom w:val="none" w:sz="0" w:space="0" w:color="auto"/>
        <w:right w:val="none" w:sz="0" w:space="0" w:color="auto"/>
      </w:divBdr>
      <w:divsChild>
        <w:div w:id="10109881">
          <w:marLeft w:val="0"/>
          <w:marRight w:val="0"/>
          <w:marTop w:val="0"/>
          <w:marBottom w:val="0"/>
          <w:divBdr>
            <w:top w:val="none" w:sz="0" w:space="0" w:color="auto"/>
            <w:left w:val="none" w:sz="0" w:space="0" w:color="auto"/>
            <w:bottom w:val="none" w:sz="0" w:space="0" w:color="auto"/>
            <w:right w:val="none" w:sz="0" w:space="0" w:color="auto"/>
          </w:divBdr>
        </w:div>
        <w:div w:id="530152057">
          <w:marLeft w:val="0"/>
          <w:marRight w:val="0"/>
          <w:marTop w:val="0"/>
          <w:marBottom w:val="0"/>
          <w:divBdr>
            <w:top w:val="none" w:sz="0" w:space="0" w:color="auto"/>
            <w:left w:val="none" w:sz="0" w:space="0" w:color="auto"/>
            <w:bottom w:val="none" w:sz="0" w:space="0" w:color="auto"/>
            <w:right w:val="none" w:sz="0" w:space="0" w:color="auto"/>
          </w:divBdr>
        </w:div>
        <w:div w:id="200016891">
          <w:marLeft w:val="0"/>
          <w:marRight w:val="0"/>
          <w:marTop w:val="0"/>
          <w:marBottom w:val="0"/>
          <w:divBdr>
            <w:top w:val="none" w:sz="0" w:space="0" w:color="auto"/>
            <w:left w:val="none" w:sz="0" w:space="0" w:color="auto"/>
            <w:bottom w:val="none" w:sz="0" w:space="0" w:color="auto"/>
            <w:right w:val="none" w:sz="0" w:space="0" w:color="auto"/>
          </w:divBdr>
        </w:div>
        <w:div w:id="123430466">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98473112">
      <w:bodyDiv w:val="1"/>
      <w:marLeft w:val="0"/>
      <w:marRight w:val="0"/>
      <w:marTop w:val="0"/>
      <w:marBottom w:val="0"/>
      <w:divBdr>
        <w:top w:val="none" w:sz="0" w:space="0" w:color="auto"/>
        <w:left w:val="none" w:sz="0" w:space="0" w:color="auto"/>
        <w:bottom w:val="none" w:sz="0" w:space="0" w:color="auto"/>
        <w:right w:val="none" w:sz="0" w:space="0" w:color="auto"/>
      </w:divBdr>
      <w:divsChild>
        <w:div w:id="2051033497">
          <w:marLeft w:val="0"/>
          <w:marRight w:val="0"/>
          <w:marTop w:val="0"/>
          <w:marBottom w:val="0"/>
          <w:divBdr>
            <w:top w:val="none" w:sz="0" w:space="0" w:color="auto"/>
            <w:left w:val="none" w:sz="0" w:space="0" w:color="auto"/>
            <w:bottom w:val="none" w:sz="0" w:space="0" w:color="auto"/>
            <w:right w:val="none" w:sz="0" w:space="0" w:color="auto"/>
          </w:divBdr>
        </w:div>
        <w:div w:id="379130433">
          <w:marLeft w:val="0"/>
          <w:marRight w:val="0"/>
          <w:marTop w:val="0"/>
          <w:marBottom w:val="0"/>
          <w:divBdr>
            <w:top w:val="none" w:sz="0" w:space="0" w:color="auto"/>
            <w:left w:val="none" w:sz="0" w:space="0" w:color="auto"/>
            <w:bottom w:val="none" w:sz="0" w:space="0" w:color="auto"/>
            <w:right w:val="none" w:sz="0" w:space="0" w:color="auto"/>
          </w:divBdr>
        </w:div>
        <w:div w:id="1449884896">
          <w:marLeft w:val="0"/>
          <w:marRight w:val="0"/>
          <w:marTop w:val="0"/>
          <w:marBottom w:val="0"/>
          <w:divBdr>
            <w:top w:val="none" w:sz="0" w:space="0" w:color="auto"/>
            <w:left w:val="none" w:sz="0" w:space="0" w:color="auto"/>
            <w:bottom w:val="none" w:sz="0" w:space="0" w:color="auto"/>
            <w:right w:val="none" w:sz="0" w:space="0" w:color="auto"/>
          </w:divBdr>
        </w:div>
        <w:div w:id="1522931871">
          <w:marLeft w:val="0"/>
          <w:marRight w:val="0"/>
          <w:marTop w:val="0"/>
          <w:marBottom w:val="0"/>
          <w:divBdr>
            <w:top w:val="none" w:sz="0" w:space="0" w:color="auto"/>
            <w:left w:val="none" w:sz="0" w:space="0" w:color="auto"/>
            <w:bottom w:val="none" w:sz="0" w:space="0" w:color="auto"/>
            <w:right w:val="none" w:sz="0" w:space="0" w:color="auto"/>
          </w:divBdr>
        </w:div>
      </w:divsChild>
    </w:div>
    <w:div w:id="703209687">
      <w:bodyDiv w:val="1"/>
      <w:marLeft w:val="0"/>
      <w:marRight w:val="0"/>
      <w:marTop w:val="0"/>
      <w:marBottom w:val="0"/>
      <w:divBdr>
        <w:top w:val="none" w:sz="0" w:space="0" w:color="auto"/>
        <w:left w:val="none" w:sz="0" w:space="0" w:color="auto"/>
        <w:bottom w:val="none" w:sz="0" w:space="0" w:color="auto"/>
        <w:right w:val="none" w:sz="0" w:space="0" w:color="auto"/>
      </w:divBdr>
      <w:divsChild>
        <w:div w:id="349525394">
          <w:marLeft w:val="0"/>
          <w:marRight w:val="0"/>
          <w:marTop w:val="0"/>
          <w:marBottom w:val="0"/>
          <w:divBdr>
            <w:top w:val="none" w:sz="0" w:space="0" w:color="auto"/>
            <w:left w:val="none" w:sz="0" w:space="0" w:color="auto"/>
            <w:bottom w:val="none" w:sz="0" w:space="0" w:color="auto"/>
            <w:right w:val="none" w:sz="0" w:space="0" w:color="auto"/>
          </w:divBdr>
        </w:div>
        <w:div w:id="1446537438">
          <w:marLeft w:val="0"/>
          <w:marRight w:val="0"/>
          <w:marTop w:val="0"/>
          <w:marBottom w:val="0"/>
          <w:divBdr>
            <w:top w:val="none" w:sz="0" w:space="0" w:color="auto"/>
            <w:left w:val="none" w:sz="0" w:space="0" w:color="auto"/>
            <w:bottom w:val="none" w:sz="0" w:space="0" w:color="auto"/>
            <w:right w:val="none" w:sz="0" w:space="0" w:color="auto"/>
          </w:divBdr>
        </w:div>
      </w:divsChild>
    </w:div>
    <w:div w:id="815026207">
      <w:bodyDiv w:val="1"/>
      <w:marLeft w:val="0"/>
      <w:marRight w:val="0"/>
      <w:marTop w:val="0"/>
      <w:marBottom w:val="0"/>
      <w:divBdr>
        <w:top w:val="none" w:sz="0" w:space="0" w:color="auto"/>
        <w:left w:val="none" w:sz="0" w:space="0" w:color="auto"/>
        <w:bottom w:val="none" w:sz="0" w:space="0" w:color="auto"/>
        <w:right w:val="none" w:sz="0" w:space="0" w:color="auto"/>
      </w:divBdr>
      <w:divsChild>
        <w:div w:id="2106994965">
          <w:marLeft w:val="0"/>
          <w:marRight w:val="0"/>
          <w:marTop w:val="0"/>
          <w:marBottom w:val="0"/>
          <w:divBdr>
            <w:top w:val="none" w:sz="0" w:space="0" w:color="auto"/>
            <w:left w:val="none" w:sz="0" w:space="0" w:color="auto"/>
            <w:bottom w:val="none" w:sz="0" w:space="0" w:color="auto"/>
            <w:right w:val="none" w:sz="0" w:space="0" w:color="auto"/>
          </w:divBdr>
        </w:div>
        <w:div w:id="100339527">
          <w:marLeft w:val="0"/>
          <w:marRight w:val="0"/>
          <w:marTop w:val="0"/>
          <w:marBottom w:val="0"/>
          <w:divBdr>
            <w:top w:val="none" w:sz="0" w:space="0" w:color="auto"/>
            <w:left w:val="none" w:sz="0" w:space="0" w:color="auto"/>
            <w:bottom w:val="none" w:sz="0" w:space="0" w:color="auto"/>
            <w:right w:val="none" w:sz="0" w:space="0" w:color="auto"/>
          </w:divBdr>
        </w:div>
        <w:div w:id="371461198">
          <w:marLeft w:val="0"/>
          <w:marRight w:val="0"/>
          <w:marTop w:val="0"/>
          <w:marBottom w:val="0"/>
          <w:divBdr>
            <w:top w:val="none" w:sz="0" w:space="0" w:color="auto"/>
            <w:left w:val="none" w:sz="0" w:space="0" w:color="auto"/>
            <w:bottom w:val="none" w:sz="0" w:space="0" w:color="auto"/>
            <w:right w:val="none" w:sz="0" w:space="0" w:color="auto"/>
          </w:divBdr>
        </w:div>
        <w:div w:id="328674348">
          <w:marLeft w:val="0"/>
          <w:marRight w:val="0"/>
          <w:marTop w:val="0"/>
          <w:marBottom w:val="0"/>
          <w:divBdr>
            <w:top w:val="none" w:sz="0" w:space="0" w:color="auto"/>
            <w:left w:val="none" w:sz="0" w:space="0" w:color="auto"/>
            <w:bottom w:val="none" w:sz="0" w:space="0" w:color="auto"/>
            <w:right w:val="none" w:sz="0" w:space="0" w:color="auto"/>
          </w:divBdr>
        </w:div>
      </w:divsChild>
    </w:div>
    <w:div w:id="850725320">
      <w:bodyDiv w:val="1"/>
      <w:marLeft w:val="0"/>
      <w:marRight w:val="0"/>
      <w:marTop w:val="0"/>
      <w:marBottom w:val="0"/>
      <w:divBdr>
        <w:top w:val="none" w:sz="0" w:space="0" w:color="auto"/>
        <w:left w:val="none" w:sz="0" w:space="0" w:color="auto"/>
        <w:bottom w:val="none" w:sz="0" w:space="0" w:color="auto"/>
        <w:right w:val="none" w:sz="0" w:space="0" w:color="auto"/>
      </w:divBdr>
      <w:divsChild>
        <w:div w:id="2022274407">
          <w:marLeft w:val="0"/>
          <w:marRight w:val="0"/>
          <w:marTop w:val="0"/>
          <w:marBottom w:val="0"/>
          <w:divBdr>
            <w:top w:val="none" w:sz="0" w:space="0" w:color="auto"/>
            <w:left w:val="none" w:sz="0" w:space="0" w:color="auto"/>
            <w:bottom w:val="none" w:sz="0" w:space="0" w:color="auto"/>
            <w:right w:val="none" w:sz="0" w:space="0" w:color="auto"/>
          </w:divBdr>
        </w:div>
        <w:div w:id="391194131">
          <w:marLeft w:val="0"/>
          <w:marRight w:val="0"/>
          <w:marTop w:val="0"/>
          <w:marBottom w:val="0"/>
          <w:divBdr>
            <w:top w:val="none" w:sz="0" w:space="0" w:color="auto"/>
            <w:left w:val="none" w:sz="0" w:space="0" w:color="auto"/>
            <w:bottom w:val="none" w:sz="0" w:space="0" w:color="auto"/>
            <w:right w:val="none" w:sz="0" w:space="0" w:color="auto"/>
          </w:divBdr>
        </w:div>
      </w:divsChild>
    </w:div>
    <w:div w:id="907571396">
      <w:bodyDiv w:val="1"/>
      <w:marLeft w:val="0"/>
      <w:marRight w:val="0"/>
      <w:marTop w:val="0"/>
      <w:marBottom w:val="0"/>
      <w:divBdr>
        <w:top w:val="none" w:sz="0" w:space="0" w:color="auto"/>
        <w:left w:val="none" w:sz="0" w:space="0" w:color="auto"/>
        <w:bottom w:val="none" w:sz="0" w:space="0" w:color="auto"/>
        <w:right w:val="none" w:sz="0" w:space="0" w:color="auto"/>
      </w:divBdr>
    </w:div>
    <w:div w:id="1068041738">
      <w:bodyDiv w:val="1"/>
      <w:marLeft w:val="0"/>
      <w:marRight w:val="0"/>
      <w:marTop w:val="0"/>
      <w:marBottom w:val="0"/>
      <w:divBdr>
        <w:top w:val="none" w:sz="0" w:space="0" w:color="auto"/>
        <w:left w:val="none" w:sz="0" w:space="0" w:color="auto"/>
        <w:bottom w:val="none" w:sz="0" w:space="0" w:color="auto"/>
        <w:right w:val="none" w:sz="0" w:space="0" w:color="auto"/>
      </w:divBdr>
    </w:div>
    <w:div w:id="1195196803">
      <w:bodyDiv w:val="1"/>
      <w:marLeft w:val="0"/>
      <w:marRight w:val="0"/>
      <w:marTop w:val="0"/>
      <w:marBottom w:val="0"/>
      <w:divBdr>
        <w:top w:val="none" w:sz="0" w:space="0" w:color="auto"/>
        <w:left w:val="none" w:sz="0" w:space="0" w:color="auto"/>
        <w:bottom w:val="none" w:sz="0" w:space="0" w:color="auto"/>
        <w:right w:val="none" w:sz="0" w:space="0" w:color="auto"/>
      </w:divBdr>
      <w:divsChild>
        <w:div w:id="166017617">
          <w:marLeft w:val="0"/>
          <w:marRight w:val="0"/>
          <w:marTop w:val="0"/>
          <w:marBottom w:val="0"/>
          <w:divBdr>
            <w:top w:val="none" w:sz="0" w:space="0" w:color="auto"/>
            <w:left w:val="none" w:sz="0" w:space="0" w:color="auto"/>
            <w:bottom w:val="none" w:sz="0" w:space="0" w:color="auto"/>
            <w:right w:val="none" w:sz="0" w:space="0" w:color="auto"/>
          </w:divBdr>
        </w:div>
        <w:div w:id="1518890660">
          <w:marLeft w:val="0"/>
          <w:marRight w:val="0"/>
          <w:marTop w:val="0"/>
          <w:marBottom w:val="0"/>
          <w:divBdr>
            <w:top w:val="none" w:sz="0" w:space="0" w:color="auto"/>
            <w:left w:val="none" w:sz="0" w:space="0" w:color="auto"/>
            <w:bottom w:val="none" w:sz="0" w:space="0" w:color="auto"/>
            <w:right w:val="none" w:sz="0" w:space="0" w:color="auto"/>
          </w:divBdr>
        </w:div>
        <w:div w:id="1025181392">
          <w:marLeft w:val="0"/>
          <w:marRight w:val="0"/>
          <w:marTop w:val="0"/>
          <w:marBottom w:val="0"/>
          <w:divBdr>
            <w:top w:val="none" w:sz="0" w:space="0" w:color="auto"/>
            <w:left w:val="none" w:sz="0" w:space="0" w:color="auto"/>
            <w:bottom w:val="none" w:sz="0" w:space="0" w:color="auto"/>
            <w:right w:val="none" w:sz="0" w:space="0" w:color="auto"/>
          </w:divBdr>
        </w:div>
        <w:div w:id="1588877566">
          <w:marLeft w:val="0"/>
          <w:marRight w:val="0"/>
          <w:marTop w:val="0"/>
          <w:marBottom w:val="0"/>
          <w:divBdr>
            <w:top w:val="none" w:sz="0" w:space="0" w:color="auto"/>
            <w:left w:val="none" w:sz="0" w:space="0" w:color="auto"/>
            <w:bottom w:val="none" w:sz="0" w:space="0" w:color="auto"/>
            <w:right w:val="none" w:sz="0" w:space="0" w:color="auto"/>
          </w:divBdr>
        </w:div>
        <w:div w:id="895746124">
          <w:marLeft w:val="0"/>
          <w:marRight w:val="0"/>
          <w:marTop w:val="0"/>
          <w:marBottom w:val="0"/>
          <w:divBdr>
            <w:top w:val="none" w:sz="0" w:space="0" w:color="auto"/>
            <w:left w:val="none" w:sz="0" w:space="0" w:color="auto"/>
            <w:bottom w:val="none" w:sz="0" w:space="0" w:color="auto"/>
            <w:right w:val="none" w:sz="0" w:space="0" w:color="auto"/>
          </w:divBdr>
        </w:div>
        <w:div w:id="2101488225">
          <w:marLeft w:val="0"/>
          <w:marRight w:val="0"/>
          <w:marTop w:val="0"/>
          <w:marBottom w:val="0"/>
          <w:divBdr>
            <w:top w:val="none" w:sz="0" w:space="0" w:color="auto"/>
            <w:left w:val="none" w:sz="0" w:space="0" w:color="auto"/>
            <w:bottom w:val="none" w:sz="0" w:space="0" w:color="auto"/>
            <w:right w:val="none" w:sz="0" w:space="0" w:color="auto"/>
          </w:divBdr>
        </w:div>
        <w:div w:id="1642072697">
          <w:marLeft w:val="0"/>
          <w:marRight w:val="0"/>
          <w:marTop w:val="0"/>
          <w:marBottom w:val="0"/>
          <w:divBdr>
            <w:top w:val="none" w:sz="0" w:space="0" w:color="auto"/>
            <w:left w:val="none" w:sz="0" w:space="0" w:color="auto"/>
            <w:bottom w:val="none" w:sz="0" w:space="0" w:color="auto"/>
            <w:right w:val="none" w:sz="0" w:space="0" w:color="auto"/>
          </w:divBdr>
        </w:div>
        <w:div w:id="1433548732">
          <w:marLeft w:val="0"/>
          <w:marRight w:val="0"/>
          <w:marTop w:val="0"/>
          <w:marBottom w:val="0"/>
          <w:divBdr>
            <w:top w:val="none" w:sz="0" w:space="0" w:color="auto"/>
            <w:left w:val="none" w:sz="0" w:space="0" w:color="auto"/>
            <w:bottom w:val="none" w:sz="0" w:space="0" w:color="auto"/>
            <w:right w:val="none" w:sz="0" w:space="0" w:color="auto"/>
          </w:divBdr>
        </w:div>
      </w:divsChild>
    </w:div>
    <w:div w:id="1220173183">
      <w:bodyDiv w:val="1"/>
      <w:marLeft w:val="0"/>
      <w:marRight w:val="0"/>
      <w:marTop w:val="0"/>
      <w:marBottom w:val="0"/>
      <w:divBdr>
        <w:top w:val="none" w:sz="0" w:space="0" w:color="auto"/>
        <w:left w:val="none" w:sz="0" w:space="0" w:color="auto"/>
        <w:bottom w:val="none" w:sz="0" w:space="0" w:color="auto"/>
        <w:right w:val="none" w:sz="0" w:space="0" w:color="auto"/>
      </w:divBdr>
      <w:divsChild>
        <w:div w:id="893930641">
          <w:marLeft w:val="0"/>
          <w:marRight w:val="0"/>
          <w:marTop w:val="0"/>
          <w:marBottom w:val="0"/>
          <w:divBdr>
            <w:top w:val="none" w:sz="0" w:space="0" w:color="auto"/>
            <w:left w:val="none" w:sz="0" w:space="0" w:color="auto"/>
            <w:bottom w:val="none" w:sz="0" w:space="0" w:color="auto"/>
            <w:right w:val="none" w:sz="0" w:space="0" w:color="auto"/>
          </w:divBdr>
        </w:div>
        <w:div w:id="167156321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61419816">
      <w:bodyDiv w:val="1"/>
      <w:marLeft w:val="0"/>
      <w:marRight w:val="0"/>
      <w:marTop w:val="0"/>
      <w:marBottom w:val="0"/>
      <w:divBdr>
        <w:top w:val="none" w:sz="0" w:space="0" w:color="auto"/>
        <w:left w:val="none" w:sz="0" w:space="0" w:color="auto"/>
        <w:bottom w:val="none" w:sz="0" w:space="0" w:color="auto"/>
        <w:right w:val="none" w:sz="0" w:space="0" w:color="auto"/>
      </w:divBdr>
      <w:divsChild>
        <w:div w:id="853879582">
          <w:marLeft w:val="0"/>
          <w:marRight w:val="0"/>
          <w:marTop w:val="0"/>
          <w:marBottom w:val="0"/>
          <w:divBdr>
            <w:top w:val="none" w:sz="0" w:space="0" w:color="auto"/>
            <w:left w:val="none" w:sz="0" w:space="0" w:color="auto"/>
            <w:bottom w:val="none" w:sz="0" w:space="0" w:color="auto"/>
            <w:right w:val="none" w:sz="0" w:space="0" w:color="auto"/>
          </w:divBdr>
        </w:div>
        <w:div w:id="745806098">
          <w:marLeft w:val="0"/>
          <w:marRight w:val="0"/>
          <w:marTop w:val="0"/>
          <w:marBottom w:val="0"/>
          <w:divBdr>
            <w:top w:val="none" w:sz="0" w:space="0" w:color="auto"/>
            <w:left w:val="none" w:sz="0" w:space="0" w:color="auto"/>
            <w:bottom w:val="none" w:sz="0" w:space="0" w:color="auto"/>
            <w:right w:val="none" w:sz="0" w:space="0" w:color="auto"/>
          </w:divBdr>
        </w:div>
        <w:div w:id="1742562236">
          <w:marLeft w:val="0"/>
          <w:marRight w:val="0"/>
          <w:marTop w:val="0"/>
          <w:marBottom w:val="0"/>
          <w:divBdr>
            <w:top w:val="none" w:sz="0" w:space="0" w:color="auto"/>
            <w:left w:val="none" w:sz="0" w:space="0" w:color="auto"/>
            <w:bottom w:val="none" w:sz="0" w:space="0" w:color="auto"/>
            <w:right w:val="none" w:sz="0" w:space="0" w:color="auto"/>
          </w:divBdr>
        </w:div>
        <w:div w:id="992486525">
          <w:marLeft w:val="0"/>
          <w:marRight w:val="0"/>
          <w:marTop w:val="0"/>
          <w:marBottom w:val="0"/>
          <w:divBdr>
            <w:top w:val="none" w:sz="0" w:space="0" w:color="auto"/>
            <w:left w:val="none" w:sz="0" w:space="0" w:color="auto"/>
            <w:bottom w:val="none" w:sz="0" w:space="0" w:color="auto"/>
            <w:right w:val="none" w:sz="0" w:space="0" w:color="auto"/>
          </w:divBdr>
        </w:div>
      </w:divsChild>
    </w:div>
    <w:div w:id="1481993460">
      <w:bodyDiv w:val="1"/>
      <w:marLeft w:val="0"/>
      <w:marRight w:val="0"/>
      <w:marTop w:val="0"/>
      <w:marBottom w:val="0"/>
      <w:divBdr>
        <w:top w:val="none" w:sz="0" w:space="0" w:color="auto"/>
        <w:left w:val="none" w:sz="0" w:space="0" w:color="auto"/>
        <w:bottom w:val="none" w:sz="0" w:space="0" w:color="auto"/>
        <w:right w:val="none" w:sz="0" w:space="0" w:color="auto"/>
      </w:divBdr>
    </w:div>
    <w:div w:id="1499037229">
      <w:bodyDiv w:val="1"/>
      <w:marLeft w:val="0"/>
      <w:marRight w:val="0"/>
      <w:marTop w:val="0"/>
      <w:marBottom w:val="0"/>
      <w:divBdr>
        <w:top w:val="none" w:sz="0" w:space="0" w:color="auto"/>
        <w:left w:val="none" w:sz="0" w:space="0" w:color="auto"/>
        <w:bottom w:val="none" w:sz="0" w:space="0" w:color="auto"/>
        <w:right w:val="none" w:sz="0" w:space="0" w:color="auto"/>
      </w:divBdr>
      <w:divsChild>
        <w:div w:id="1327250014">
          <w:marLeft w:val="0"/>
          <w:marRight w:val="0"/>
          <w:marTop w:val="0"/>
          <w:marBottom w:val="0"/>
          <w:divBdr>
            <w:top w:val="none" w:sz="0" w:space="0" w:color="auto"/>
            <w:left w:val="none" w:sz="0" w:space="0" w:color="auto"/>
            <w:bottom w:val="none" w:sz="0" w:space="0" w:color="auto"/>
            <w:right w:val="none" w:sz="0" w:space="0" w:color="auto"/>
          </w:divBdr>
        </w:div>
        <w:div w:id="1741369561">
          <w:marLeft w:val="0"/>
          <w:marRight w:val="0"/>
          <w:marTop w:val="0"/>
          <w:marBottom w:val="0"/>
          <w:divBdr>
            <w:top w:val="none" w:sz="0" w:space="0" w:color="auto"/>
            <w:left w:val="none" w:sz="0" w:space="0" w:color="auto"/>
            <w:bottom w:val="none" w:sz="0" w:space="0" w:color="auto"/>
            <w:right w:val="none" w:sz="0" w:space="0" w:color="auto"/>
          </w:divBdr>
        </w:div>
        <w:div w:id="72288085">
          <w:marLeft w:val="0"/>
          <w:marRight w:val="0"/>
          <w:marTop w:val="0"/>
          <w:marBottom w:val="0"/>
          <w:divBdr>
            <w:top w:val="none" w:sz="0" w:space="0" w:color="auto"/>
            <w:left w:val="none" w:sz="0" w:space="0" w:color="auto"/>
            <w:bottom w:val="none" w:sz="0" w:space="0" w:color="auto"/>
            <w:right w:val="none" w:sz="0" w:space="0" w:color="auto"/>
          </w:divBdr>
        </w:div>
        <w:div w:id="1919828322">
          <w:marLeft w:val="0"/>
          <w:marRight w:val="0"/>
          <w:marTop w:val="0"/>
          <w:marBottom w:val="0"/>
          <w:divBdr>
            <w:top w:val="none" w:sz="0" w:space="0" w:color="auto"/>
            <w:left w:val="none" w:sz="0" w:space="0" w:color="auto"/>
            <w:bottom w:val="none" w:sz="0" w:space="0" w:color="auto"/>
            <w:right w:val="none" w:sz="0" w:space="0" w:color="auto"/>
          </w:divBdr>
        </w:div>
      </w:divsChild>
    </w:div>
    <w:div w:id="1556621164">
      <w:bodyDiv w:val="1"/>
      <w:marLeft w:val="0"/>
      <w:marRight w:val="0"/>
      <w:marTop w:val="0"/>
      <w:marBottom w:val="0"/>
      <w:divBdr>
        <w:top w:val="none" w:sz="0" w:space="0" w:color="auto"/>
        <w:left w:val="none" w:sz="0" w:space="0" w:color="auto"/>
        <w:bottom w:val="none" w:sz="0" w:space="0" w:color="auto"/>
        <w:right w:val="none" w:sz="0" w:space="0" w:color="auto"/>
      </w:divBdr>
      <w:divsChild>
        <w:div w:id="1192181418">
          <w:marLeft w:val="0"/>
          <w:marRight w:val="0"/>
          <w:marTop w:val="0"/>
          <w:marBottom w:val="0"/>
          <w:divBdr>
            <w:top w:val="none" w:sz="0" w:space="0" w:color="auto"/>
            <w:left w:val="none" w:sz="0" w:space="0" w:color="auto"/>
            <w:bottom w:val="none" w:sz="0" w:space="0" w:color="auto"/>
            <w:right w:val="none" w:sz="0" w:space="0" w:color="auto"/>
          </w:divBdr>
        </w:div>
        <w:div w:id="740447404">
          <w:marLeft w:val="0"/>
          <w:marRight w:val="0"/>
          <w:marTop w:val="0"/>
          <w:marBottom w:val="0"/>
          <w:divBdr>
            <w:top w:val="none" w:sz="0" w:space="0" w:color="auto"/>
            <w:left w:val="none" w:sz="0" w:space="0" w:color="auto"/>
            <w:bottom w:val="none" w:sz="0" w:space="0" w:color="auto"/>
            <w:right w:val="none" w:sz="0" w:space="0" w:color="auto"/>
          </w:divBdr>
        </w:div>
      </w:divsChild>
    </w:div>
    <w:div w:id="2042314791">
      <w:bodyDiv w:val="1"/>
      <w:marLeft w:val="0"/>
      <w:marRight w:val="0"/>
      <w:marTop w:val="0"/>
      <w:marBottom w:val="0"/>
      <w:divBdr>
        <w:top w:val="none" w:sz="0" w:space="0" w:color="auto"/>
        <w:left w:val="none" w:sz="0" w:space="0" w:color="auto"/>
        <w:bottom w:val="none" w:sz="0" w:space="0" w:color="auto"/>
        <w:right w:val="none" w:sz="0" w:space="0" w:color="auto"/>
      </w:divBdr>
      <w:divsChild>
        <w:div w:id="939987947">
          <w:marLeft w:val="0"/>
          <w:marRight w:val="0"/>
          <w:marTop w:val="0"/>
          <w:marBottom w:val="0"/>
          <w:divBdr>
            <w:top w:val="none" w:sz="0" w:space="0" w:color="auto"/>
            <w:left w:val="none" w:sz="0" w:space="0" w:color="auto"/>
            <w:bottom w:val="none" w:sz="0" w:space="0" w:color="auto"/>
            <w:right w:val="none" w:sz="0" w:space="0" w:color="auto"/>
          </w:divBdr>
        </w:div>
        <w:div w:id="782723752">
          <w:marLeft w:val="0"/>
          <w:marRight w:val="0"/>
          <w:marTop w:val="0"/>
          <w:marBottom w:val="0"/>
          <w:divBdr>
            <w:top w:val="none" w:sz="0" w:space="0" w:color="auto"/>
            <w:left w:val="none" w:sz="0" w:space="0" w:color="auto"/>
            <w:bottom w:val="none" w:sz="0" w:space="0" w:color="auto"/>
            <w:right w:val="none" w:sz="0" w:space="0" w:color="auto"/>
          </w:divBdr>
        </w:div>
        <w:div w:id="1696496565">
          <w:marLeft w:val="0"/>
          <w:marRight w:val="0"/>
          <w:marTop w:val="0"/>
          <w:marBottom w:val="0"/>
          <w:divBdr>
            <w:top w:val="none" w:sz="0" w:space="0" w:color="auto"/>
            <w:left w:val="none" w:sz="0" w:space="0" w:color="auto"/>
            <w:bottom w:val="none" w:sz="0" w:space="0" w:color="auto"/>
            <w:right w:val="none" w:sz="0" w:space="0" w:color="auto"/>
          </w:divBdr>
        </w:div>
        <w:div w:id="226496834">
          <w:marLeft w:val="0"/>
          <w:marRight w:val="0"/>
          <w:marTop w:val="0"/>
          <w:marBottom w:val="0"/>
          <w:divBdr>
            <w:top w:val="none" w:sz="0" w:space="0" w:color="auto"/>
            <w:left w:val="none" w:sz="0" w:space="0" w:color="auto"/>
            <w:bottom w:val="none" w:sz="0" w:space="0" w:color="auto"/>
            <w:right w:val="none" w:sz="0" w:space="0" w:color="auto"/>
          </w:divBdr>
        </w:div>
        <w:div w:id="533348807">
          <w:marLeft w:val="0"/>
          <w:marRight w:val="0"/>
          <w:marTop w:val="0"/>
          <w:marBottom w:val="0"/>
          <w:divBdr>
            <w:top w:val="none" w:sz="0" w:space="0" w:color="auto"/>
            <w:left w:val="none" w:sz="0" w:space="0" w:color="auto"/>
            <w:bottom w:val="none" w:sz="0" w:space="0" w:color="auto"/>
            <w:right w:val="none" w:sz="0" w:space="0" w:color="auto"/>
          </w:divBdr>
        </w:div>
        <w:div w:id="441195359">
          <w:marLeft w:val="0"/>
          <w:marRight w:val="0"/>
          <w:marTop w:val="0"/>
          <w:marBottom w:val="0"/>
          <w:divBdr>
            <w:top w:val="none" w:sz="0" w:space="0" w:color="auto"/>
            <w:left w:val="none" w:sz="0" w:space="0" w:color="auto"/>
            <w:bottom w:val="none" w:sz="0" w:space="0" w:color="auto"/>
            <w:right w:val="none" w:sz="0" w:space="0" w:color="auto"/>
          </w:divBdr>
        </w:div>
        <w:div w:id="712194957">
          <w:marLeft w:val="0"/>
          <w:marRight w:val="0"/>
          <w:marTop w:val="0"/>
          <w:marBottom w:val="0"/>
          <w:divBdr>
            <w:top w:val="none" w:sz="0" w:space="0" w:color="auto"/>
            <w:left w:val="none" w:sz="0" w:space="0" w:color="auto"/>
            <w:bottom w:val="none" w:sz="0" w:space="0" w:color="auto"/>
            <w:right w:val="none" w:sz="0" w:space="0" w:color="auto"/>
          </w:divBdr>
        </w:div>
        <w:div w:id="603924496">
          <w:marLeft w:val="0"/>
          <w:marRight w:val="0"/>
          <w:marTop w:val="0"/>
          <w:marBottom w:val="0"/>
          <w:divBdr>
            <w:top w:val="none" w:sz="0" w:space="0" w:color="auto"/>
            <w:left w:val="none" w:sz="0" w:space="0" w:color="auto"/>
            <w:bottom w:val="none" w:sz="0" w:space="0" w:color="auto"/>
            <w:right w:val="none" w:sz="0" w:space="0" w:color="auto"/>
          </w:divBdr>
        </w:div>
      </w:divsChild>
    </w:div>
    <w:div w:id="20720018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riksdagen.se/sv/dokument-lagar/dokument/svensk-forfattningssamling/lag-2005225-om-rattsintyg-i-anledning-av_sfs-2005-225"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www.riksdagen.se/sv/dokument-lagar/dokument/svensk-forfattningssamling/patientdatalag-2008355_sfs-2008-355"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www.riksdagen.se/sv/dokument-lagar/dokument/svensk-forfattningssamling/patientsakerhetslag-2010659_sfs-2010-659"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Intyg och utlåtanden inom hälso- och sjukvården</dc:title>
  <dc:subject/>
  <dc:creator/>
  <keywords/>
  <lastModifiedBy>Mona Johansson</lastModifiedBy>
  <revision>3</revision>
  <dcterms:created xsi:type="dcterms:W3CDTF">2025-11-18T08:18:00.0000000Z</dcterms:created>
  <dcterms:modified xsi:type="dcterms:W3CDTF">2025-11-18T08:18:52.0000000Z</dcterms:modified>
</coreProperties>
</file>