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4B32B" w14:textId="0B171329" w:rsidR="5D669AB7" w:rsidRDefault="5D669AB7" w:rsidP="00B659C4">
      <w:pPr>
        <w:pStyle w:val="Rubrik1"/>
      </w:pPr>
      <w:r w:rsidRPr="20EA8B50">
        <w:t xml:space="preserve">Tvillinggraviditet och förlossning </w:t>
      </w:r>
    </w:p>
    <w:p w14:paraId="2C10CEAC" w14:textId="77777777" w:rsidR="00B659C4" w:rsidRPr="00B659C4" w:rsidRDefault="00B659C4" w:rsidP="00B659C4">
      <w:pPr>
        <w:pStyle w:val="Rubrik2"/>
      </w:pPr>
      <w:bookmarkStart w:id="0" w:name="_Toc222228108"/>
      <w:r w:rsidRPr="00B659C4">
        <w:t>Förändringar sedan föregående version</w:t>
      </w:r>
      <w:bookmarkEnd w:id="0"/>
    </w:p>
    <w:p w14:paraId="6B05F1B1" w14:textId="01E0B1DD" w:rsidR="00B659C4" w:rsidRPr="00B659C4" w:rsidRDefault="00B659C4" w:rsidP="00B659C4">
      <w:r w:rsidRPr="20EA8B50">
        <w:t>Tillägg av övervakningsrutiner med CTG</w:t>
      </w:r>
    </w:p>
    <w:p w14:paraId="275180FF" w14:textId="716A9180" w:rsidR="5D669AB7" w:rsidRDefault="5D669AB7" w:rsidP="00B659C4">
      <w:pPr>
        <w:pStyle w:val="Rubrik2"/>
      </w:pPr>
      <w:bookmarkStart w:id="1" w:name="_Toc222228109"/>
      <w:r w:rsidRPr="20EA8B50">
        <w:t>Sammanfattning</w:t>
      </w:r>
      <w:bookmarkEnd w:id="1"/>
    </w:p>
    <w:p w14:paraId="550D1E07" w14:textId="25BB9612" w:rsidR="5D669AB7" w:rsidRDefault="5D669AB7" w:rsidP="00B659C4">
      <w:r w:rsidRPr="20EA8B50">
        <w:t>Diagnostik, graviditetsövervakning och förlossning vid tvillinggraviditet.</w:t>
      </w:r>
    </w:p>
    <w:p w14:paraId="20AF7D87" w14:textId="49FD9AF1" w:rsidR="5D669AB7" w:rsidRDefault="5D669AB7" w:rsidP="005A5029">
      <w:pPr>
        <w:pStyle w:val="Rubrik2"/>
      </w:pPr>
      <w:bookmarkStart w:id="2" w:name="_Toc222228110"/>
      <w:r w:rsidRPr="20EA8B50">
        <w:t>Innehållsförteckning</w:t>
      </w:r>
      <w:bookmarkEnd w:id="2"/>
    </w:p>
    <w:p w14:paraId="4218BBA2" w14:textId="0F2DA1D3" w:rsidR="003160AB" w:rsidRDefault="003160AB">
      <w:pPr>
        <w:pStyle w:val="Innehll2"/>
        <w:rPr>
          <w:rFonts w:asciiTheme="minorHAnsi" w:eastAsiaTheme="minorEastAsia" w:hAnsiTheme="minorHAnsi" w:cstheme="minorBidi"/>
          <w:noProof/>
          <w:kern w:val="2"/>
          <w14:ligatures w14:val="standardContextual"/>
        </w:rPr>
      </w:pPr>
      <w:r>
        <w:rPr>
          <w:rFonts w:eastAsia="Arial"/>
        </w:rPr>
        <w:fldChar w:fldCharType="begin"/>
      </w:r>
      <w:r>
        <w:rPr>
          <w:rFonts w:eastAsia="Arial"/>
        </w:rPr>
        <w:instrText xml:space="preserve"> TOC \o "2-3" \h \z \u \t "Rubrik;1" </w:instrText>
      </w:r>
      <w:r>
        <w:rPr>
          <w:rFonts w:eastAsia="Arial"/>
        </w:rPr>
        <w:fldChar w:fldCharType="separate"/>
      </w:r>
      <w:hyperlink w:anchor="_Toc222228108" w:history="1">
        <w:r w:rsidRPr="00A8668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_Toc222228108 \h </w:instrText>
        </w:r>
        <w:r>
          <w:rPr>
            <w:noProof/>
            <w:webHidden/>
          </w:rPr>
        </w:r>
        <w:r>
          <w:rPr>
            <w:noProof/>
            <w:webHidden/>
          </w:rPr>
          <w:fldChar w:fldCharType="separate"/>
        </w:r>
        <w:r>
          <w:rPr>
            <w:noProof/>
            <w:webHidden/>
          </w:rPr>
          <w:t>1</w:t>
        </w:r>
        <w:r>
          <w:rPr>
            <w:noProof/>
            <w:webHidden/>
          </w:rPr>
          <w:fldChar w:fldCharType="end"/>
        </w:r>
      </w:hyperlink>
    </w:p>
    <w:p w14:paraId="49E306EC" w14:textId="4835F497" w:rsidR="003160AB" w:rsidRDefault="003160AB">
      <w:pPr>
        <w:pStyle w:val="Innehll2"/>
        <w:rPr>
          <w:rFonts w:asciiTheme="minorHAnsi" w:eastAsiaTheme="minorEastAsia" w:hAnsiTheme="minorHAnsi" w:cstheme="minorBidi"/>
          <w:noProof/>
          <w:kern w:val="2"/>
          <w14:ligatures w14:val="standardContextual"/>
        </w:rPr>
      </w:pPr>
      <w:hyperlink w:anchor="_Toc222228109" w:history="1">
        <w:r w:rsidRPr="00A86689">
          <w:rPr>
            <w:rStyle w:val="Hyperlnk"/>
            <w:rFonts w:eastAsia="MS Gothic"/>
            <w:noProof/>
          </w:rPr>
          <w:t>Sammanfattning</w:t>
        </w:r>
        <w:r>
          <w:rPr>
            <w:noProof/>
            <w:webHidden/>
          </w:rPr>
          <w:tab/>
        </w:r>
        <w:r>
          <w:rPr>
            <w:noProof/>
            <w:webHidden/>
          </w:rPr>
          <w:fldChar w:fldCharType="begin"/>
        </w:r>
        <w:r>
          <w:rPr>
            <w:noProof/>
            <w:webHidden/>
          </w:rPr>
          <w:instrText xml:space="preserve"> PAGEREF _Toc222228109 \h </w:instrText>
        </w:r>
        <w:r>
          <w:rPr>
            <w:noProof/>
            <w:webHidden/>
          </w:rPr>
        </w:r>
        <w:r>
          <w:rPr>
            <w:noProof/>
            <w:webHidden/>
          </w:rPr>
          <w:fldChar w:fldCharType="separate"/>
        </w:r>
        <w:r>
          <w:rPr>
            <w:noProof/>
            <w:webHidden/>
          </w:rPr>
          <w:t>1</w:t>
        </w:r>
        <w:r>
          <w:rPr>
            <w:noProof/>
            <w:webHidden/>
          </w:rPr>
          <w:fldChar w:fldCharType="end"/>
        </w:r>
      </w:hyperlink>
    </w:p>
    <w:p w14:paraId="258D7A1B" w14:textId="5034127D" w:rsidR="003160AB" w:rsidRDefault="003160AB">
      <w:pPr>
        <w:pStyle w:val="Innehll2"/>
        <w:rPr>
          <w:rFonts w:asciiTheme="minorHAnsi" w:eastAsiaTheme="minorEastAsia" w:hAnsiTheme="minorHAnsi" w:cstheme="minorBidi"/>
          <w:noProof/>
          <w:kern w:val="2"/>
          <w14:ligatures w14:val="standardContextual"/>
        </w:rPr>
      </w:pPr>
      <w:hyperlink w:anchor="_Toc222228110" w:history="1">
        <w:r w:rsidRPr="00A86689">
          <w:rPr>
            <w:rStyle w:val="Hyperlnk"/>
            <w:rFonts w:eastAsia="MS Gothic"/>
            <w:noProof/>
          </w:rPr>
          <w:t>Innehållsförteckning</w:t>
        </w:r>
        <w:r>
          <w:rPr>
            <w:noProof/>
            <w:webHidden/>
          </w:rPr>
          <w:tab/>
        </w:r>
        <w:r>
          <w:rPr>
            <w:noProof/>
            <w:webHidden/>
          </w:rPr>
          <w:fldChar w:fldCharType="begin"/>
        </w:r>
        <w:r>
          <w:rPr>
            <w:noProof/>
            <w:webHidden/>
          </w:rPr>
          <w:instrText xml:space="preserve"> PAGEREF _Toc222228110 \h </w:instrText>
        </w:r>
        <w:r>
          <w:rPr>
            <w:noProof/>
            <w:webHidden/>
          </w:rPr>
        </w:r>
        <w:r>
          <w:rPr>
            <w:noProof/>
            <w:webHidden/>
          </w:rPr>
          <w:fldChar w:fldCharType="separate"/>
        </w:r>
        <w:r>
          <w:rPr>
            <w:noProof/>
            <w:webHidden/>
          </w:rPr>
          <w:t>1</w:t>
        </w:r>
        <w:r>
          <w:rPr>
            <w:noProof/>
            <w:webHidden/>
          </w:rPr>
          <w:fldChar w:fldCharType="end"/>
        </w:r>
      </w:hyperlink>
    </w:p>
    <w:p w14:paraId="3F9226A4" w14:textId="7ECB210E" w:rsidR="003160AB" w:rsidRDefault="003160AB">
      <w:pPr>
        <w:pStyle w:val="Innehll2"/>
        <w:rPr>
          <w:rFonts w:asciiTheme="minorHAnsi" w:eastAsiaTheme="minorEastAsia" w:hAnsiTheme="minorHAnsi" w:cstheme="minorBidi"/>
          <w:noProof/>
          <w:kern w:val="2"/>
          <w14:ligatures w14:val="standardContextual"/>
        </w:rPr>
      </w:pPr>
      <w:hyperlink w:anchor="_Toc222228111" w:history="1">
        <w:r w:rsidRPr="00A86689">
          <w:rPr>
            <w:rStyle w:val="Hyperlnk"/>
            <w:rFonts w:eastAsia="MS Gothic"/>
            <w:noProof/>
          </w:rPr>
          <w:t>Förutsättningar</w:t>
        </w:r>
        <w:r>
          <w:rPr>
            <w:noProof/>
            <w:webHidden/>
          </w:rPr>
          <w:tab/>
        </w:r>
        <w:r>
          <w:rPr>
            <w:noProof/>
            <w:webHidden/>
          </w:rPr>
          <w:fldChar w:fldCharType="begin"/>
        </w:r>
        <w:r>
          <w:rPr>
            <w:noProof/>
            <w:webHidden/>
          </w:rPr>
          <w:instrText xml:space="preserve"> PAGEREF _Toc222228111 \h </w:instrText>
        </w:r>
        <w:r>
          <w:rPr>
            <w:noProof/>
            <w:webHidden/>
          </w:rPr>
        </w:r>
        <w:r>
          <w:rPr>
            <w:noProof/>
            <w:webHidden/>
          </w:rPr>
          <w:fldChar w:fldCharType="separate"/>
        </w:r>
        <w:r>
          <w:rPr>
            <w:noProof/>
            <w:webHidden/>
          </w:rPr>
          <w:t>2</w:t>
        </w:r>
        <w:r>
          <w:rPr>
            <w:noProof/>
            <w:webHidden/>
          </w:rPr>
          <w:fldChar w:fldCharType="end"/>
        </w:r>
      </w:hyperlink>
    </w:p>
    <w:p w14:paraId="64E12A55" w14:textId="50F5E8B3" w:rsidR="003160AB" w:rsidRDefault="003160AB">
      <w:pPr>
        <w:pStyle w:val="Innehll2"/>
        <w:rPr>
          <w:rFonts w:asciiTheme="minorHAnsi" w:eastAsiaTheme="minorEastAsia" w:hAnsiTheme="minorHAnsi" w:cstheme="minorBidi"/>
          <w:noProof/>
          <w:kern w:val="2"/>
          <w14:ligatures w14:val="standardContextual"/>
        </w:rPr>
      </w:pPr>
      <w:hyperlink w:anchor="_Toc222228112" w:history="1">
        <w:r w:rsidRPr="00A86689">
          <w:rPr>
            <w:rStyle w:val="Hyperlnk"/>
            <w:rFonts w:eastAsia="MS Gothic"/>
            <w:noProof/>
          </w:rPr>
          <w:t>Genomförande</w:t>
        </w:r>
        <w:r>
          <w:rPr>
            <w:noProof/>
            <w:webHidden/>
          </w:rPr>
          <w:tab/>
        </w:r>
        <w:r>
          <w:rPr>
            <w:noProof/>
            <w:webHidden/>
          </w:rPr>
          <w:fldChar w:fldCharType="begin"/>
        </w:r>
        <w:r>
          <w:rPr>
            <w:noProof/>
            <w:webHidden/>
          </w:rPr>
          <w:instrText xml:space="preserve"> PAGEREF _Toc222228112 \h </w:instrText>
        </w:r>
        <w:r>
          <w:rPr>
            <w:noProof/>
            <w:webHidden/>
          </w:rPr>
        </w:r>
        <w:r>
          <w:rPr>
            <w:noProof/>
            <w:webHidden/>
          </w:rPr>
          <w:fldChar w:fldCharType="separate"/>
        </w:r>
        <w:r>
          <w:rPr>
            <w:noProof/>
            <w:webHidden/>
          </w:rPr>
          <w:t>2</w:t>
        </w:r>
        <w:r>
          <w:rPr>
            <w:noProof/>
            <w:webHidden/>
          </w:rPr>
          <w:fldChar w:fldCharType="end"/>
        </w:r>
      </w:hyperlink>
    </w:p>
    <w:p w14:paraId="2D21E708" w14:textId="10D6E1B2" w:rsidR="003160AB" w:rsidRDefault="003160AB">
      <w:pPr>
        <w:pStyle w:val="Innehll3"/>
        <w:tabs>
          <w:tab w:val="right" w:leader="dot" w:pos="8919"/>
        </w:tabs>
        <w:rPr>
          <w:rFonts w:asciiTheme="minorHAnsi" w:eastAsiaTheme="minorEastAsia" w:hAnsiTheme="minorHAnsi" w:cstheme="minorBidi"/>
          <w:noProof/>
          <w:kern w:val="2"/>
          <w14:ligatures w14:val="standardContextual"/>
        </w:rPr>
      </w:pPr>
      <w:hyperlink w:anchor="_Toc222228113" w:history="1">
        <w:r w:rsidRPr="00A86689">
          <w:rPr>
            <w:rStyle w:val="Hyperlnk"/>
            <w:rFonts w:eastAsia="MS Gothic"/>
            <w:noProof/>
          </w:rPr>
          <w:t>Tvillinggraviditet - typer</w:t>
        </w:r>
        <w:r>
          <w:rPr>
            <w:noProof/>
            <w:webHidden/>
          </w:rPr>
          <w:tab/>
        </w:r>
        <w:r>
          <w:rPr>
            <w:noProof/>
            <w:webHidden/>
          </w:rPr>
          <w:fldChar w:fldCharType="begin"/>
        </w:r>
        <w:r>
          <w:rPr>
            <w:noProof/>
            <w:webHidden/>
          </w:rPr>
          <w:instrText xml:space="preserve"> PAGEREF _Toc222228113 \h </w:instrText>
        </w:r>
        <w:r>
          <w:rPr>
            <w:noProof/>
            <w:webHidden/>
          </w:rPr>
        </w:r>
        <w:r>
          <w:rPr>
            <w:noProof/>
            <w:webHidden/>
          </w:rPr>
          <w:fldChar w:fldCharType="separate"/>
        </w:r>
        <w:r>
          <w:rPr>
            <w:noProof/>
            <w:webHidden/>
          </w:rPr>
          <w:t>2</w:t>
        </w:r>
        <w:r>
          <w:rPr>
            <w:noProof/>
            <w:webHidden/>
          </w:rPr>
          <w:fldChar w:fldCharType="end"/>
        </w:r>
      </w:hyperlink>
    </w:p>
    <w:p w14:paraId="08A8E3D1" w14:textId="0D179862" w:rsidR="003160AB" w:rsidRDefault="003160AB">
      <w:pPr>
        <w:pStyle w:val="Innehll3"/>
        <w:tabs>
          <w:tab w:val="right" w:leader="dot" w:pos="8919"/>
        </w:tabs>
        <w:rPr>
          <w:rFonts w:asciiTheme="minorHAnsi" w:eastAsiaTheme="minorEastAsia" w:hAnsiTheme="minorHAnsi" w:cstheme="minorBidi"/>
          <w:noProof/>
          <w:kern w:val="2"/>
          <w14:ligatures w14:val="standardContextual"/>
        </w:rPr>
      </w:pPr>
      <w:hyperlink w:anchor="_Toc222228114" w:history="1">
        <w:r w:rsidRPr="00A86689">
          <w:rPr>
            <w:rStyle w:val="Hyperlnk"/>
            <w:rFonts w:eastAsia="MS Gothic"/>
            <w:noProof/>
          </w:rPr>
          <w:t>Tvillingförlossning – handläggning</w:t>
        </w:r>
        <w:r>
          <w:rPr>
            <w:noProof/>
            <w:webHidden/>
          </w:rPr>
          <w:tab/>
        </w:r>
        <w:r>
          <w:rPr>
            <w:noProof/>
            <w:webHidden/>
          </w:rPr>
          <w:fldChar w:fldCharType="begin"/>
        </w:r>
        <w:r>
          <w:rPr>
            <w:noProof/>
            <w:webHidden/>
          </w:rPr>
          <w:instrText xml:space="preserve"> PAGEREF _Toc222228114 \h </w:instrText>
        </w:r>
        <w:r>
          <w:rPr>
            <w:noProof/>
            <w:webHidden/>
          </w:rPr>
        </w:r>
        <w:r>
          <w:rPr>
            <w:noProof/>
            <w:webHidden/>
          </w:rPr>
          <w:fldChar w:fldCharType="separate"/>
        </w:r>
        <w:r>
          <w:rPr>
            <w:noProof/>
            <w:webHidden/>
          </w:rPr>
          <w:t>5</w:t>
        </w:r>
        <w:r>
          <w:rPr>
            <w:noProof/>
            <w:webHidden/>
          </w:rPr>
          <w:fldChar w:fldCharType="end"/>
        </w:r>
      </w:hyperlink>
    </w:p>
    <w:p w14:paraId="52388E75" w14:textId="1EACC8DD" w:rsidR="003160AB" w:rsidRDefault="003160AB">
      <w:pPr>
        <w:pStyle w:val="Innehll2"/>
        <w:rPr>
          <w:rFonts w:asciiTheme="minorHAnsi" w:eastAsiaTheme="minorEastAsia" w:hAnsiTheme="minorHAnsi" w:cstheme="minorBidi"/>
          <w:noProof/>
          <w:kern w:val="2"/>
          <w14:ligatures w14:val="standardContextual"/>
        </w:rPr>
      </w:pPr>
      <w:hyperlink w:anchor="_Toc222228115" w:history="1">
        <w:r w:rsidRPr="00A86689">
          <w:rPr>
            <w:rStyle w:val="Hyperlnk"/>
            <w:rFonts w:eastAsia="MS Gothic"/>
            <w:noProof/>
          </w:rPr>
          <w:t>Diagnoskoder:</w:t>
        </w:r>
        <w:r>
          <w:rPr>
            <w:noProof/>
            <w:webHidden/>
          </w:rPr>
          <w:tab/>
        </w:r>
        <w:r>
          <w:rPr>
            <w:noProof/>
            <w:webHidden/>
          </w:rPr>
          <w:fldChar w:fldCharType="begin"/>
        </w:r>
        <w:r>
          <w:rPr>
            <w:noProof/>
            <w:webHidden/>
          </w:rPr>
          <w:instrText xml:space="preserve"> PAGEREF _Toc222228115 \h </w:instrText>
        </w:r>
        <w:r>
          <w:rPr>
            <w:noProof/>
            <w:webHidden/>
          </w:rPr>
        </w:r>
        <w:r>
          <w:rPr>
            <w:noProof/>
            <w:webHidden/>
          </w:rPr>
          <w:fldChar w:fldCharType="separate"/>
        </w:r>
        <w:r>
          <w:rPr>
            <w:noProof/>
            <w:webHidden/>
          </w:rPr>
          <w:t>9</w:t>
        </w:r>
        <w:r>
          <w:rPr>
            <w:noProof/>
            <w:webHidden/>
          </w:rPr>
          <w:fldChar w:fldCharType="end"/>
        </w:r>
      </w:hyperlink>
    </w:p>
    <w:p w14:paraId="5EBE0DEC" w14:textId="27734500" w:rsidR="003160AB" w:rsidRDefault="003160AB">
      <w:pPr>
        <w:pStyle w:val="Innehll2"/>
        <w:rPr>
          <w:rFonts w:asciiTheme="minorHAnsi" w:eastAsiaTheme="minorEastAsia" w:hAnsiTheme="minorHAnsi" w:cstheme="minorBidi"/>
          <w:noProof/>
          <w:kern w:val="2"/>
          <w14:ligatures w14:val="standardContextual"/>
        </w:rPr>
      </w:pPr>
      <w:hyperlink w:anchor="_Toc222228116" w:history="1">
        <w:r w:rsidRPr="00A86689">
          <w:rPr>
            <w:rStyle w:val="Hyperlnk"/>
            <w:rFonts w:eastAsia="MS Gothic"/>
            <w:noProof/>
          </w:rPr>
          <w:t>Dokumentinformation</w:t>
        </w:r>
        <w:r>
          <w:rPr>
            <w:noProof/>
            <w:webHidden/>
          </w:rPr>
          <w:tab/>
        </w:r>
        <w:r>
          <w:rPr>
            <w:noProof/>
            <w:webHidden/>
          </w:rPr>
          <w:fldChar w:fldCharType="begin"/>
        </w:r>
        <w:r>
          <w:rPr>
            <w:noProof/>
            <w:webHidden/>
          </w:rPr>
          <w:instrText xml:space="preserve"> PAGEREF _Toc222228116 \h </w:instrText>
        </w:r>
        <w:r>
          <w:rPr>
            <w:noProof/>
            <w:webHidden/>
          </w:rPr>
        </w:r>
        <w:r>
          <w:rPr>
            <w:noProof/>
            <w:webHidden/>
          </w:rPr>
          <w:fldChar w:fldCharType="separate"/>
        </w:r>
        <w:r>
          <w:rPr>
            <w:noProof/>
            <w:webHidden/>
          </w:rPr>
          <w:t>10</w:t>
        </w:r>
        <w:r>
          <w:rPr>
            <w:noProof/>
            <w:webHidden/>
          </w:rPr>
          <w:fldChar w:fldCharType="end"/>
        </w:r>
      </w:hyperlink>
    </w:p>
    <w:p w14:paraId="3C28F465" w14:textId="654F2DF9" w:rsidR="003160AB" w:rsidRDefault="003160AB">
      <w:pPr>
        <w:pStyle w:val="Innehll3"/>
        <w:tabs>
          <w:tab w:val="right" w:leader="dot" w:pos="8919"/>
        </w:tabs>
        <w:rPr>
          <w:rFonts w:asciiTheme="minorHAnsi" w:eastAsiaTheme="minorEastAsia" w:hAnsiTheme="minorHAnsi" w:cstheme="minorBidi"/>
          <w:noProof/>
          <w:kern w:val="2"/>
          <w14:ligatures w14:val="standardContextual"/>
        </w:rPr>
      </w:pPr>
      <w:hyperlink w:anchor="_Toc222228117" w:history="1">
        <w:r w:rsidRPr="00A86689">
          <w:rPr>
            <w:rStyle w:val="Hyperlnk"/>
            <w:rFonts w:eastAsia="MS Gothic"/>
            <w:noProof/>
          </w:rPr>
          <w:t>För innehållet svarar</w:t>
        </w:r>
        <w:r>
          <w:rPr>
            <w:noProof/>
            <w:webHidden/>
          </w:rPr>
          <w:tab/>
        </w:r>
        <w:r>
          <w:rPr>
            <w:noProof/>
            <w:webHidden/>
          </w:rPr>
          <w:fldChar w:fldCharType="begin"/>
        </w:r>
        <w:r>
          <w:rPr>
            <w:noProof/>
            <w:webHidden/>
          </w:rPr>
          <w:instrText xml:space="preserve"> PAGEREF _Toc222228117 \h </w:instrText>
        </w:r>
        <w:r>
          <w:rPr>
            <w:noProof/>
            <w:webHidden/>
          </w:rPr>
        </w:r>
        <w:r>
          <w:rPr>
            <w:noProof/>
            <w:webHidden/>
          </w:rPr>
          <w:fldChar w:fldCharType="separate"/>
        </w:r>
        <w:r>
          <w:rPr>
            <w:noProof/>
            <w:webHidden/>
          </w:rPr>
          <w:t>10</w:t>
        </w:r>
        <w:r>
          <w:rPr>
            <w:noProof/>
            <w:webHidden/>
          </w:rPr>
          <w:fldChar w:fldCharType="end"/>
        </w:r>
      </w:hyperlink>
    </w:p>
    <w:p w14:paraId="06DA15FF" w14:textId="0A34A27B" w:rsidR="005A5029" w:rsidRPr="005A5029" w:rsidRDefault="003160AB" w:rsidP="005A5029">
      <w:pPr>
        <w:rPr>
          <w:rFonts w:eastAsia="Arial"/>
        </w:rPr>
      </w:pPr>
      <w:r>
        <w:rPr>
          <w:rFonts w:eastAsia="Arial"/>
        </w:rPr>
        <w:fldChar w:fldCharType="end"/>
      </w:r>
    </w:p>
    <w:p w14:paraId="4345685B" w14:textId="5DFA6780" w:rsidR="20EA8B50" w:rsidRDefault="20EA8B50" w:rsidP="20EA8B50">
      <w:pPr>
        <w:keepNext/>
        <w:spacing w:line="240" w:lineRule="auto"/>
        <w:ind w:left="2676" w:right="0"/>
        <w:rPr>
          <w:rFonts w:ascii="Arial" w:eastAsia="Arial" w:hAnsi="Arial" w:cs="Arial"/>
          <w:color w:val="0000FF"/>
          <w:sz w:val="32"/>
          <w:szCs w:val="32"/>
        </w:rPr>
      </w:pPr>
    </w:p>
    <w:p w14:paraId="3C8BA7BA" w14:textId="1C0911A1" w:rsidR="5D669AB7" w:rsidRPr="003160AB" w:rsidRDefault="5D669AB7" w:rsidP="003160AB">
      <w:pPr>
        <w:pStyle w:val="Rubrik2"/>
      </w:pPr>
      <w:bookmarkStart w:id="3" w:name="_Toc222228111"/>
      <w:r w:rsidRPr="003160AB">
        <w:t>Förutsättningar</w:t>
      </w:r>
      <w:bookmarkEnd w:id="3"/>
    </w:p>
    <w:p w14:paraId="0D637DBE" w14:textId="76C1398D" w:rsidR="5D669AB7" w:rsidRDefault="5D669AB7" w:rsidP="00B659C4">
      <w:r w:rsidRPr="20EA8B50">
        <w:t>Läkares och barnmorskors behov av kunskap om rutiner gällande tvillinggraviditeter och förlossningar.</w:t>
      </w:r>
    </w:p>
    <w:p w14:paraId="2B4A3F98" w14:textId="66413909" w:rsidR="20EA8B50" w:rsidRDefault="20EA8B50" w:rsidP="20EA8B50">
      <w:pPr>
        <w:keepNext/>
        <w:spacing w:line="240" w:lineRule="auto"/>
        <w:ind w:left="2676" w:right="0"/>
        <w:rPr>
          <w:rFonts w:ascii="Times New Roman" w:hAnsi="Times New Roman"/>
          <w:color w:val="000000" w:themeColor="text2"/>
        </w:rPr>
      </w:pPr>
    </w:p>
    <w:p w14:paraId="37B90D29" w14:textId="1AB01703" w:rsidR="5D669AB7" w:rsidRDefault="5D669AB7" w:rsidP="00B659C4">
      <w:pPr>
        <w:pStyle w:val="Rubrik2"/>
      </w:pPr>
      <w:bookmarkStart w:id="4" w:name="_Toc222228112"/>
      <w:r w:rsidRPr="20EA8B50">
        <w:t>Genomförande</w:t>
      </w:r>
      <w:bookmarkEnd w:id="4"/>
    </w:p>
    <w:p w14:paraId="1ABE9BB9" w14:textId="3DC6140E" w:rsidR="5D669AB7" w:rsidRDefault="5D669AB7" w:rsidP="00B659C4">
      <w:r w:rsidRPr="20EA8B50">
        <w:t>Mottagningar inom kvinnosjukvården i Södra Älvsborg som upptäcker tvillinggraviditeter bör följa dessa rutiner.</w:t>
      </w:r>
    </w:p>
    <w:p w14:paraId="0176A414" w14:textId="05056A5F" w:rsidR="5D669AB7" w:rsidRDefault="5D669AB7" w:rsidP="00B659C4">
      <w:pPr>
        <w:pStyle w:val="Rubrik3"/>
      </w:pPr>
      <w:bookmarkStart w:id="5" w:name="_Toc222228113"/>
      <w:r w:rsidRPr="20EA8B50">
        <w:t>Tvillinggraviditet - typer</w:t>
      </w:r>
      <w:bookmarkEnd w:id="5"/>
    </w:p>
    <w:p w14:paraId="03B69389" w14:textId="0F9A53EC" w:rsidR="5D669AB7" w:rsidRPr="00B659C4" w:rsidRDefault="5D669AB7" w:rsidP="00B659C4">
      <w:pPr>
        <w:pStyle w:val="Liststycke"/>
      </w:pPr>
      <w:proofErr w:type="spellStart"/>
      <w:r w:rsidRPr="00B659C4">
        <w:t>Dikoriotisk</w:t>
      </w:r>
      <w:proofErr w:type="spellEnd"/>
      <w:r w:rsidRPr="00B659C4">
        <w:t>/</w:t>
      </w:r>
      <w:proofErr w:type="spellStart"/>
      <w:r w:rsidRPr="00B659C4">
        <w:t>diamniotisk</w:t>
      </w:r>
      <w:proofErr w:type="spellEnd"/>
      <w:r w:rsidRPr="00B659C4">
        <w:t xml:space="preserve"> (DC/DA) graviditet: den vanligaste formen (cirka 70 %). Antingen </w:t>
      </w:r>
      <w:proofErr w:type="spellStart"/>
      <w:r w:rsidRPr="00B659C4">
        <w:t>dizygota</w:t>
      </w:r>
      <w:proofErr w:type="spellEnd"/>
      <w:r w:rsidRPr="00B659C4">
        <w:t xml:space="preserve"> (80 %) eller </w:t>
      </w:r>
      <w:proofErr w:type="spellStart"/>
      <w:r w:rsidRPr="00B659C4">
        <w:t>monozygota</w:t>
      </w:r>
      <w:proofErr w:type="spellEnd"/>
      <w:r w:rsidRPr="00B659C4">
        <w:t xml:space="preserve"> (20 %). Tjock skiljevägg (&gt; 2 mm), positivt lambdatecken och två placentor.</w:t>
      </w:r>
    </w:p>
    <w:p w14:paraId="02E609C0" w14:textId="36947106" w:rsidR="5D669AB7" w:rsidRPr="00B659C4" w:rsidRDefault="5D669AB7" w:rsidP="00B659C4">
      <w:pPr>
        <w:pStyle w:val="Liststycke"/>
      </w:pPr>
      <w:proofErr w:type="spellStart"/>
      <w:r w:rsidRPr="00B659C4">
        <w:t>Monokoriotisk</w:t>
      </w:r>
      <w:proofErr w:type="spellEnd"/>
      <w:r w:rsidRPr="00B659C4">
        <w:t>/</w:t>
      </w:r>
      <w:proofErr w:type="spellStart"/>
      <w:r w:rsidRPr="00B659C4">
        <w:t>diamniotisk</w:t>
      </w:r>
      <w:proofErr w:type="spellEnd"/>
      <w:r w:rsidRPr="00B659C4">
        <w:t xml:space="preserve"> (MC/DA) graviditet: utgör cirka 30 % av alla duplex och är alltid </w:t>
      </w:r>
      <w:proofErr w:type="spellStart"/>
      <w:r w:rsidRPr="00B659C4">
        <w:t>monozygota</w:t>
      </w:r>
      <w:proofErr w:type="spellEnd"/>
      <w:r w:rsidRPr="00B659C4">
        <w:t xml:space="preserve">. Tunn skiljevägg, inget lambdatecken. Ökad risk för komplikationer. Tvillingtransfusionssyndrom (TTS) </w:t>
      </w:r>
      <w:r w:rsidRPr="00B659C4">
        <w:br/>
        <w:t xml:space="preserve">uppträder hos </w:t>
      </w:r>
      <w:proofErr w:type="gramStart"/>
      <w:r w:rsidRPr="00B659C4">
        <w:t>10-15</w:t>
      </w:r>
      <w:proofErr w:type="gramEnd"/>
      <w:r w:rsidRPr="00B659C4">
        <w:t>% av MC/DA och uppträder typiskt v 16-26.</w:t>
      </w:r>
    </w:p>
    <w:p w14:paraId="515D9FF3" w14:textId="3121C80D" w:rsidR="5D669AB7" w:rsidRPr="00B659C4" w:rsidRDefault="5D669AB7" w:rsidP="00B659C4">
      <w:pPr>
        <w:pStyle w:val="Liststycke"/>
      </w:pPr>
      <w:proofErr w:type="spellStart"/>
      <w:r w:rsidRPr="00B659C4">
        <w:t>Monoamniotisk</w:t>
      </w:r>
      <w:proofErr w:type="spellEnd"/>
      <w:r w:rsidRPr="00B659C4">
        <w:t xml:space="preserve"> (MC/MA): Gemensam hinnsäck utan skiljevägg. Ovanlig form (1 % av alla tvillinggraviditeter) med hög risk för navelsträngskomplikationer under graviditeten eller förlossningen.</w:t>
      </w:r>
    </w:p>
    <w:p w14:paraId="2B0CC27E" w14:textId="73CC0657" w:rsidR="20EA8B50" w:rsidRDefault="20EA8B50" w:rsidP="20EA8B50">
      <w:pPr>
        <w:spacing w:after="80" w:line="240" w:lineRule="auto"/>
        <w:ind w:left="2676" w:right="0"/>
        <w:rPr>
          <w:rFonts w:ascii="Times New Roman" w:hAnsi="Times New Roman"/>
          <w:color w:val="000000" w:themeColor="text2"/>
        </w:rPr>
      </w:pPr>
    </w:p>
    <w:p w14:paraId="7376BD4D" w14:textId="33A1886E" w:rsidR="5D669AB7" w:rsidRDefault="5D669AB7" w:rsidP="00B659C4">
      <w:r w:rsidRPr="20EA8B50">
        <w:t>Korionicitetsbedömning görs optimalt i v</w:t>
      </w:r>
      <w:r w:rsidR="00B659C4">
        <w:t>ecka</w:t>
      </w:r>
      <w:r w:rsidRPr="20EA8B50">
        <w:t xml:space="preserve"> </w:t>
      </w:r>
      <w:r w:rsidR="00B659C4" w:rsidRPr="20EA8B50">
        <w:t>10–14</w:t>
      </w:r>
      <w:r w:rsidRPr="20EA8B50">
        <w:t xml:space="preserve"> av obstetrisk specialist, eventuellt via Viewpoint. (OBS! Kom ihåg att ordna recept på T. Folacin 1mg x 1 och ASA-profylax). Amnionförhållanden hos monokoriotiska ska kontrolleras igen v</w:t>
      </w:r>
      <w:r w:rsidR="00B659C4">
        <w:t>ecka</w:t>
      </w:r>
      <w:r w:rsidRPr="20EA8B50">
        <w:t xml:space="preserve"> 16 av specialist.</w:t>
      </w:r>
    </w:p>
    <w:p w14:paraId="7AB53313" w14:textId="10E0E3CA" w:rsidR="5D669AB7" w:rsidRDefault="5D669AB7" w:rsidP="00B659C4">
      <w:pPr>
        <w:pStyle w:val="MellanrubrikVGR"/>
        <w:rPr>
          <w:rFonts w:eastAsia="Segoe UI"/>
        </w:rPr>
      </w:pPr>
      <w:r w:rsidRPr="20EA8B50">
        <w:rPr>
          <w:rFonts w:eastAsia="Segoe UI"/>
        </w:rPr>
        <w:t>Riktlinjer för ultraljudsundersökning</w:t>
      </w:r>
    </w:p>
    <w:p w14:paraId="0EC12607" w14:textId="2F7A7657" w:rsidR="5D669AB7" w:rsidRDefault="5D669AB7" w:rsidP="00B659C4">
      <w:r w:rsidRPr="20EA8B50">
        <w:t>Handläggningen baseras på korionicitet.</w:t>
      </w:r>
    </w:p>
    <w:p w14:paraId="5D950276" w14:textId="7291345E" w:rsidR="5D669AB7" w:rsidRPr="00B659C4" w:rsidRDefault="5D669AB7" w:rsidP="00B659C4">
      <w:pPr>
        <w:pStyle w:val="Liststycke"/>
      </w:pPr>
      <w:r w:rsidRPr="00B659C4">
        <w:lastRenderedPageBreak/>
        <w:t>DC/DA: Tillväxtkontroll vecka 28 och 32 (om normal och likformig tillväxt) samt i samband med slutligt ställningstagande till förlossningssätt i v</w:t>
      </w:r>
      <w:r w:rsidR="00B659C4">
        <w:t>ecka</w:t>
      </w:r>
      <w:r w:rsidRPr="00B659C4">
        <w:t xml:space="preserve"> </w:t>
      </w:r>
      <w:r w:rsidR="00B659C4" w:rsidRPr="00B659C4">
        <w:t>35–36</w:t>
      </w:r>
      <w:r w:rsidRPr="00B659C4">
        <w:t>.</w:t>
      </w:r>
    </w:p>
    <w:p w14:paraId="77E941EC" w14:textId="6AF77352" w:rsidR="5D669AB7" w:rsidRPr="00B659C4" w:rsidRDefault="5D669AB7" w:rsidP="00B659C4">
      <w:pPr>
        <w:pStyle w:val="Liststycke"/>
      </w:pPr>
      <w:r w:rsidRPr="00B659C4">
        <w:t>MC/DA: Tillväxtkontroller varannan vecka från v 16 (eller senare från när duplexgraviditet konstaterats) till v 30. Om likformig tillväxt och inga tecken till TTS (</w:t>
      </w:r>
      <w:proofErr w:type="spellStart"/>
      <w:r w:rsidRPr="00B659C4">
        <w:t>tvillingtransfusionsyndrom</w:t>
      </w:r>
      <w:proofErr w:type="spellEnd"/>
      <w:r w:rsidRPr="00B659C4">
        <w:t xml:space="preserve">) kan kontrollerna därefter glesas ut till </w:t>
      </w:r>
      <w:r w:rsidR="00B659C4" w:rsidRPr="00B659C4">
        <w:t>3–4</w:t>
      </w:r>
      <w:r w:rsidRPr="00B659C4">
        <w:t xml:space="preserve"> v</w:t>
      </w:r>
      <w:r w:rsidR="00B659C4">
        <w:t>eckors</w:t>
      </w:r>
      <w:r w:rsidRPr="00B659C4">
        <w:t xml:space="preserve"> intervall.</w:t>
      </w:r>
    </w:p>
    <w:p w14:paraId="760A348D" w14:textId="22E03D48" w:rsidR="5D669AB7" w:rsidRPr="00B659C4" w:rsidRDefault="5D669AB7" w:rsidP="00B659C4">
      <w:pPr>
        <w:pStyle w:val="Liststycke"/>
      </w:pPr>
      <w:r w:rsidRPr="00B659C4">
        <w:t xml:space="preserve">MC/MA: Tillväxtkontroller varannan vecka fram till v 28. Därefter minst en gång/vecka hos erfaren obstetriker. Dopplerundersökning av a. </w:t>
      </w:r>
      <w:proofErr w:type="spellStart"/>
      <w:r w:rsidRPr="00B659C4">
        <w:t>umbilicalis</w:t>
      </w:r>
      <w:proofErr w:type="spellEnd"/>
      <w:r w:rsidRPr="00B659C4">
        <w:t xml:space="preserve"> inklusive bedömning av navelsträngarnas läge bör utföras regelbundet.</w:t>
      </w:r>
    </w:p>
    <w:p w14:paraId="1FA44CBA" w14:textId="0482E16E" w:rsidR="5D669AB7" w:rsidRPr="00B659C4" w:rsidRDefault="5D669AB7" w:rsidP="00B659C4">
      <w:pPr>
        <w:pStyle w:val="Liststycke"/>
      </w:pPr>
      <w:r w:rsidRPr="00B659C4">
        <w:t xml:space="preserve">Övervakningsrutiner vid viktavvikelser: Vid &gt;25 % viktskillnad mellan tvillingarna, alternativt om ena eller båda tvillingarna är &lt; -22 %, ska ultraljudsbedömning göras av obstetrikspecialist. Vid misstanke om TTS behövs särskild erfarenhet för undersökning och handläggning. </w:t>
      </w:r>
      <w:r w:rsidRPr="00B659C4">
        <w:br/>
      </w:r>
      <w:proofErr w:type="spellStart"/>
      <w:r w:rsidRPr="00B659C4">
        <w:t>Polyhydramnios</w:t>
      </w:r>
      <w:proofErr w:type="spellEnd"/>
      <w:r w:rsidRPr="00B659C4">
        <w:t xml:space="preserve">: Största </w:t>
      </w:r>
      <w:proofErr w:type="spellStart"/>
      <w:r w:rsidRPr="00B659C4">
        <w:t>fostervattensjö</w:t>
      </w:r>
      <w:proofErr w:type="spellEnd"/>
      <w:r w:rsidRPr="00B659C4">
        <w:t xml:space="preserve"> (DVP</w:t>
      </w:r>
      <w:proofErr w:type="gramStart"/>
      <w:r w:rsidRPr="00B659C4">
        <w:t>) &gt;</w:t>
      </w:r>
      <w:proofErr w:type="gramEnd"/>
      <w:r w:rsidRPr="00B659C4">
        <w:t xml:space="preserve"> 8 cm. </w:t>
      </w:r>
      <w:proofErr w:type="spellStart"/>
      <w:r w:rsidRPr="00B659C4">
        <w:t>Oligohydramnios</w:t>
      </w:r>
      <w:proofErr w:type="spellEnd"/>
      <w:r w:rsidRPr="00B659C4">
        <w:t xml:space="preserve">: Största </w:t>
      </w:r>
      <w:proofErr w:type="spellStart"/>
      <w:r w:rsidRPr="00B659C4">
        <w:t>fostervattensjö</w:t>
      </w:r>
      <w:proofErr w:type="spellEnd"/>
      <w:r w:rsidRPr="00B659C4">
        <w:t xml:space="preserve"> (DVP) </w:t>
      </w:r>
      <w:proofErr w:type="gramStart"/>
      <w:r w:rsidRPr="00B659C4">
        <w:t>&lt; 2</w:t>
      </w:r>
      <w:proofErr w:type="gramEnd"/>
      <w:r w:rsidRPr="00B659C4">
        <w:t xml:space="preserve"> cm.</w:t>
      </w:r>
    </w:p>
    <w:p w14:paraId="0E7DEE44" w14:textId="79E42298" w:rsidR="20EA8B50" w:rsidRDefault="20EA8B50" w:rsidP="20EA8B50">
      <w:pPr>
        <w:spacing w:after="160" w:line="240" w:lineRule="auto"/>
        <w:ind w:left="2676" w:right="0"/>
        <w:rPr>
          <w:rFonts w:ascii="Times New Roman" w:hAnsi="Times New Roman"/>
          <w:color w:val="000000" w:themeColor="text2"/>
        </w:rPr>
      </w:pPr>
    </w:p>
    <w:p w14:paraId="3ECE5875" w14:textId="2C136055" w:rsidR="5D669AB7" w:rsidRDefault="5D669AB7" w:rsidP="00B659C4">
      <w:r w:rsidRPr="20EA8B50">
        <w:t xml:space="preserve">Cervixbedömning: Görs om anamnes eller kliniska symtom indicerar detta, ej rutinmässigt. Dock alltid vid misstanke om TTS. Cervix mäts med vaginalt ultraljud (tömd urinblåsa). Den slutna delen av cervix mäts och längden anges i mm. S.k. funnelering har ingen prognostisk betydelse utöver cervixlängd.  Förkortad cervix </w:t>
      </w:r>
      <w:proofErr w:type="gramStart"/>
      <w:r w:rsidRPr="20EA8B50">
        <w:t>(&lt; 25</w:t>
      </w:r>
      <w:proofErr w:type="gramEnd"/>
      <w:r w:rsidRPr="20EA8B50">
        <w:t xml:space="preserve"> mm i graviditetsvecka 22-24) innebär ökad risk för prematurförlossning före 34 veckor.</w:t>
      </w:r>
    </w:p>
    <w:p w14:paraId="3CDEFF56" w14:textId="656198AD" w:rsidR="5D669AB7" w:rsidRDefault="5D669AB7" w:rsidP="00B659C4">
      <w:pPr>
        <w:pStyle w:val="MellanrubrikVGR"/>
        <w:rPr>
          <w:rFonts w:eastAsia="Segoe UI"/>
        </w:rPr>
      </w:pPr>
      <w:r w:rsidRPr="20EA8B50">
        <w:rPr>
          <w:rFonts w:eastAsia="Segoe UI"/>
        </w:rPr>
        <w:t>Tvillingtransfusionssyndrom (TTS)</w:t>
      </w:r>
    </w:p>
    <w:p w14:paraId="6974AEAE" w14:textId="6486C95A" w:rsidR="5D669AB7" w:rsidRDefault="5D669AB7" w:rsidP="00B659C4">
      <w:r w:rsidRPr="20EA8B50">
        <w:t xml:space="preserve">Förekommer endast vid monochoriotiska tvillingar (drabbar </w:t>
      </w:r>
      <w:proofErr w:type="gramStart"/>
      <w:r w:rsidRPr="20EA8B50">
        <w:t>10-15</w:t>
      </w:r>
      <w:proofErr w:type="gramEnd"/>
      <w:r w:rsidRPr="20EA8B50">
        <w:t xml:space="preserve"> % av MC tvillingar). Diagnosen kan endast ställas med ultraljud. </w:t>
      </w:r>
    </w:p>
    <w:p w14:paraId="7CD0E86F" w14:textId="6A3A5EFB" w:rsidR="5D669AB7" w:rsidRPr="00B659C4" w:rsidRDefault="5D669AB7" w:rsidP="00B659C4">
      <w:pPr>
        <w:pStyle w:val="MellanrubrikVGR"/>
        <w:rPr>
          <w:rFonts w:eastAsia="Arial"/>
        </w:rPr>
      </w:pPr>
      <w:r w:rsidRPr="00B659C4">
        <w:rPr>
          <w:rFonts w:eastAsia="Arial"/>
        </w:rPr>
        <w:lastRenderedPageBreak/>
        <w:t>Stadieindelning av TTS</w:t>
      </w:r>
    </w:p>
    <w:p w14:paraId="0E852D3A" w14:textId="68B06DDE" w:rsidR="5D669AB7" w:rsidRDefault="5D669AB7" w:rsidP="00B659C4">
      <w:r w:rsidRPr="20EA8B50">
        <w:t xml:space="preserve">Stadium I: </w:t>
      </w:r>
      <w:proofErr w:type="spellStart"/>
      <w:proofErr w:type="gramStart"/>
      <w:r w:rsidRPr="20EA8B50">
        <w:t>Polyhydramnios</w:t>
      </w:r>
      <w:proofErr w:type="spellEnd"/>
      <w:r w:rsidRPr="20EA8B50">
        <w:t xml:space="preserve"> &gt;</w:t>
      </w:r>
      <w:proofErr w:type="gramEnd"/>
      <w:r w:rsidRPr="20EA8B50">
        <w:t xml:space="preserve"> 80 mm i ”deepest vertical pocket”/ oligohydramnios &lt; 20 mm, fortfarande synlig urinblåsa hos donator.</w:t>
      </w:r>
    </w:p>
    <w:p w14:paraId="02D635DF" w14:textId="406433E7" w:rsidR="5D669AB7" w:rsidRDefault="5D669AB7" w:rsidP="00B659C4">
      <w:r w:rsidRPr="20EA8B50">
        <w:t>Stadium II: Ingen synlig urinblåsa hos donator.</w:t>
      </w:r>
    </w:p>
    <w:p w14:paraId="35B5AC80" w14:textId="4FF7B981" w:rsidR="5D669AB7" w:rsidRDefault="5D669AB7" w:rsidP="00B659C4">
      <w:r w:rsidRPr="20EA8B50">
        <w:t>Stadium III: Patologiska dopplerindices (avsaknad av slutdiastoliskt flöde, 0-flöde eller backflöde i arteria umbilicalis).</w:t>
      </w:r>
    </w:p>
    <w:p w14:paraId="757F0FD2" w14:textId="56D0A65B" w:rsidR="5D669AB7" w:rsidRDefault="5D669AB7" w:rsidP="00B659C4">
      <w:r w:rsidRPr="20EA8B50">
        <w:t>Stadium IV: Hydrops.</w:t>
      </w:r>
    </w:p>
    <w:p w14:paraId="1AE07944" w14:textId="460D6106" w:rsidR="5D669AB7" w:rsidRDefault="5D669AB7" w:rsidP="00B659C4">
      <w:r w:rsidRPr="20EA8B50">
        <w:t xml:space="preserve">Stadium V: Intrauterin död hos ena eller båda fostren. </w:t>
      </w:r>
    </w:p>
    <w:p w14:paraId="6C63BF19" w14:textId="14416C45" w:rsidR="5D669AB7" w:rsidRDefault="5D669AB7" w:rsidP="00B659C4">
      <w:pPr>
        <w:pStyle w:val="MellanrubrikVGR"/>
        <w:rPr>
          <w:rFonts w:eastAsia="Arial"/>
        </w:rPr>
      </w:pPr>
      <w:r w:rsidRPr="20EA8B50">
        <w:rPr>
          <w:rFonts w:eastAsia="Arial"/>
        </w:rPr>
        <w:t>Handläggning</w:t>
      </w:r>
    </w:p>
    <w:p w14:paraId="55779951" w14:textId="2947A481" w:rsidR="5D669AB7" w:rsidRDefault="5D669AB7" w:rsidP="00B659C4">
      <w:r w:rsidRPr="20EA8B50">
        <w:t>Obstetrisk specialist med erfarenhet av att bedöma tillståndet tar telefonkontakt med CFM (Centrum för fostermedicin) på Karolinska Huddinge. Icke-specialist kontaktar fostermedicinsk konsult på KKÖ för fortsatt handläggning. Utanför kontorstid söks fostermedicinsk jour via Karolinska sjukhusets växel. Vid tidigt debuterande TTS blir laserbehandling oftast aktuell, vid senare debut kan det vara bättre att förlösa prematurt.</w:t>
      </w:r>
    </w:p>
    <w:p w14:paraId="419D6501" w14:textId="13464ED5" w:rsidR="5D669AB7" w:rsidRDefault="5D669AB7" w:rsidP="00B659C4">
      <w:pPr>
        <w:pStyle w:val="MellanrubrikVGR"/>
        <w:rPr>
          <w:rFonts w:eastAsia="Segoe UI"/>
        </w:rPr>
      </w:pPr>
      <w:r w:rsidRPr="20EA8B50">
        <w:rPr>
          <w:rFonts w:eastAsia="Segoe UI"/>
        </w:rPr>
        <w:t>Mödrahälsovårdskontroller av tvillinggraviditet</w:t>
      </w:r>
    </w:p>
    <w:p w14:paraId="1F8D408D" w14:textId="65E88009" w:rsidR="5D669AB7" w:rsidRDefault="5D669AB7" w:rsidP="00B659C4">
      <w:r w:rsidRPr="20EA8B50">
        <w:t xml:space="preserve">Patienten följer basprogram. Övriga kontroller görs på spec-MVC. Sedvanlig information om kost och levnadssätt. Information om järntillskott och folsyretillskott. Information om förlossning, amning och neonatalvård. På tvillinggravida utförs inte SF-mätning då det är svårt att tolka SF-kurvor vid flerbörd. </w:t>
      </w:r>
    </w:p>
    <w:p w14:paraId="7D073DA9" w14:textId="5C6051F8" w:rsidR="5D669AB7" w:rsidRDefault="5D669AB7" w:rsidP="00B659C4">
      <w:pPr>
        <w:pStyle w:val="MellanrubrikVGR"/>
        <w:rPr>
          <w:rFonts w:eastAsia="Segoe UI"/>
        </w:rPr>
      </w:pPr>
      <w:r w:rsidRPr="20EA8B50">
        <w:rPr>
          <w:rFonts w:eastAsia="Segoe UI"/>
        </w:rPr>
        <w:t>Övrigt</w:t>
      </w:r>
    </w:p>
    <w:p w14:paraId="48C2F554" w14:textId="47D21E2E" w:rsidR="5D669AB7" w:rsidRPr="00B659C4" w:rsidRDefault="5D669AB7" w:rsidP="00B659C4">
      <w:pPr>
        <w:pStyle w:val="Liststycke"/>
      </w:pPr>
      <w:r w:rsidRPr="00B659C4">
        <w:t>Sätt in ASA-profylax med acetylsalicylsyra från gr</w:t>
      </w:r>
      <w:r w:rsidR="00B659C4">
        <w:t>aviditets</w:t>
      </w:r>
      <w:r w:rsidRPr="00B659C4">
        <w:t>v</w:t>
      </w:r>
      <w:r w:rsidR="00B659C4">
        <w:t>ecka</w:t>
      </w:r>
      <w:r w:rsidRPr="00B659C4">
        <w:t xml:space="preserve"> 12 tom gr</w:t>
      </w:r>
      <w:r w:rsidR="00B659C4">
        <w:t>aviditets</w:t>
      </w:r>
      <w:r w:rsidRPr="00B659C4">
        <w:t>v</w:t>
      </w:r>
      <w:r w:rsidR="00B659C4">
        <w:t>ecka</w:t>
      </w:r>
      <w:r w:rsidRPr="00B659C4">
        <w:t xml:space="preserve"> 36 (flerbörd är en s.k. högriskfaktor)</w:t>
      </w:r>
    </w:p>
    <w:p w14:paraId="5BC20B5C" w14:textId="50D4AF05" w:rsidR="5D669AB7" w:rsidRPr="00B659C4" w:rsidRDefault="5D669AB7" w:rsidP="00B659C4">
      <w:pPr>
        <w:pStyle w:val="Liststycke"/>
      </w:pPr>
      <w:r w:rsidRPr="00B659C4">
        <w:t>Utöver sedvanlig järnprofylax ges extra folsyra i form av tablett Folsyra, 1 mg x 1 så snart flerbördsgraviditet upptäckts och hela graviditeten ut.</w:t>
      </w:r>
    </w:p>
    <w:p w14:paraId="76A8B614" w14:textId="0C21ACFE" w:rsidR="5D669AB7" w:rsidRPr="00B659C4" w:rsidRDefault="5D669AB7" w:rsidP="00B659C4">
      <w:pPr>
        <w:pStyle w:val="Liststycke"/>
      </w:pPr>
      <w:r w:rsidRPr="00B659C4">
        <w:t>Frikostig inställning till sjukskrivning från v</w:t>
      </w:r>
      <w:r w:rsidR="00B659C4">
        <w:t>ecka</w:t>
      </w:r>
      <w:r w:rsidRPr="00B659C4">
        <w:t xml:space="preserve"> </w:t>
      </w:r>
      <w:r w:rsidR="00B659C4" w:rsidRPr="00B659C4">
        <w:t>23–25</w:t>
      </w:r>
      <w:r w:rsidRPr="00B659C4">
        <w:t>. Diagnos på sjukintyget: Hotande förtidsbörd – duplex.</w:t>
      </w:r>
    </w:p>
    <w:p w14:paraId="3F544960" w14:textId="13828F4E" w:rsidR="5D669AB7" w:rsidRPr="00B659C4" w:rsidRDefault="5D669AB7" w:rsidP="00B659C4">
      <w:pPr>
        <w:pStyle w:val="Liststycke"/>
      </w:pPr>
      <w:r w:rsidRPr="00B659C4">
        <w:lastRenderedPageBreak/>
        <w:t xml:space="preserve">Ingen indikation för rutinmässig CTG-övervakning </w:t>
      </w:r>
    </w:p>
    <w:p w14:paraId="79C7E889" w14:textId="2F5E070C" w:rsidR="5D669AB7" w:rsidRPr="00B659C4" w:rsidRDefault="5D669AB7" w:rsidP="00B659C4">
      <w:pPr>
        <w:pStyle w:val="Liststycke"/>
      </w:pPr>
      <w:r w:rsidRPr="00B659C4">
        <w:t>Samtal inför förlossningen. Information om rutiner för induktion och handläggning av vaginal tvillingförlossning ges lämpligen i samband med läkarbesök för viktskattning. (Om ultraljudsbarnmorska gör kontrollerna, ska läkarbesök för samtal erbjudas patienten, förslagsvis v</w:t>
      </w:r>
      <w:r w:rsidR="00B659C4">
        <w:t>ecka</w:t>
      </w:r>
      <w:r w:rsidRPr="00B659C4">
        <w:t xml:space="preserve"> </w:t>
      </w:r>
      <w:r w:rsidR="00B659C4" w:rsidRPr="00B659C4">
        <w:t>32–34</w:t>
      </w:r>
      <w:r w:rsidRPr="00B659C4">
        <w:t>).</w:t>
      </w:r>
    </w:p>
    <w:p w14:paraId="39D6BAF9" w14:textId="6E05D10A" w:rsidR="5D669AB7" w:rsidRPr="00B659C4" w:rsidRDefault="5D669AB7" w:rsidP="00B659C4">
      <w:pPr>
        <w:pStyle w:val="Liststycke"/>
      </w:pPr>
      <w:r w:rsidRPr="00B659C4">
        <w:t xml:space="preserve">Duplexgravida med DC och </w:t>
      </w:r>
      <w:proofErr w:type="spellStart"/>
      <w:r w:rsidRPr="00B659C4">
        <w:t>huvudändläge</w:t>
      </w:r>
      <w:proofErr w:type="spellEnd"/>
      <w:r w:rsidRPr="00B659C4">
        <w:t xml:space="preserve"> på tvilling 1 behöver inte komma till specialmödravården om inte annan indikation för tillväxtkontroll föreligger. </w:t>
      </w:r>
    </w:p>
    <w:p w14:paraId="7A21D35A" w14:textId="565327BC" w:rsidR="5D669AB7" w:rsidRPr="00B659C4" w:rsidRDefault="5D669AB7" w:rsidP="00B659C4">
      <w:pPr>
        <w:pStyle w:val="Liststycke"/>
      </w:pPr>
      <w:r w:rsidRPr="00B659C4">
        <w:t xml:space="preserve">MA: Förlöses lämpligast med </w:t>
      </w:r>
      <w:proofErr w:type="spellStart"/>
      <w:r w:rsidRPr="00B659C4">
        <w:t>elektivt</w:t>
      </w:r>
      <w:proofErr w:type="spellEnd"/>
      <w:r w:rsidRPr="00B659C4">
        <w:t xml:space="preserve"> </w:t>
      </w:r>
      <w:proofErr w:type="spellStart"/>
      <w:r w:rsidRPr="00B659C4">
        <w:t>sectio</w:t>
      </w:r>
      <w:proofErr w:type="spellEnd"/>
      <w:r w:rsidRPr="00B659C4">
        <w:t xml:space="preserve"> i v</w:t>
      </w:r>
      <w:r w:rsidR="00B659C4">
        <w:t>ecka</w:t>
      </w:r>
      <w:r w:rsidRPr="00B659C4">
        <w:t xml:space="preserve"> </w:t>
      </w:r>
      <w:r w:rsidR="00B659C4" w:rsidRPr="00B659C4">
        <w:t>32–34</w:t>
      </w:r>
      <w:r w:rsidRPr="00B659C4">
        <w:t>.</w:t>
      </w:r>
    </w:p>
    <w:p w14:paraId="442DCAF8" w14:textId="674F57F0" w:rsidR="5D669AB7" w:rsidRPr="00B659C4" w:rsidRDefault="5D669AB7" w:rsidP="00B659C4">
      <w:pPr>
        <w:pStyle w:val="Liststycke"/>
      </w:pPr>
      <w:r w:rsidRPr="00B659C4">
        <w:t>Induktion erbjuds från vecka 37+0 och rekommenderas senast v</w:t>
      </w:r>
      <w:r w:rsidR="00B659C4">
        <w:t>ecka</w:t>
      </w:r>
      <w:r w:rsidRPr="00B659C4">
        <w:t xml:space="preserve"> 38+0. Bakgrunden till detta är att fostren mognar minst 1 vecka tidigare och att placenta åldras tidigare vid duplexgraviditet jämfört med simplex.</w:t>
      </w:r>
    </w:p>
    <w:p w14:paraId="7F6EDFF5" w14:textId="77777777" w:rsidR="00B659C4" w:rsidRDefault="00B659C4" w:rsidP="00B659C4">
      <w:pPr>
        <w:pStyle w:val="Rubrik3"/>
      </w:pPr>
    </w:p>
    <w:p w14:paraId="41FD3FB8" w14:textId="481C4423" w:rsidR="5D669AB7" w:rsidRDefault="5D669AB7" w:rsidP="00B659C4">
      <w:pPr>
        <w:pStyle w:val="Rubrik3"/>
      </w:pPr>
      <w:bookmarkStart w:id="6" w:name="_Toc222228114"/>
      <w:r w:rsidRPr="20EA8B50">
        <w:t>Tvillingförlossning – handläggning</w:t>
      </w:r>
      <w:bookmarkEnd w:id="6"/>
    </w:p>
    <w:p w14:paraId="61D3B47C" w14:textId="6179F006" w:rsidR="5D669AB7" w:rsidRDefault="5D669AB7" w:rsidP="00B659C4">
      <w:pPr>
        <w:pStyle w:val="MellanrubrikVGR"/>
        <w:rPr>
          <w:rFonts w:eastAsia="Segoe UI"/>
        </w:rPr>
      </w:pPr>
      <w:r w:rsidRPr="20EA8B50">
        <w:rPr>
          <w:rFonts w:eastAsia="Segoe UI"/>
        </w:rPr>
        <w:t>Tidpunkt för förlossning</w:t>
      </w:r>
    </w:p>
    <w:p w14:paraId="0C2DCB33" w14:textId="09D6BF17" w:rsidR="5D669AB7" w:rsidRDefault="5D669AB7" w:rsidP="00B659C4">
      <w:r w:rsidRPr="20EA8B50">
        <w:t xml:space="preserve">MC/MA duplex: </w:t>
      </w:r>
      <w:proofErr w:type="spellStart"/>
      <w:r w:rsidRPr="20EA8B50">
        <w:t>Elektivt</w:t>
      </w:r>
      <w:proofErr w:type="spellEnd"/>
      <w:r w:rsidRPr="20EA8B50">
        <w:t xml:space="preserve"> </w:t>
      </w:r>
      <w:proofErr w:type="spellStart"/>
      <w:r w:rsidRPr="20EA8B50">
        <w:t>sectio</w:t>
      </w:r>
      <w:proofErr w:type="spellEnd"/>
      <w:r w:rsidRPr="20EA8B50">
        <w:t xml:space="preserve"> v</w:t>
      </w:r>
      <w:r w:rsidR="00B659C4">
        <w:t>ecka</w:t>
      </w:r>
      <w:r w:rsidRPr="20EA8B50">
        <w:t xml:space="preserve"> 32 (-34).</w:t>
      </w:r>
    </w:p>
    <w:p w14:paraId="4EFF13E2" w14:textId="18BAB6AF" w:rsidR="5D669AB7" w:rsidRDefault="5D669AB7" w:rsidP="00B659C4">
      <w:r w:rsidRPr="20EA8B50">
        <w:t xml:space="preserve">MC/DA duplex och DC/DA duplex: Erbjudande/rekommendation om induktion från vecka 37 + 0, särskilt gällande vaginalförlösta omföderskor. Hos förstföderskor med omogen cervix eller omföderskor med tidigare sectio och omogen cervix kan fördelarna med exspektans ytterligare </w:t>
      </w:r>
      <w:r w:rsidR="00B659C4" w:rsidRPr="20EA8B50">
        <w:t>2–3</w:t>
      </w:r>
      <w:r w:rsidRPr="20EA8B50">
        <w:t xml:space="preserve"> dagar eventuellt övervägas.  DC/DA erbjuds induktion 37+0 men kan avvakta fram till 38+0 om de önskar. I dessa fall bör man göra kontroller 2 ggr/v</w:t>
      </w:r>
      <w:r w:rsidR="00B659C4">
        <w:t>eckan</w:t>
      </w:r>
      <w:r w:rsidRPr="20EA8B50">
        <w:t xml:space="preserve"> med CTG, ultraljud och cervixbedömning.</w:t>
      </w:r>
    </w:p>
    <w:p w14:paraId="40EB0450" w14:textId="760CB465" w:rsidR="5D669AB7" w:rsidRDefault="5D669AB7" w:rsidP="00B659C4">
      <w:pPr>
        <w:pStyle w:val="MellanrubrikVGR"/>
        <w:rPr>
          <w:rFonts w:eastAsia="Segoe UI"/>
        </w:rPr>
      </w:pPr>
      <w:r w:rsidRPr="20EA8B50">
        <w:rPr>
          <w:rFonts w:eastAsia="Segoe UI"/>
        </w:rPr>
        <w:t>Förlossningssätt</w:t>
      </w:r>
    </w:p>
    <w:p w14:paraId="21B682FD" w14:textId="0DBF0CC1" w:rsidR="5D669AB7" w:rsidRDefault="5D669AB7" w:rsidP="00B659C4">
      <w:r w:rsidRPr="20EA8B50">
        <w:t xml:space="preserve">Tvilling 1 i huvudändläge: samma bedömningsgrund som för enkelbörd i huvudändläge, oavsett läge på tvilling 2. </w:t>
      </w:r>
    </w:p>
    <w:p w14:paraId="5EC75FC9" w14:textId="61D8F003" w:rsidR="5D669AB7" w:rsidRDefault="5D669AB7" w:rsidP="00B659C4">
      <w:r w:rsidRPr="20EA8B50">
        <w:t xml:space="preserve">Sätesläge enbart hos tvilling 2 är inte indikation för bäckenmätning. </w:t>
      </w:r>
    </w:p>
    <w:p w14:paraId="41C3159A" w14:textId="40D2E46F" w:rsidR="5D669AB7" w:rsidRDefault="5D669AB7" w:rsidP="00B659C4">
      <w:r w:rsidRPr="20EA8B50">
        <w:t>Tvilling 1 i sätesändläge: elektivt sectio rekommenderas.</w:t>
      </w:r>
    </w:p>
    <w:p w14:paraId="102BA696" w14:textId="581021EB" w:rsidR="5D669AB7" w:rsidRDefault="5D669AB7" w:rsidP="00B659C4">
      <w:r w:rsidRPr="20EA8B50">
        <w:lastRenderedPageBreak/>
        <w:t>Om kvinnan inte vill förlösas med sectio vid sätesändläge på tvilling 1 förordas samma riktlinjer som vid sätesändlägen hos simplexgravida. Dock innebär sätesläge tvilling 1 viss risk för s.k. tvillingkollision vilket är orsaken till att rekommendationen är sectio.</w:t>
      </w:r>
    </w:p>
    <w:p w14:paraId="70259837" w14:textId="65C25EC4" w:rsidR="5D669AB7" w:rsidRDefault="5D669AB7" w:rsidP="00B659C4">
      <w:pPr>
        <w:pStyle w:val="MellanrubrikVGR"/>
        <w:rPr>
          <w:rFonts w:ascii="Times New Roman" w:hAnsi="Times New Roman"/>
        </w:rPr>
      </w:pPr>
      <w:r w:rsidRPr="20EA8B50">
        <w:rPr>
          <w:rFonts w:eastAsia="Arial"/>
        </w:rPr>
        <w:t>Övervakning</w:t>
      </w:r>
      <w:r w:rsidRPr="20EA8B50">
        <w:rPr>
          <w:rFonts w:ascii="Times New Roman" w:hAnsi="Times New Roman"/>
        </w:rPr>
        <w:t xml:space="preserve"> </w:t>
      </w:r>
    </w:p>
    <w:p w14:paraId="131B7E60" w14:textId="697CC80E" w:rsidR="5D669AB7" w:rsidRDefault="5D669AB7" w:rsidP="00B659C4">
      <w:r w:rsidRPr="20EA8B50">
        <w:t>CTG med tvillingapparat möjliggör registrering av båda barnen samtidigt. Eftersträva skalpelektrod på tvilling 1. Kontinuerlig registrering då patienten är i aktivt förlossningsarbete. Använd funktionen sammanslagning av CTG-kurvor vid signering av CTG. Vid fullgången tvillingförlossning, normalstora barn och spontana värkar kan intermittent övervakning under öppningsskedet tillämpas, vilket innebär minst 15–20 min invändningsfri CTG registrering/varannan timme. Annars kontinuerligt CTG under öppningsfasen. Kontinuerligt CTG under utdrivningsskedet</w:t>
      </w:r>
    </w:p>
    <w:p w14:paraId="52A123F2" w14:textId="193D401B" w:rsidR="5D669AB7" w:rsidRDefault="5D669AB7" w:rsidP="00B659C4">
      <w:pPr>
        <w:pStyle w:val="MellanrubrikVGR"/>
        <w:rPr>
          <w:rFonts w:eastAsia="Segoe UI"/>
        </w:rPr>
      </w:pPr>
      <w:r w:rsidRPr="20EA8B50">
        <w:rPr>
          <w:rFonts w:eastAsia="Segoe UI"/>
        </w:rPr>
        <w:t>Handläggning vid vaginalförlossning</w:t>
      </w:r>
    </w:p>
    <w:p w14:paraId="4A96890A" w14:textId="75808B4B" w:rsidR="5D669AB7" w:rsidRDefault="5D669AB7" w:rsidP="00B659C4">
      <w:r w:rsidRPr="20EA8B50">
        <w:t>Öppningsskedet: samma handläggning som vid enkelbörd.</w:t>
      </w:r>
    </w:p>
    <w:p w14:paraId="6A8A715E" w14:textId="240C0C3E" w:rsidR="5D669AB7" w:rsidRDefault="5D669AB7" w:rsidP="00B659C4">
      <w:r w:rsidRPr="20EA8B50">
        <w:t>Utdrivningsskedet:</w:t>
      </w:r>
    </w:p>
    <w:p w14:paraId="2B385EFD" w14:textId="157B0502" w:rsidR="5D669AB7" w:rsidRPr="00B659C4" w:rsidRDefault="5D669AB7" w:rsidP="00B659C4">
      <w:pPr>
        <w:pStyle w:val="Liststycke"/>
      </w:pPr>
      <w:r w:rsidRPr="00B659C4">
        <w:t>Intravenös nål.</w:t>
      </w:r>
    </w:p>
    <w:p w14:paraId="6EABEC0F" w14:textId="01DAF2D2" w:rsidR="5D669AB7" w:rsidRPr="00B659C4" w:rsidRDefault="5D669AB7" w:rsidP="00B659C4">
      <w:pPr>
        <w:pStyle w:val="Liststycke"/>
      </w:pPr>
      <w:proofErr w:type="spellStart"/>
      <w:r w:rsidRPr="00B659C4">
        <w:t>Bastest</w:t>
      </w:r>
      <w:proofErr w:type="spellEnd"/>
      <w:r w:rsidRPr="00B659C4">
        <w:t xml:space="preserve"> i kyl. </w:t>
      </w:r>
    </w:p>
    <w:p w14:paraId="3BD6C9AA" w14:textId="3919BC23" w:rsidR="5D669AB7" w:rsidRPr="00B659C4" w:rsidRDefault="5D669AB7" w:rsidP="00B659C4">
      <w:pPr>
        <w:pStyle w:val="Liststycke"/>
      </w:pPr>
      <w:r w:rsidRPr="00B659C4">
        <w:t>Ultraljudsapparat på förlossningsrummet.</w:t>
      </w:r>
    </w:p>
    <w:p w14:paraId="43EC9404" w14:textId="0772F253" w:rsidR="5D669AB7" w:rsidRPr="00B659C4" w:rsidRDefault="5D669AB7" w:rsidP="00B659C4">
      <w:pPr>
        <w:pStyle w:val="Liststycke"/>
      </w:pPr>
      <w:r w:rsidRPr="00B659C4">
        <w:t xml:space="preserve">Sugklocka (både 50 mm och 40 mm) framtagen till korridor utanför rummet. </w:t>
      </w:r>
    </w:p>
    <w:p w14:paraId="07A6295B" w14:textId="681DA7F2" w:rsidR="5D669AB7" w:rsidRPr="00B659C4" w:rsidRDefault="5D669AB7" w:rsidP="00B659C4">
      <w:pPr>
        <w:pStyle w:val="Liststycke"/>
      </w:pPr>
      <w:r w:rsidRPr="00B659C4">
        <w:t xml:space="preserve">Under krystning (om ej indicerat tidigare på grund av dålig </w:t>
      </w:r>
      <w:r w:rsidRPr="00B659C4">
        <w:br/>
        <w:t xml:space="preserve">progress/induktion) start av </w:t>
      </w:r>
      <w:proofErr w:type="spellStart"/>
      <w:r w:rsidRPr="00B659C4">
        <w:t>oxytocindropp</w:t>
      </w:r>
      <w:proofErr w:type="spellEnd"/>
      <w:r w:rsidRPr="00B659C4">
        <w:t xml:space="preserve"> i långsam takt, även om progressen dittills varit god – detta för att ha möjlighet att snabbt öka upp droppet vid värksvaghet, särskilt vid värkpaus efter tvilling 1. </w:t>
      </w:r>
    </w:p>
    <w:p w14:paraId="359C2B5C" w14:textId="229B00F5" w:rsidR="5D669AB7" w:rsidRPr="00B659C4" w:rsidRDefault="5D669AB7" w:rsidP="00B659C4">
      <w:pPr>
        <w:pStyle w:val="Liststycke"/>
      </w:pPr>
      <w:r w:rsidRPr="00B659C4">
        <w:t>Personal från neonatalavdelningen vidtalas, och bör närvara åtminstone vid prematuritet/annat än huvudbjudning tvilling 2/tillväxthämning/ avvikande CTG/</w:t>
      </w:r>
      <w:proofErr w:type="spellStart"/>
      <w:r w:rsidRPr="00B659C4">
        <w:t>maternell</w:t>
      </w:r>
      <w:proofErr w:type="spellEnd"/>
      <w:r w:rsidRPr="00B659C4">
        <w:t xml:space="preserve"> sjukdom med riskfaktor för fetal påverkan.</w:t>
      </w:r>
    </w:p>
    <w:p w14:paraId="4B51547F" w14:textId="724FDCA0" w:rsidR="5D669AB7" w:rsidRPr="00B659C4" w:rsidRDefault="5D669AB7" w:rsidP="00B659C4">
      <w:pPr>
        <w:pStyle w:val="Liststycke"/>
      </w:pPr>
      <w:r w:rsidRPr="00B659C4">
        <w:t>Nitroglycerin ska finnas färdigblandat på rummet - se separat riktlinje - för intravenös injektion vid behov (</w:t>
      </w:r>
      <w:proofErr w:type="gramStart"/>
      <w:r w:rsidRPr="00B659C4">
        <w:t>t ex</w:t>
      </w:r>
      <w:proofErr w:type="gramEnd"/>
      <w:r w:rsidRPr="00B659C4">
        <w:t xml:space="preserve"> </w:t>
      </w:r>
      <w:r w:rsidRPr="00B659C4">
        <w:lastRenderedPageBreak/>
        <w:t xml:space="preserve">lägeskorrektion/extraktion på fot på tvilling 2, cervixspasm efter framfödandet av kroppen vid sätesläge </w:t>
      </w:r>
      <w:r w:rsidRPr="00B659C4">
        <w:br/>
        <w:t>tvilling 2).</w:t>
      </w:r>
    </w:p>
    <w:p w14:paraId="4B30C986" w14:textId="4DD34769" w:rsidR="5D669AB7" w:rsidRPr="00B659C4" w:rsidRDefault="5D669AB7" w:rsidP="00B659C4">
      <w:pPr>
        <w:pStyle w:val="Liststycke"/>
      </w:pPr>
      <w:r w:rsidRPr="00B659C4">
        <w:t xml:space="preserve">Obstetriskt erfaren primärjour/bakjour skall alltid närvara och ansvara för handläggningen under utdrivningsskedet. Två barnmorskor. Avtala i förväg vem som ska förlösa (förslagsvis barnmorska vid </w:t>
      </w:r>
      <w:proofErr w:type="spellStart"/>
      <w:r w:rsidRPr="00B659C4">
        <w:t>huvudändläge</w:t>
      </w:r>
      <w:proofErr w:type="spellEnd"/>
      <w:r w:rsidRPr="00B659C4">
        <w:t>, läkare vid sätesläge).</w:t>
      </w:r>
    </w:p>
    <w:p w14:paraId="35EC88CE" w14:textId="67696A9B" w:rsidR="5D669AB7" w:rsidRPr="00B659C4" w:rsidRDefault="5D669AB7" w:rsidP="00B659C4">
      <w:pPr>
        <w:pStyle w:val="Liststycke"/>
      </w:pPr>
      <w:r w:rsidRPr="00B659C4">
        <w:t xml:space="preserve">Vid framfödandet av tvilling 1 skall tvilling 2 hållas i </w:t>
      </w:r>
      <w:proofErr w:type="spellStart"/>
      <w:r w:rsidRPr="00B659C4">
        <w:t>längsläge</w:t>
      </w:r>
      <w:proofErr w:type="spellEnd"/>
      <w:r w:rsidRPr="00B659C4">
        <w:t xml:space="preserve"> med en handflata på vardera sidan av uterus i navelplanet (förutsätter att patienten är i halvsittande position) och man håller kvar greppet tills värkarbetet kommit </w:t>
      </w:r>
      <w:proofErr w:type="gramStart"/>
      <w:r w:rsidRPr="00B659C4">
        <w:t>igång</w:t>
      </w:r>
      <w:proofErr w:type="gramEnd"/>
      <w:r w:rsidRPr="00B659C4">
        <w:t xml:space="preserve">/föregående </w:t>
      </w:r>
      <w:proofErr w:type="spellStart"/>
      <w:r w:rsidRPr="00B659C4">
        <w:t>fosterdel</w:t>
      </w:r>
      <w:proofErr w:type="spellEnd"/>
      <w:r w:rsidRPr="00B659C4">
        <w:t xml:space="preserve"> är stabil i bäckeningången.</w:t>
      </w:r>
    </w:p>
    <w:p w14:paraId="668D7CC5" w14:textId="53AD8ED6" w:rsidR="5D669AB7" w:rsidRPr="00B659C4" w:rsidRDefault="5D669AB7" w:rsidP="00B659C4">
      <w:pPr>
        <w:pStyle w:val="Liststycke"/>
      </w:pPr>
      <w:r w:rsidRPr="00B659C4">
        <w:t xml:space="preserve">Efter att tvilling 1 framfötts skall </w:t>
      </w:r>
      <w:proofErr w:type="spellStart"/>
      <w:r w:rsidRPr="00B659C4">
        <w:t>oxytocindropp</w:t>
      </w:r>
      <w:proofErr w:type="spellEnd"/>
      <w:r w:rsidRPr="00B659C4">
        <w:t xml:space="preserve"> tillfälligt stängas av, medan läge och hjärtaktivitet fastställs på tvilling 2, företrädesvis med hjälp av ultraljud.</w:t>
      </w:r>
    </w:p>
    <w:p w14:paraId="466FA34A" w14:textId="23AE31F1" w:rsidR="5D669AB7" w:rsidRPr="00B659C4" w:rsidRDefault="5D669AB7" w:rsidP="00B659C4">
      <w:pPr>
        <w:pStyle w:val="Liststycke"/>
      </w:pPr>
      <w:r w:rsidRPr="00B659C4">
        <w:t xml:space="preserve">Vid tvärläge tvilling 2 ska i första hand yttre vändning göras, eventuellt efter injektion nitroglycerin. Vändning från tvärläge till </w:t>
      </w:r>
      <w:proofErr w:type="spellStart"/>
      <w:r w:rsidRPr="00B659C4">
        <w:t>längsläge</w:t>
      </w:r>
      <w:proofErr w:type="spellEnd"/>
      <w:r w:rsidRPr="00B659C4">
        <w:t xml:space="preserve"> kan göras antingen till </w:t>
      </w:r>
      <w:proofErr w:type="spellStart"/>
      <w:r w:rsidRPr="00B659C4">
        <w:t>huvudläge</w:t>
      </w:r>
      <w:proofErr w:type="spellEnd"/>
      <w:r w:rsidRPr="00B659C4">
        <w:t xml:space="preserve"> eller sätesläge – sätesläge kan vara en fördel om man behöver göra extraktion på fot, se nästa punkt.</w:t>
      </w:r>
    </w:p>
    <w:p w14:paraId="16D313BC" w14:textId="70505A02" w:rsidR="5D669AB7" w:rsidRPr="00B659C4" w:rsidRDefault="5D669AB7" w:rsidP="00B659C4">
      <w:pPr>
        <w:pStyle w:val="Liststycke"/>
      </w:pPr>
      <w:r w:rsidRPr="00B659C4">
        <w:t xml:space="preserve">När tvilling 2 har föregående </w:t>
      </w:r>
      <w:proofErr w:type="spellStart"/>
      <w:r w:rsidRPr="00B659C4">
        <w:t>fosterdel</w:t>
      </w:r>
      <w:proofErr w:type="spellEnd"/>
      <w:r w:rsidRPr="00B659C4">
        <w:t xml:space="preserve"> nedåt och fosterljud enligt CTG registreras u a startas </w:t>
      </w:r>
      <w:proofErr w:type="spellStart"/>
      <w:r w:rsidRPr="00B659C4">
        <w:t>oxytocindropp</w:t>
      </w:r>
      <w:proofErr w:type="spellEnd"/>
      <w:r w:rsidRPr="00B659C4">
        <w:t xml:space="preserve"> och kan då höjas upp snabbt om inte värkarna fortsätter spontant. Om man trots massiv höjning av </w:t>
      </w:r>
      <w:proofErr w:type="spellStart"/>
      <w:r w:rsidRPr="00B659C4">
        <w:t>oxytocindroppet</w:t>
      </w:r>
      <w:proofErr w:type="spellEnd"/>
      <w:r w:rsidRPr="00B659C4">
        <w:t xml:space="preserve"> inte får </w:t>
      </w:r>
      <w:proofErr w:type="gramStart"/>
      <w:r w:rsidRPr="00B659C4">
        <w:t>igång</w:t>
      </w:r>
      <w:proofErr w:type="gramEnd"/>
      <w:r w:rsidRPr="00B659C4">
        <w:t xml:space="preserve"> sammandragningarna för tvilling 2 bör extraktion på fot prövas innan ev. </w:t>
      </w:r>
      <w:proofErr w:type="spellStart"/>
      <w:r w:rsidRPr="00B659C4">
        <w:t>sectio</w:t>
      </w:r>
      <w:proofErr w:type="spellEnd"/>
      <w:r w:rsidRPr="00B659C4">
        <w:t xml:space="preserve">. Om CTG inte indicerar omedelbar förlossning görs extraktionen lämpligen på </w:t>
      </w:r>
      <w:proofErr w:type="spellStart"/>
      <w:r w:rsidRPr="00B659C4">
        <w:t>op.sal</w:t>
      </w:r>
      <w:proofErr w:type="spellEnd"/>
      <w:r w:rsidRPr="00B659C4">
        <w:t>. Handläggning: Ta in patienten till operationssalen, kontrollera fosterljuden lämpligen med yttre CTG alternativt ultraljud. Anestesiläkare ombeds lägga spinalanestesi (alternativt ”top-</w:t>
      </w:r>
      <w:proofErr w:type="spellStart"/>
      <w:r w:rsidRPr="00B659C4">
        <w:t>up</w:t>
      </w:r>
      <w:proofErr w:type="spellEnd"/>
      <w:r w:rsidRPr="00B659C4">
        <w:t xml:space="preserve">-EDA” vilket tar längre tid). Operationssköterska förbereder för eventuellt </w:t>
      </w:r>
      <w:proofErr w:type="spellStart"/>
      <w:r w:rsidRPr="00B659C4">
        <w:t>sectio</w:t>
      </w:r>
      <w:proofErr w:type="spellEnd"/>
      <w:r w:rsidRPr="00B659C4">
        <w:t xml:space="preserve">. </w:t>
      </w:r>
      <w:r w:rsidRPr="00B659C4">
        <w:lastRenderedPageBreak/>
        <w:t xml:space="preserve">Gör sedan </w:t>
      </w:r>
      <w:proofErr w:type="spellStart"/>
      <w:r w:rsidRPr="00B659C4">
        <w:t>amniotomi</w:t>
      </w:r>
      <w:proofErr w:type="spellEnd"/>
      <w:r w:rsidRPr="00B659C4">
        <w:t xml:space="preserve"> och ta tag i ena eller båda fötterna (om huvudet är föregående puffas det upp) och extrahera barnet, eventuellt efter </w:t>
      </w:r>
      <w:proofErr w:type="spellStart"/>
      <w:r w:rsidRPr="00B659C4">
        <w:t>inj</w:t>
      </w:r>
      <w:proofErr w:type="spellEnd"/>
      <w:r w:rsidRPr="00B659C4">
        <w:t xml:space="preserve">. Nitroglycerin </w:t>
      </w:r>
      <w:proofErr w:type="spellStart"/>
      <w:r w:rsidRPr="00B659C4">
        <w:t>i.v</w:t>
      </w:r>
      <w:proofErr w:type="spellEnd"/>
      <w:r w:rsidRPr="00B659C4">
        <w:t xml:space="preserve">. Om det mot förmodan inte lyckas görs </w:t>
      </w:r>
      <w:proofErr w:type="spellStart"/>
      <w:r w:rsidRPr="00B659C4">
        <w:t>sectio</w:t>
      </w:r>
      <w:proofErr w:type="spellEnd"/>
      <w:r w:rsidRPr="00B659C4">
        <w:t>. OBS! Vänta inte med dessa åtgärder för länge eftersom cervix kan börja dra ihop sig om det gått närmre 1 timme efter tvilling 1:s födelse.</w:t>
      </w:r>
    </w:p>
    <w:p w14:paraId="5F4B4495" w14:textId="72032511" w:rsidR="5D669AB7" w:rsidRPr="00B659C4" w:rsidRDefault="5D669AB7" w:rsidP="00B659C4">
      <w:pPr>
        <w:pStyle w:val="Liststycke"/>
      </w:pPr>
      <w:r w:rsidRPr="00B659C4">
        <w:t xml:space="preserve">När värkarbetet kommit </w:t>
      </w:r>
      <w:proofErr w:type="gramStart"/>
      <w:r w:rsidRPr="00B659C4">
        <w:t>igång</w:t>
      </w:r>
      <w:proofErr w:type="gramEnd"/>
      <w:r w:rsidRPr="00B659C4">
        <w:t xml:space="preserve"> och man känner att föregående </w:t>
      </w:r>
      <w:proofErr w:type="spellStart"/>
      <w:r w:rsidRPr="00B659C4">
        <w:t>fosterdel</w:t>
      </w:r>
      <w:proofErr w:type="spellEnd"/>
      <w:r w:rsidRPr="00B659C4">
        <w:t xml:space="preserve"> huvud fyller ut bäckeningången kan </w:t>
      </w:r>
      <w:proofErr w:type="spellStart"/>
      <w:r w:rsidRPr="00B659C4">
        <w:t>amniotomi</w:t>
      </w:r>
      <w:proofErr w:type="spellEnd"/>
      <w:r w:rsidRPr="00B659C4">
        <w:t xml:space="preserve"> på tvilling 2 göras – ordineras/utförs av ansvarig obstetriker. Vid sätesläge tvilling 2 bör man avvakta med </w:t>
      </w:r>
      <w:proofErr w:type="spellStart"/>
      <w:r w:rsidRPr="00B659C4">
        <w:t>amniotomi</w:t>
      </w:r>
      <w:proofErr w:type="spellEnd"/>
      <w:r w:rsidRPr="00B659C4">
        <w:t xml:space="preserve"> tills sätet passerat spinalplanet (</w:t>
      </w:r>
      <w:proofErr w:type="spellStart"/>
      <w:r w:rsidRPr="00B659C4">
        <w:t>pga</w:t>
      </w:r>
      <w:proofErr w:type="spellEnd"/>
      <w:r w:rsidRPr="00B659C4">
        <w:t xml:space="preserve"> risken för navelsträngsprolaps). </w:t>
      </w:r>
    </w:p>
    <w:p w14:paraId="78314718" w14:textId="53F5B74A" w:rsidR="5D669AB7" w:rsidRPr="00B659C4" w:rsidRDefault="5D669AB7" w:rsidP="00B659C4">
      <w:pPr>
        <w:pStyle w:val="Liststycke"/>
      </w:pPr>
      <w:r w:rsidRPr="00B659C4">
        <w:t>Om i detta skede</w:t>
      </w:r>
      <w:r w:rsidR="005A5029">
        <w:t>,</w:t>
      </w:r>
      <w:r w:rsidRPr="00B659C4">
        <w:t xml:space="preserve"> bradykardi uppträder på tvilling 2 skall patienten krysta ”på kommando” även om föregående </w:t>
      </w:r>
      <w:proofErr w:type="spellStart"/>
      <w:r w:rsidRPr="00B659C4">
        <w:t>fosterdel</w:t>
      </w:r>
      <w:proofErr w:type="spellEnd"/>
      <w:r w:rsidRPr="00B659C4">
        <w:t xml:space="preserve"> står högt och hon inte har krystkänsla – brukar då snabbt komma ner till bäckenbotten, ev</w:t>
      </w:r>
      <w:r w:rsidR="005A5029">
        <w:t>entuellt</w:t>
      </w:r>
      <w:r w:rsidRPr="00B659C4">
        <w:t xml:space="preserve"> med hjälp av yttre press. Om detta inte ger resultat kan man anlägga hög VE (diameter 40 mm brukar vara lättare att applicera än storleken 50 mm).</w:t>
      </w:r>
    </w:p>
    <w:p w14:paraId="52D113A0" w14:textId="1060B24E" w:rsidR="5D669AB7" w:rsidRPr="00B659C4" w:rsidRDefault="5D669AB7" w:rsidP="00B659C4">
      <w:pPr>
        <w:pStyle w:val="Liststycke"/>
      </w:pPr>
      <w:r w:rsidRPr="00B659C4">
        <w:t xml:space="preserve">Om tvilling 2 kommer i patologisk bjudning som inte går att korrigera </w:t>
      </w:r>
      <w:r w:rsidRPr="00B659C4">
        <w:br/>
        <w:t xml:space="preserve">prövas först extraktion på fot alternativt utförs akut </w:t>
      </w:r>
      <w:proofErr w:type="spellStart"/>
      <w:r w:rsidRPr="00B659C4">
        <w:t>sectio</w:t>
      </w:r>
      <w:proofErr w:type="spellEnd"/>
      <w:r w:rsidRPr="00B659C4">
        <w:t xml:space="preserve">. Överväg att göra extraktion på fot inne på operationsavdelningen ev. efter anläggning av spinalanestesi för att snabbt kunna konvertera till </w:t>
      </w:r>
      <w:proofErr w:type="spellStart"/>
      <w:r w:rsidRPr="00B659C4">
        <w:t>sectio</w:t>
      </w:r>
      <w:proofErr w:type="spellEnd"/>
      <w:r w:rsidRPr="00B659C4">
        <w:t xml:space="preserve"> om extraktionen inte lyckas.  </w:t>
      </w:r>
    </w:p>
    <w:p w14:paraId="3713ED97" w14:textId="757BDDD8" w:rsidR="5D669AB7" w:rsidRPr="00B659C4" w:rsidRDefault="5D669AB7" w:rsidP="00B659C4">
      <w:pPr>
        <w:pStyle w:val="Liststycke"/>
      </w:pPr>
      <w:r w:rsidRPr="00B659C4">
        <w:t xml:space="preserve">Vid fördröjd förlossning av tvilling 2 rekommenderas att vidta aktiva </w:t>
      </w:r>
      <w:r w:rsidRPr="00B659C4">
        <w:br/>
        <w:t>åtgärder för att påskynda förlossning, även om fosterljuden är u.a. – efter cirka 1 timme kan cervix dra ihop sig så att förlossning försvåras och komplikationsfrekvensen ökar markant.</w:t>
      </w:r>
    </w:p>
    <w:p w14:paraId="0033612B" w14:textId="226BDDCF" w:rsidR="5D669AB7" w:rsidRDefault="5D669AB7" w:rsidP="005A5029">
      <w:pPr>
        <w:pStyle w:val="MellanrubrikVGR"/>
        <w:rPr>
          <w:rFonts w:eastAsia="Segoe UI"/>
        </w:rPr>
      </w:pPr>
      <w:r w:rsidRPr="20EA8B50">
        <w:rPr>
          <w:rFonts w:eastAsia="Segoe UI"/>
        </w:rPr>
        <w:t>Att tänka på vid efterbördsskedet</w:t>
      </w:r>
    </w:p>
    <w:p w14:paraId="36B52D3A" w14:textId="0F40A623" w:rsidR="5D669AB7" w:rsidRPr="005A5029" w:rsidRDefault="5D669AB7" w:rsidP="005A5029">
      <w:pPr>
        <w:pStyle w:val="Liststycke"/>
      </w:pPr>
      <w:r w:rsidRPr="005A5029">
        <w:t>Var uppmärksam på den ökade risken för uterusatoni.</w:t>
      </w:r>
    </w:p>
    <w:p w14:paraId="156E2887" w14:textId="5AF3067C" w:rsidR="5D669AB7" w:rsidRPr="005A5029" w:rsidRDefault="5D669AB7" w:rsidP="005A5029">
      <w:pPr>
        <w:pStyle w:val="Liststycke"/>
      </w:pPr>
      <w:r w:rsidRPr="005A5029">
        <w:lastRenderedPageBreak/>
        <w:t xml:space="preserve">Det finns ingen indikation för blodgruppering av barnen eller PAD på </w:t>
      </w:r>
      <w:r w:rsidRPr="005A5029">
        <w:br/>
        <w:t xml:space="preserve">efterbörden vid samkönade tvillingar. Om </w:t>
      </w:r>
      <w:proofErr w:type="spellStart"/>
      <w:r w:rsidRPr="005A5029">
        <w:t>zygocitetsbedömning</w:t>
      </w:r>
      <w:proofErr w:type="spellEnd"/>
      <w:r w:rsidRPr="005A5029">
        <w:t xml:space="preserve"> är gjord med ultraljudsundersökning i början av graviditeten, samt en makroskopisk bedömning av efterbörden görs efter förlossningen, kan varken blodgruppering eller PAD ytterligare öka säkerheten i bedömningen av om det är enäggs- eller tvåäggstvillingar.</w:t>
      </w:r>
    </w:p>
    <w:p w14:paraId="29ACDB85" w14:textId="5F330DD2" w:rsidR="5D669AB7" w:rsidRDefault="5D669AB7" w:rsidP="005A5029">
      <w:pPr>
        <w:pStyle w:val="MellanrubrikVGR"/>
        <w:rPr>
          <w:rFonts w:eastAsia="Segoe UI"/>
        </w:rPr>
      </w:pPr>
      <w:r w:rsidRPr="20EA8B50">
        <w:rPr>
          <w:rFonts w:eastAsia="Segoe UI"/>
        </w:rPr>
        <w:t xml:space="preserve">Efter </w:t>
      </w:r>
      <w:proofErr w:type="spellStart"/>
      <w:r w:rsidRPr="20EA8B50">
        <w:rPr>
          <w:rFonts w:eastAsia="Segoe UI"/>
        </w:rPr>
        <w:t>sectio</w:t>
      </w:r>
      <w:proofErr w:type="spellEnd"/>
    </w:p>
    <w:p w14:paraId="7117CEB6" w14:textId="4001828B" w:rsidR="5D669AB7" w:rsidRDefault="5D669AB7" w:rsidP="005A5029">
      <w:r w:rsidRPr="20EA8B50">
        <w:t xml:space="preserve">Stor risk för atonisk efterblödning. </w:t>
      </w:r>
    </w:p>
    <w:p w14:paraId="5C0EF740" w14:textId="4930E41C" w:rsidR="5D669AB7" w:rsidRDefault="5D669AB7" w:rsidP="005A5029">
      <w:r w:rsidRPr="20EA8B50">
        <w:t>1. Injektion Syntocinon® 8,3 μg/ml, 1 ml iv. ges efter barnens framfödande.</w:t>
      </w:r>
    </w:p>
    <w:p w14:paraId="2B129164" w14:textId="35835508" w:rsidR="5D669AB7" w:rsidRDefault="5D669AB7" w:rsidP="005A5029">
      <w:r w:rsidRPr="20EA8B50">
        <w:t xml:space="preserve"> 2. Infusion Syntocinon® 66,4 μg (8 </w:t>
      </w:r>
      <w:proofErr w:type="gramStart"/>
      <w:r w:rsidRPr="20EA8B50">
        <w:t>ml)/</w:t>
      </w:r>
      <w:proofErr w:type="gramEnd"/>
      <w:r w:rsidRPr="20EA8B50">
        <w:t>500 ml NaCl.</w:t>
      </w:r>
    </w:p>
    <w:p w14:paraId="0A6E25FF" w14:textId="23644A94" w:rsidR="5D669AB7" w:rsidRDefault="5D669AB7" w:rsidP="005A5029">
      <w:r w:rsidRPr="20EA8B50">
        <w:t xml:space="preserve">Blanda 8 ml </w:t>
      </w:r>
      <w:proofErr w:type="spellStart"/>
      <w:r w:rsidRPr="20EA8B50">
        <w:t>Syntocinon</w:t>
      </w:r>
      <w:proofErr w:type="spellEnd"/>
      <w:r w:rsidRPr="20EA8B50">
        <w:t>® 8,3 μg/ml i 500 ml NaCl 9 mg/ml. (8ml Syntocinon® 8,3 μg/ml = 66,4 μg = 40 enheter) Ges med pump, initialt 120 ml/tim. Dropptakten halveras efter 60 minuter och går med denna dropptakt i ytterligare 60 minuter. Om blödningen är under kontroll kan droppet då utsättas. Kontraindikation: Ischemisk hjärtsjukdom, arytmibenägenhet.</w:t>
      </w:r>
    </w:p>
    <w:p w14:paraId="01DE448B" w14:textId="61BA60D4" w:rsidR="5D669AB7" w:rsidRDefault="5D669AB7" w:rsidP="005A5029">
      <w:r w:rsidRPr="20EA8B50">
        <w:t>Antibiotikaprofylax och trombosprofylax enligt separata PM, v.g. se Antibiotikaprofylax vid sectio, Trombosprofylax vid sectio.</w:t>
      </w:r>
    </w:p>
    <w:p w14:paraId="04FA7B60" w14:textId="229E1607" w:rsidR="5D669AB7" w:rsidRDefault="5D669AB7" w:rsidP="005A5029">
      <w:r w:rsidRPr="20EA8B50">
        <w:t>OBS! vid misstänkt/konstaterad trillinggraviditet alt. fyrlingsgraviditet remitteras patienten snarast till Antenatalmottagning och handlägges individuellt.</w:t>
      </w:r>
    </w:p>
    <w:p w14:paraId="1241C8E9" w14:textId="0B0D1FD0" w:rsidR="5D669AB7" w:rsidRDefault="5D669AB7" w:rsidP="005A5029">
      <w:pPr>
        <w:pStyle w:val="Rubrik2"/>
      </w:pPr>
      <w:bookmarkStart w:id="7" w:name="_Toc222228115"/>
      <w:r w:rsidRPr="20EA8B50">
        <w:t>Diagnoskoder:</w:t>
      </w:r>
      <w:bookmarkEnd w:id="7"/>
    </w:p>
    <w:p w14:paraId="630D70E6" w14:textId="192B1F06" w:rsidR="5D669AB7" w:rsidRDefault="5D669AB7" w:rsidP="005A5029">
      <w:r w:rsidRPr="20EA8B50">
        <w:t>O30.0A</w:t>
      </w:r>
      <w:r>
        <w:tab/>
      </w:r>
      <w:r w:rsidRPr="20EA8B50">
        <w:t>Dikoriotisk/diamniotisk tvillinggraviditet</w:t>
      </w:r>
    </w:p>
    <w:p w14:paraId="1EF11E52" w14:textId="403264A6" w:rsidR="5D669AB7" w:rsidRDefault="5D669AB7" w:rsidP="005A5029">
      <w:r w:rsidRPr="20EA8B50">
        <w:t>O30.0B</w:t>
      </w:r>
      <w:r>
        <w:tab/>
      </w:r>
      <w:r w:rsidRPr="20EA8B50">
        <w:t>Monokoriotisk/diamniotisk tvillinggraviditet</w:t>
      </w:r>
    </w:p>
    <w:p w14:paraId="0DDA3F25" w14:textId="506B6891" w:rsidR="5D669AB7" w:rsidRDefault="5D669AB7" w:rsidP="005A5029">
      <w:r w:rsidRPr="20EA8B50">
        <w:t>O30.0C</w:t>
      </w:r>
      <w:r>
        <w:tab/>
      </w:r>
      <w:r w:rsidRPr="20EA8B50">
        <w:t>Monokoriotisk/monoamniotisk tvillinggraviditet</w:t>
      </w:r>
    </w:p>
    <w:p w14:paraId="0D9FD774" w14:textId="150E14DA" w:rsidR="5D669AB7" w:rsidRDefault="5D669AB7" w:rsidP="005A5029">
      <w:r w:rsidRPr="20EA8B50">
        <w:t>O30.0</w:t>
      </w:r>
      <w:r>
        <w:tab/>
      </w:r>
      <w:r w:rsidR="005A5029">
        <w:tab/>
      </w:r>
      <w:r w:rsidRPr="20EA8B50">
        <w:t>Tvillinggraviditet, ospecificerad</w:t>
      </w:r>
    </w:p>
    <w:p w14:paraId="40E70B17" w14:textId="5842BCBF" w:rsidR="5D669AB7" w:rsidRDefault="5D669AB7" w:rsidP="005A5029">
      <w:r w:rsidRPr="20EA8B50">
        <w:t>O84.-</w:t>
      </w:r>
      <w:r>
        <w:tab/>
      </w:r>
      <w:r w:rsidR="005A5029">
        <w:tab/>
      </w:r>
      <w:r w:rsidRPr="20EA8B50">
        <w:t>vid förlossning</w:t>
      </w:r>
    </w:p>
    <w:p w14:paraId="758077D5" w14:textId="4B57BC17" w:rsidR="20EA8B50" w:rsidRDefault="20EA8B50" w:rsidP="20EA8B50">
      <w:pPr>
        <w:keepNext/>
        <w:spacing w:line="240" w:lineRule="auto"/>
        <w:ind w:left="2676" w:right="0"/>
        <w:rPr>
          <w:rFonts w:ascii="Arial" w:eastAsia="Arial" w:hAnsi="Arial" w:cs="Arial"/>
          <w:color w:val="000000" w:themeColor="text2"/>
          <w:sz w:val="32"/>
          <w:szCs w:val="32"/>
        </w:rPr>
      </w:pPr>
    </w:p>
    <w:p w14:paraId="2A0F016F" w14:textId="46CC21B2" w:rsidR="5D669AB7" w:rsidRDefault="5D669AB7" w:rsidP="005A5029">
      <w:pPr>
        <w:pStyle w:val="Rubrik2"/>
      </w:pPr>
      <w:bookmarkStart w:id="8" w:name="_Toc222228116"/>
      <w:r w:rsidRPr="20EA8B50">
        <w:t>Dokumentinformation</w:t>
      </w:r>
      <w:bookmarkEnd w:id="8"/>
    </w:p>
    <w:p w14:paraId="1B16EC95" w14:textId="37C743DA" w:rsidR="5D669AB7" w:rsidRDefault="5D669AB7" w:rsidP="005A5029">
      <w:pPr>
        <w:pStyle w:val="Rubrik3"/>
      </w:pPr>
      <w:bookmarkStart w:id="9" w:name="_Toc222228117"/>
      <w:r w:rsidRPr="20EA8B50">
        <w:t>För innehållet svarar</w:t>
      </w:r>
      <w:bookmarkEnd w:id="9"/>
    </w:p>
    <w:p w14:paraId="5254839C" w14:textId="1E04948B" w:rsidR="5D669AB7" w:rsidRDefault="5D669AB7" w:rsidP="005A5029">
      <w:r w:rsidRPr="20EA8B50">
        <w:t>Stina Berver, specialistläkare</w:t>
      </w:r>
    </w:p>
    <w:p w14:paraId="715D0B73" w14:textId="337FFCB0" w:rsidR="5D669AB7" w:rsidRDefault="5D669AB7" w:rsidP="005A5029">
      <w:r w:rsidRPr="20EA8B50">
        <w:t>Granskat av</w:t>
      </w:r>
    </w:p>
    <w:p w14:paraId="13DD3E48" w14:textId="50029564" w:rsidR="5D669AB7" w:rsidRDefault="5D669AB7" w:rsidP="005A5029">
      <w:r w:rsidRPr="20EA8B50">
        <w:t xml:space="preserve">Antje Johannsmeyer, ÖL </w:t>
      </w:r>
    </w:p>
    <w:p w14:paraId="215678A3" w14:textId="0EA68CB8" w:rsidR="5D669AB7" w:rsidRDefault="5D669AB7" w:rsidP="005A5029">
      <w:pPr>
        <w:rPr>
          <w:rFonts w:ascii="Arial" w:eastAsia="Arial" w:hAnsi="Arial" w:cs="Arial"/>
          <w:sz w:val="22"/>
          <w:szCs w:val="22"/>
        </w:rPr>
      </w:pPr>
      <w:r w:rsidRPr="20EA8B50">
        <w:rPr>
          <w:rFonts w:ascii="Arial" w:eastAsia="Arial" w:hAnsi="Arial" w:cs="Arial"/>
          <w:sz w:val="22"/>
          <w:szCs w:val="22"/>
        </w:rPr>
        <w:t>Fastställt av</w:t>
      </w:r>
    </w:p>
    <w:p w14:paraId="45B3B7CF" w14:textId="386B1C94" w:rsidR="5D669AB7" w:rsidRDefault="5D669AB7" w:rsidP="005A5029">
      <w:r w:rsidRPr="20EA8B50">
        <w:t>Karolina Andersson, verksamhetschef</w:t>
      </w:r>
    </w:p>
    <w:p w14:paraId="3F55324A" w14:textId="2DD701A4" w:rsidR="5D669AB7" w:rsidRDefault="5D669AB7" w:rsidP="005A5029">
      <w:pPr>
        <w:rPr>
          <w:rFonts w:ascii="Arial" w:eastAsia="Arial" w:hAnsi="Arial" w:cs="Arial"/>
          <w:sz w:val="22"/>
          <w:szCs w:val="22"/>
        </w:rPr>
      </w:pPr>
      <w:r w:rsidRPr="20EA8B50">
        <w:rPr>
          <w:rFonts w:ascii="Arial" w:eastAsia="Arial" w:hAnsi="Arial" w:cs="Arial"/>
          <w:sz w:val="22"/>
          <w:szCs w:val="22"/>
        </w:rPr>
        <w:t>Nyckelord</w:t>
      </w:r>
    </w:p>
    <w:p w14:paraId="3B50B756" w14:textId="2A82F327" w:rsidR="20EA8B50" w:rsidRDefault="5D669AB7" w:rsidP="00281B45">
      <w:r w:rsidRPr="20EA8B50">
        <w:t xml:space="preserve">Tvilling, förlossning, duplex, ultraljudsundersökning, DC/DA, MC/DA, MC/MA, cervixbedömning, mödrahälsovårdskontroller, TTS, </w:t>
      </w:r>
    </w:p>
    <w:sectPr w:rsidR="20EA8B50"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1AF16" w14:textId="77777777" w:rsidR="00551604" w:rsidRDefault="00551604">
      <w:r>
        <w:separator/>
      </w:r>
    </w:p>
  </w:endnote>
  <w:endnote w:type="continuationSeparator" w:id="0">
    <w:p w14:paraId="66C2DE90" w14:textId="77777777" w:rsidR="00551604" w:rsidRDefault="00551604">
      <w:r>
        <w:continuationSeparator/>
      </w:r>
    </w:p>
  </w:endnote>
  <w:endnote w:type="continuationNotice" w:id="1">
    <w:p w14:paraId="4483AEAC" w14:textId="77777777" w:rsidR="00551604" w:rsidRDefault="005516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E33FF" w14:textId="77777777" w:rsidR="00551604" w:rsidRDefault="00551604"/>
  </w:footnote>
  <w:footnote w:type="continuationSeparator" w:id="0">
    <w:p w14:paraId="3C62E462" w14:textId="77777777" w:rsidR="00551604" w:rsidRDefault="00551604">
      <w:r>
        <w:continuationSeparator/>
      </w:r>
    </w:p>
  </w:footnote>
  <w:footnote w:type="continuationNotice" w:id="1">
    <w:p w14:paraId="111D38DB" w14:textId="77777777" w:rsidR="00551604" w:rsidRDefault="005516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93579"/>
    <w:multiLevelType w:val="hybridMultilevel"/>
    <w:tmpl w:val="A38CD726"/>
    <w:lvl w:ilvl="0" w:tplc="8DD48A38">
      <w:start w:val="1"/>
      <w:numFmt w:val="bullet"/>
      <w:lvlText w:val=""/>
      <w:lvlJc w:val="left"/>
      <w:pPr>
        <w:ind w:left="3036" w:hanging="360"/>
      </w:pPr>
      <w:rPr>
        <w:rFonts w:ascii="Wingdings" w:hAnsi="Wingdings" w:hint="default"/>
      </w:rPr>
    </w:lvl>
    <w:lvl w:ilvl="1" w:tplc="EE84FD86">
      <w:start w:val="1"/>
      <w:numFmt w:val="bullet"/>
      <w:lvlText w:val="o"/>
      <w:lvlJc w:val="left"/>
      <w:pPr>
        <w:ind w:left="1647" w:hanging="360"/>
      </w:pPr>
      <w:rPr>
        <w:rFonts w:ascii="Courier New" w:hAnsi="Courier New" w:hint="default"/>
      </w:rPr>
    </w:lvl>
    <w:lvl w:ilvl="2" w:tplc="B95EE0B6">
      <w:start w:val="1"/>
      <w:numFmt w:val="bullet"/>
      <w:lvlText w:val=""/>
      <w:lvlJc w:val="left"/>
      <w:pPr>
        <w:ind w:left="2367" w:hanging="360"/>
      </w:pPr>
      <w:rPr>
        <w:rFonts w:ascii="Wingdings" w:hAnsi="Wingdings" w:hint="default"/>
      </w:rPr>
    </w:lvl>
    <w:lvl w:ilvl="3" w:tplc="494AF63A">
      <w:start w:val="1"/>
      <w:numFmt w:val="bullet"/>
      <w:lvlText w:val=""/>
      <w:lvlJc w:val="left"/>
      <w:pPr>
        <w:ind w:left="3087" w:hanging="360"/>
      </w:pPr>
      <w:rPr>
        <w:rFonts w:ascii="Symbol" w:hAnsi="Symbol" w:hint="default"/>
      </w:rPr>
    </w:lvl>
    <w:lvl w:ilvl="4" w:tplc="95DEE130">
      <w:start w:val="1"/>
      <w:numFmt w:val="bullet"/>
      <w:lvlText w:val="o"/>
      <w:lvlJc w:val="left"/>
      <w:pPr>
        <w:ind w:left="3807" w:hanging="360"/>
      </w:pPr>
      <w:rPr>
        <w:rFonts w:ascii="Courier New" w:hAnsi="Courier New" w:hint="default"/>
      </w:rPr>
    </w:lvl>
    <w:lvl w:ilvl="5" w:tplc="B40CC572">
      <w:start w:val="1"/>
      <w:numFmt w:val="bullet"/>
      <w:lvlText w:val=""/>
      <w:lvlJc w:val="left"/>
      <w:pPr>
        <w:ind w:left="4527" w:hanging="360"/>
      </w:pPr>
      <w:rPr>
        <w:rFonts w:ascii="Wingdings" w:hAnsi="Wingdings" w:hint="default"/>
      </w:rPr>
    </w:lvl>
    <w:lvl w:ilvl="6" w:tplc="19680E4C">
      <w:start w:val="1"/>
      <w:numFmt w:val="bullet"/>
      <w:lvlText w:val=""/>
      <w:lvlJc w:val="left"/>
      <w:pPr>
        <w:ind w:left="5247" w:hanging="360"/>
      </w:pPr>
      <w:rPr>
        <w:rFonts w:ascii="Symbol" w:hAnsi="Symbol" w:hint="default"/>
      </w:rPr>
    </w:lvl>
    <w:lvl w:ilvl="7" w:tplc="EDBE4EE2">
      <w:start w:val="1"/>
      <w:numFmt w:val="bullet"/>
      <w:lvlText w:val="o"/>
      <w:lvlJc w:val="left"/>
      <w:pPr>
        <w:ind w:left="5967" w:hanging="360"/>
      </w:pPr>
      <w:rPr>
        <w:rFonts w:ascii="Courier New" w:hAnsi="Courier New" w:hint="default"/>
      </w:rPr>
    </w:lvl>
    <w:lvl w:ilvl="8" w:tplc="94AAE438">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4233608">
    <w:abstractNumId w:val="2"/>
  </w:num>
  <w:num w:numId="2" w16cid:durableId="1909921896">
    <w:abstractNumId w:val="18"/>
  </w:num>
  <w:num w:numId="3" w16cid:durableId="1367871050">
    <w:abstractNumId w:val="15"/>
  </w:num>
  <w:num w:numId="4" w16cid:durableId="164058872">
    <w:abstractNumId w:val="0"/>
  </w:num>
  <w:num w:numId="5" w16cid:durableId="861477783">
    <w:abstractNumId w:val="7"/>
  </w:num>
  <w:num w:numId="6" w16cid:durableId="1280868239">
    <w:abstractNumId w:val="16"/>
  </w:num>
  <w:num w:numId="7" w16cid:durableId="444931515">
    <w:abstractNumId w:val="3"/>
  </w:num>
  <w:num w:numId="8" w16cid:durableId="739910959">
    <w:abstractNumId w:val="12"/>
  </w:num>
  <w:num w:numId="9" w16cid:durableId="391579451">
    <w:abstractNumId w:val="9"/>
  </w:num>
  <w:num w:numId="10" w16cid:durableId="1296368398">
    <w:abstractNumId w:val="1"/>
  </w:num>
  <w:num w:numId="11" w16cid:durableId="689646344">
    <w:abstractNumId w:val="1"/>
  </w:num>
  <w:num w:numId="12" w16cid:durableId="1979215945">
    <w:abstractNumId w:val="4"/>
  </w:num>
  <w:num w:numId="13" w16cid:durableId="830874331">
    <w:abstractNumId w:val="5"/>
  </w:num>
  <w:num w:numId="14" w16cid:durableId="57095060">
    <w:abstractNumId w:val="14"/>
  </w:num>
  <w:num w:numId="15" w16cid:durableId="36130748">
    <w:abstractNumId w:val="10"/>
  </w:num>
  <w:num w:numId="16" w16cid:durableId="560679449">
    <w:abstractNumId w:val="8"/>
  </w:num>
  <w:num w:numId="17" w16cid:durableId="1420566503">
    <w:abstractNumId w:val="13"/>
  </w:num>
  <w:num w:numId="18" w16cid:durableId="256527698">
    <w:abstractNumId w:val="6"/>
  </w:num>
  <w:num w:numId="19" w16cid:durableId="1090539201">
    <w:abstractNumId w:val="11"/>
  </w:num>
  <w:num w:numId="20" w16cid:durableId="184643959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0981"/>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1B4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0AB"/>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1604"/>
    <w:rsid w:val="005578FA"/>
    <w:rsid w:val="00565129"/>
    <w:rsid w:val="00565CD0"/>
    <w:rsid w:val="00566823"/>
    <w:rsid w:val="00567820"/>
    <w:rsid w:val="0057277B"/>
    <w:rsid w:val="005770AD"/>
    <w:rsid w:val="00581414"/>
    <w:rsid w:val="00582490"/>
    <w:rsid w:val="00597E28"/>
    <w:rsid w:val="005A5029"/>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45AF"/>
    <w:rsid w:val="0065595B"/>
    <w:rsid w:val="00656DCD"/>
    <w:rsid w:val="00660269"/>
    <w:rsid w:val="00665F89"/>
    <w:rsid w:val="00670DAA"/>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0EA3"/>
    <w:rsid w:val="00B13F4C"/>
    <w:rsid w:val="00B14487"/>
    <w:rsid w:val="00B16219"/>
    <w:rsid w:val="00B16C59"/>
    <w:rsid w:val="00B33FDD"/>
    <w:rsid w:val="00B359CC"/>
    <w:rsid w:val="00B36107"/>
    <w:rsid w:val="00B405A1"/>
    <w:rsid w:val="00B41571"/>
    <w:rsid w:val="00B41789"/>
    <w:rsid w:val="00B46C03"/>
    <w:rsid w:val="00B60C6C"/>
    <w:rsid w:val="00B619A9"/>
    <w:rsid w:val="00B659C4"/>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1A0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A2B"/>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5C92"/>
    <w:rsid w:val="00E77C46"/>
    <w:rsid w:val="00E8149C"/>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57D4"/>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0EA8B50"/>
    <w:rsid w:val="5D669AB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eader" Target="header2.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2230</Words>
  <Characters>11824</Characters>
  <Application>Microsoft Office Word</Application>
  <DocSecurity>0</DocSecurity>
  <Lines>98</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14026</CharactersWithSpaces>
  <SharedDoc>false</SharedDoc>
  <HyperlinkBase/>
  <HLinks>
    <vt:vector size="66" baseType="variant">
      <vt:variant>
        <vt:i4>7405617</vt:i4>
      </vt:variant>
      <vt:variant>
        <vt:i4>63</vt:i4>
      </vt:variant>
      <vt:variant>
        <vt:i4>0</vt:i4>
      </vt:variant>
      <vt:variant>
        <vt:i4>5</vt:i4>
      </vt:variant>
      <vt:variant>
        <vt:lpwstr>https://libguides.ub.uu.se/oxford-chicago-fotnoter</vt:lpwstr>
      </vt:variant>
      <vt:variant>
        <vt:lpwstr/>
      </vt:variant>
      <vt:variant>
        <vt:i4>5767170</vt:i4>
      </vt:variant>
      <vt:variant>
        <vt:i4>60</vt:i4>
      </vt:variant>
      <vt:variant>
        <vt:i4>0</vt:i4>
      </vt:variant>
      <vt:variant>
        <vt:i4>5</vt:i4>
      </vt:variant>
      <vt:variant>
        <vt:lpwstr>https://kib.ki.se/skriva-referera/skriva-referenser-att-ange-kalla/referensguider/referensguide-vancouver</vt:lpwstr>
      </vt:variant>
      <vt:variant>
        <vt:lpwstr/>
      </vt:variant>
      <vt:variant>
        <vt:i4>1507377</vt:i4>
      </vt:variant>
      <vt:variant>
        <vt:i4>50</vt:i4>
      </vt:variant>
      <vt:variant>
        <vt:i4>0</vt:i4>
      </vt:variant>
      <vt:variant>
        <vt:i4>5</vt:i4>
      </vt:variant>
      <vt:variant>
        <vt:lpwstr/>
      </vt:variant>
      <vt:variant>
        <vt:lpwstr>_Toc181866764</vt:lpwstr>
      </vt:variant>
      <vt:variant>
        <vt:i4>1507377</vt:i4>
      </vt:variant>
      <vt:variant>
        <vt:i4>44</vt:i4>
      </vt:variant>
      <vt:variant>
        <vt:i4>0</vt:i4>
      </vt:variant>
      <vt:variant>
        <vt:i4>5</vt:i4>
      </vt:variant>
      <vt:variant>
        <vt:lpwstr/>
      </vt:variant>
      <vt:variant>
        <vt:lpwstr>_Toc181866763</vt:lpwstr>
      </vt:variant>
      <vt:variant>
        <vt:i4>1507377</vt:i4>
      </vt:variant>
      <vt:variant>
        <vt:i4>38</vt:i4>
      </vt:variant>
      <vt:variant>
        <vt:i4>0</vt:i4>
      </vt:variant>
      <vt:variant>
        <vt:i4>5</vt:i4>
      </vt:variant>
      <vt:variant>
        <vt:lpwstr/>
      </vt:variant>
      <vt:variant>
        <vt:lpwstr>_Toc181866762</vt:lpwstr>
      </vt:variant>
      <vt:variant>
        <vt:i4>1507377</vt:i4>
      </vt:variant>
      <vt:variant>
        <vt:i4>32</vt:i4>
      </vt:variant>
      <vt:variant>
        <vt:i4>0</vt:i4>
      </vt:variant>
      <vt:variant>
        <vt:i4>5</vt:i4>
      </vt:variant>
      <vt:variant>
        <vt:lpwstr/>
      </vt:variant>
      <vt:variant>
        <vt:lpwstr>_Toc181866761</vt:lpwstr>
      </vt:variant>
      <vt:variant>
        <vt:i4>1507377</vt:i4>
      </vt:variant>
      <vt:variant>
        <vt:i4>26</vt:i4>
      </vt:variant>
      <vt:variant>
        <vt:i4>0</vt:i4>
      </vt:variant>
      <vt:variant>
        <vt:i4>5</vt:i4>
      </vt:variant>
      <vt:variant>
        <vt:lpwstr/>
      </vt:variant>
      <vt:variant>
        <vt:lpwstr>_Toc181866760</vt:lpwstr>
      </vt:variant>
      <vt:variant>
        <vt:i4>1310769</vt:i4>
      </vt:variant>
      <vt:variant>
        <vt:i4>20</vt:i4>
      </vt:variant>
      <vt:variant>
        <vt:i4>0</vt:i4>
      </vt:variant>
      <vt:variant>
        <vt:i4>5</vt:i4>
      </vt:variant>
      <vt:variant>
        <vt:lpwstr/>
      </vt:variant>
      <vt:variant>
        <vt:lpwstr>_Toc181866759</vt:lpwstr>
      </vt:variant>
      <vt:variant>
        <vt:i4>1310769</vt:i4>
      </vt:variant>
      <vt:variant>
        <vt:i4>14</vt:i4>
      </vt:variant>
      <vt:variant>
        <vt:i4>0</vt:i4>
      </vt:variant>
      <vt:variant>
        <vt:i4>5</vt:i4>
      </vt:variant>
      <vt:variant>
        <vt:lpwstr/>
      </vt:variant>
      <vt:variant>
        <vt:lpwstr>_Toc181866758</vt:lpwstr>
      </vt:variant>
      <vt:variant>
        <vt:i4>1310769</vt:i4>
      </vt:variant>
      <vt:variant>
        <vt:i4>8</vt:i4>
      </vt:variant>
      <vt:variant>
        <vt:i4>0</vt:i4>
      </vt:variant>
      <vt:variant>
        <vt:i4>5</vt:i4>
      </vt:variant>
      <vt:variant>
        <vt:lpwstr/>
      </vt:variant>
      <vt:variant>
        <vt:lpwstr>_Toc181866757</vt:lpwstr>
      </vt:variant>
      <vt:variant>
        <vt:i4>1310769</vt:i4>
      </vt:variant>
      <vt:variant>
        <vt:i4>2</vt:i4>
      </vt:variant>
      <vt:variant>
        <vt:i4>0</vt:i4>
      </vt:variant>
      <vt:variant>
        <vt:i4>5</vt:i4>
      </vt:variant>
      <vt:variant>
        <vt:lpwstr/>
      </vt:variant>
      <vt:variant>
        <vt:lpwstr>_Toc181866756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Tvillinggraviditet och förlossning</dc:title>
  <dc:subject/>
  <dc:creator/>
  <keywords/>
  <lastModifiedBy/>
  <revision>1</revision>
  <dcterms:created xsi:type="dcterms:W3CDTF">2026-02-17T12:43:00.0000000Z</dcterms:created>
  <dcterms:modified xsi:type="dcterms:W3CDTF">2026-02-17T12:43:00.0000000Z</dcterms:modified>
</coreProperties>
</file>