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825C8" w14:textId="77777777" w:rsidR="004865DB" w:rsidRDefault="004865DB" w:rsidP="00F35B05">
      <w:pPr>
        <w:pStyle w:val="Rubrik2"/>
        <w:sectPr w:rsidR="004865DB" w:rsidSect="004865D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5E3B67" w14:textId="77777777" w:rsidR="004865DB" w:rsidRPr="004865DB" w:rsidRDefault="004865DB" w:rsidP="00B43E73">
      <w:pPr>
        <w:pStyle w:val="Rubrik1"/>
      </w:pPr>
      <w:bookmarkStart w:id="1" w:name="_Toc314219769"/>
      <w:bookmarkStart w:id="2" w:name="_Toc133905011"/>
      <w:r w:rsidRPr="004865DB">
        <w:t>Rabies, postexpositionsprofylax - infektion SÄS</w:t>
      </w:r>
      <w:bookmarkEnd w:id="2"/>
    </w:p>
    <w:p w14:paraId="4B19BEC7" w14:textId="77777777" w:rsidR="004865DB" w:rsidRPr="004865DB" w:rsidRDefault="004865DB" w:rsidP="00B43E73">
      <w:pPr>
        <w:pStyle w:val="Rubrik2"/>
      </w:pPr>
      <w:bookmarkStart w:id="3" w:name="_Toc419877566"/>
      <w:bookmarkStart w:id="4" w:name="_Toc11918036"/>
      <w:bookmarkStart w:id="5" w:name="_Toc12339534"/>
      <w:bookmarkStart w:id="6" w:name="_Toc12623778"/>
      <w:bookmarkStart w:id="7" w:name="_Toc256000000"/>
      <w:bookmarkStart w:id="8" w:name="_Toc256000022"/>
      <w:bookmarkStart w:id="9" w:name="_Toc256000044"/>
      <w:bookmarkStart w:id="10" w:name="_Toc256000066"/>
      <w:bookmarkStart w:id="11" w:name="_Toc256000088"/>
      <w:bookmarkStart w:id="12" w:name="_Toc133905012"/>
      <w:r w:rsidRPr="004865DB">
        <w:t>Sammanfattning</w:t>
      </w:r>
      <w:bookmarkEnd w:id="1"/>
      <w:bookmarkEnd w:id="3"/>
      <w:bookmarkEnd w:id="4"/>
      <w:bookmarkEnd w:id="5"/>
      <w:bookmarkEnd w:id="6"/>
      <w:bookmarkEnd w:id="7"/>
      <w:bookmarkEnd w:id="8"/>
      <w:bookmarkEnd w:id="9"/>
      <w:bookmarkEnd w:id="10"/>
      <w:bookmarkEnd w:id="11"/>
      <w:bookmarkEnd w:id="12"/>
    </w:p>
    <w:p w14:paraId="35B8A266" w14:textId="77777777" w:rsidR="004865DB" w:rsidRPr="004865DB" w:rsidRDefault="004865DB" w:rsidP="00B43E73">
      <w:r w:rsidRPr="004865DB">
        <w:t xml:space="preserve">Rutinen beskriver handläggning och behandling på infektionsmottagning SÄS, efter exposition av misstänkt rabiessmitta. </w:t>
      </w:r>
    </w:p>
    <w:p w14:paraId="073AEF30" w14:textId="77777777" w:rsidR="004865DB" w:rsidRPr="0038419C" w:rsidRDefault="004865DB" w:rsidP="006C21A1">
      <w:pPr>
        <w:pStyle w:val="Innehll1"/>
      </w:pPr>
      <w:r w:rsidRPr="0038419C">
        <w:t>Innehållsförteckning</w:t>
      </w:r>
    </w:p>
    <w:p w14:paraId="634A4E3B" w14:textId="507C4E56" w:rsidR="007953E8" w:rsidRDefault="004865DB" w:rsidP="006C21A1">
      <w:pPr>
        <w:pStyle w:val="Innehll1"/>
        <w:rPr>
          <w:rFonts w:asciiTheme="minorHAnsi" w:eastAsiaTheme="minorEastAsia" w:hAnsiTheme="minorHAnsi" w:cstheme="minorBidi"/>
          <w:noProof/>
          <w:sz w:val="22"/>
          <w:szCs w:val="22"/>
        </w:rPr>
      </w:pPr>
      <w:r w:rsidRPr="007C20EE">
        <w:rPr>
          <w:noProof/>
          <w:sz w:val="22"/>
          <w:szCs w:val="32"/>
        </w:rPr>
        <w:fldChar w:fldCharType="begin"/>
      </w:r>
      <w:r w:rsidRPr="007C20EE">
        <w:rPr>
          <w:noProof/>
          <w:sz w:val="22"/>
          <w:szCs w:val="32"/>
        </w:rPr>
        <w:instrText xml:space="preserve"> TOC \o "1-3" \h \z </w:instrText>
      </w:r>
      <w:r w:rsidRPr="007C20EE">
        <w:rPr>
          <w:noProof/>
          <w:sz w:val="22"/>
          <w:szCs w:val="32"/>
        </w:rPr>
        <w:fldChar w:fldCharType="separate"/>
      </w:r>
      <w:hyperlink w:anchor="_Toc133905011" w:history="1">
        <w:r w:rsidR="007953E8" w:rsidRPr="008151C7">
          <w:rPr>
            <w:rStyle w:val="Hyperlnk"/>
            <w:rFonts w:eastAsia="MS Gothic"/>
            <w:noProof/>
          </w:rPr>
          <w:t>Rabies, postexpositionsprofylax - infektion SÄS</w:t>
        </w:r>
        <w:r w:rsidR="007953E8">
          <w:rPr>
            <w:noProof/>
            <w:webHidden/>
          </w:rPr>
          <w:tab/>
        </w:r>
        <w:r w:rsidR="007953E8">
          <w:rPr>
            <w:noProof/>
            <w:webHidden/>
          </w:rPr>
          <w:fldChar w:fldCharType="begin"/>
        </w:r>
        <w:r w:rsidR="007953E8">
          <w:rPr>
            <w:noProof/>
            <w:webHidden/>
          </w:rPr>
          <w:instrText xml:space="preserve"> PAGEREF _Toc133905011 \h </w:instrText>
        </w:r>
        <w:r w:rsidR="007953E8">
          <w:rPr>
            <w:noProof/>
            <w:webHidden/>
          </w:rPr>
        </w:r>
        <w:r w:rsidR="007953E8">
          <w:rPr>
            <w:noProof/>
            <w:webHidden/>
          </w:rPr>
          <w:fldChar w:fldCharType="separate"/>
        </w:r>
        <w:r w:rsidR="007953E8">
          <w:rPr>
            <w:noProof/>
            <w:webHidden/>
          </w:rPr>
          <w:t>1</w:t>
        </w:r>
        <w:r w:rsidR="007953E8">
          <w:rPr>
            <w:noProof/>
            <w:webHidden/>
          </w:rPr>
          <w:fldChar w:fldCharType="end"/>
        </w:r>
      </w:hyperlink>
    </w:p>
    <w:p w14:paraId="34A8240C" w14:textId="2B6D9331" w:rsidR="007953E8" w:rsidRDefault="007953E8">
      <w:pPr>
        <w:pStyle w:val="Innehll2"/>
        <w:rPr>
          <w:rFonts w:asciiTheme="minorHAnsi" w:eastAsiaTheme="minorEastAsia" w:hAnsiTheme="minorHAnsi" w:cstheme="minorBidi"/>
          <w:noProof/>
          <w:sz w:val="22"/>
          <w:szCs w:val="22"/>
        </w:rPr>
      </w:pPr>
      <w:hyperlink w:anchor="_Toc133905012" w:history="1">
        <w:r w:rsidRPr="008151C7">
          <w:rPr>
            <w:rStyle w:val="Hyperlnk"/>
            <w:rFonts w:eastAsia="MS Gothic"/>
            <w:noProof/>
          </w:rPr>
          <w:t>Sammanfattning</w:t>
        </w:r>
        <w:r>
          <w:rPr>
            <w:noProof/>
            <w:webHidden/>
          </w:rPr>
          <w:tab/>
        </w:r>
        <w:r>
          <w:rPr>
            <w:noProof/>
            <w:webHidden/>
          </w:rPr>
          <w:fldChar w:fldCharType="begin"/>
        </w:r>
        <w:r>
          <w:rPr>
            <w:noProof/>
            <w:webHidden/>
          </w:rPr>
          <w:instrText xml:space="preserve"> PAGEREF _Toc133905012 \h </w:instrText>
        </w:r>
        <w:r>
          <w:rPr>
            <w:noProof/>
            <w:webHidden/>
          </w:rPr>
        </w:r>
        <w:r>
          <w:rPr>
            <w:noProof/>
            <w:webHidden/>
          </w:rPr>
          <w:fldChar w:fldCharType="separate"/>
        </w:r>
        <w:r>
          <w:rPr>
            <w:noProof/>
            <w:webHidden/>
          </w:rPr>
          <w:t>1</w:t>
        </w:r>
        <w:r>
          <w:rPr>
            <w:noProof/>
            <w:webHidden/>
          </w:rPr>
          <w:fldChar w:fldCharType="end"/>
        </w:r>
      </w:hyperlink>
    </w:p>
    <w:p w14:paraId="317BA871" w14:textId="2A250FFD" w:rsidR="007953E8" w:rsidRDefault="007953E8">
      <w:pPr>
        <w:pStyle w:val="Innehll2"/>
        <w:rPr>
          <w:rFonts w:asciiTheme="minorHAnsi" w:eastAsiaTheme="minorEastAsia" w:hAnsiTheme="minorHAnsi" w:cstheme="minorBidi"/>
          <w:noProof/>
          <w:sz w:val="22"/>
          <w:szCs w:val="22"/>
        </w:rPr>
      </w:pPr>
      <w:hyperlink w:anchor="_Toc133905013" w:history="1">
        <w:r w:rsidRPr="008151C7">
          <w:rPr>
            <w:rStyle w:val="Hyperlnk"/>
            <w:rFonts w:eastAsia="MS Gothic"/>
            <w:noProof/>
          </w:rPr>
          <w:t>Förutsättningar</w:t>
        </w:r>
        <w:r>
          <w:rPr>
            <w:noProof/>
            <w:webHidden/>
          </w:rPr>
          <w:tab/>
        </w:r>
        <w:r>
          <w:rPr>
            <w:noProof/>
            <w:webHidden/>
          </w:rPr>
          <w:fldChar w:fldCharType="begin"/>
        </w:r>
        <w:r>
          <w:rPr>
            <w:noProof/>
            <w:webHidden/>
          </w:rPr>
          <w:instrText xml:space="preserve"> PAGEREF _Toc133905013 \h </w:instrText>
        </w:r>
        <w:r>
          <w:rPr>
            <w:noProof/>
            <w:webHidden/>
          </w:rPr>
        </w:r>
        <w:r>
          <w:rPr>
            <w:noProof/>
            <w:webHidden/>
          </w:rPr>
          <w:fldChar w:fldCharType="separate"/>
        </w:r>
        <w:r>
          <w:rPr>
            <w:noProof/>
            <w:webHidden/>
          </w:rPr>
          <w:t>2</w:t>
        </w:r>
        <w:r>
          <w:rPr>
            <w:noProof/>
            <w:webHidden/>
          </w:rPr>
          <w:fldChar w:fldCharType="end"/>
        </w:r>
      </w:hyperlink>
    </w:p>
    <w:p w14:paraId="6FF9C6D9" w14:textId="0AF0406B" w:rsidR="007953E8" w:rsidRDefault="007953E8" w:rsidP="00947EE5">
      <w:pPr>
        <w:pStyle w:val="Innehll3"/>
        <w:ind w:left="1304"/>
        <w:rPr>
          <w:rFonts w:asciiTheme="minorHAnsi" w:eastAsiaTheme="minorEastAsia" w:hAnsiTheme="minorHAnsi" w:cstheme="minorBidi"/>
          <w:noProof/>
          <w:sz w:val="22"/>
          <w:szCs w:val="22"/>
        </w:rPr>
      </w:pPr>
      <w:hyperlink w:anchor="_Toc133905014" w:history="1">
        <w:r w:rsidRPr="008151C7">
          <w:rPr>
            <w:rStyle w:val="Hyperlnk"/>
            <w:rFonts w:eastAsia="MS Gothic"/>
            <w:noProof/>
          </w:rPr>
          <w:t>Smittspridning</w:t>
        </w:r>
        <w:r>
          <w:rPr>
            <w:noProof/>
            <w:webHidden/>
          </w:rPr>
          <w:tab/>
        </w:r>
        <w:r>
          <w:rPr>
            <w:noProof/>
            <w:webHidden/>
          </w:rPr>
          <w:fldChar w:fldCharType="begin"/>
        </w:r>
        <w:r>
          <w:rPr>
            <w:noProof/>
            <w:webHidden/>
          </w:rPr>
          <w:instrText xml:space="preserve"> PAGEREF _Toc133905014 \h </w:instrText>
        </w:r>
        <w:r>
          <w:rPr>
            <w:noProof/>
            <w:webHidden/>
          </w:rPr>
        </w:r>
        <w:r>
          <w:rPr>
            <w:noProof/>
            <w:webHidden/>
          </w:rPr>
          <w:fldChar w:fldCharType="separate"/>
        </w:r>
        <w:r>
          <w:rPr>
            <w:noProof/>
            <w:webHidden/>
          </w:rPr>
          <w:t>2</w:t>
        </w:r>
        <w:r>
          <w:rPr>
            <w:noProof/>
            <w:webHidden/>
          </w:rPr>
          <w:fldChar w:fldCharType="end"/>
        </w:r>
      </w:hyperlink>
    </w:p>
    <w:p w14:paraId="5C4E5DD4" w14:textId="36D726D7" w:rsidR="007953E8" w:rsidRDefault="007953E8" w:rsidP="00947EE5">
      <w:pPr>
        <w:pStyle w:val="Innehll3"/>
        <w:ind w:left="1304"/>
        <w:rPr>
          <w:rFonts w:asciiTheme="minorHAnsi" w:eastAsiaTheme="minorEastAsia" w:hAnsiTheme="minorHAnsi" w:cstheme="minorBidi"/>
          <w:noProof/>
          <w:sz w:val="22"/>
          <w:szCs w:val="22"/>
        </w:rPr>
      </w:pPr>
      <w:hyperlink w:anchor="_Toc133905015" w:history="1">
        <w:r w:rsidRPr="008151C7">
          <w:rPr>
            <w:rStyle w:val="Hyperlnk"/>
            <w:rFonts w:eastAsia="MS Gothic"/>
            <w:noProof/>
          </w:rPr>
          <w:t>Symtom</w:t>
        </w:r>
        <w:r>
          <w:rPr>
            <w:noProof/>
            <w:webHidden/>
          </w:rPr>
          <w:tab/>
        </w:r>
        <w:r>
          <w:rPr>
            <w:noProof/>
            <w:webHidden/>
          </w:rPr>
          <w:fldChar w:fldCharType="begin"/>
        </w:r>
        <w:r>
          <w:rPr>
            <w:noProof/>
            <w:webHidden/>
          </w:rPr>
          <w:instrText xml:space="preserve"> PAGEREF _Toc133905015 \h </w:instrText>
        </w:r>
        <w:r>
          <w:rPr>
            <w:noProof/>
            <w:webHidden/>
          </w:rPr>
        </w:r>
        <w:r>
          <w:rPr>
            <w:noProof/>
            <w:webHidden/>
          </w:rPr>
          <w:fldChar w:fldCharType="separate"/>
        </w:r>
        <w:r>
          <w:rPr>
            <w:noProof/>
            <w:webHidden/>
          </w:rPr>
          <w:t>2</w:t>
        </w:r>
        <w:r>
          <w:rPr>
            <w:noProof/>
            <w:webHidden/>
          </w:rPr>
          <w:fldChar w:fldCharType="end"/>
        </w:r>
      </w:hyperlink>
    </w:p>
    <w:p w14:paraId="4572768A" w14:textId="2CB9BAE0" w:rsidR="007953E8" w:rsidRDefault="007953E8" w:rsidP="00947EE5">
      <w:pPr>
        <w:pStyle w:val="Innehll3"/>
        <w:ind w:left="1304"/>
        <w:rPr>
          <w:rFonts w:asciiTheme="minorHAnsi" w:eastAsiaTheme="minorEastAsia" w:hAnsiTheme="minorHAnsi" w:cstheme="minorBidi"/>
          <w:noProof/>
          <w:sz w:val="22"/>
          <w:szCs w:val="22"/>
        </w:rPr>
      </w:pPr>
      <w:hyperlink w:anchor="_Toc133905016" w:history="1">
        <w:r w:rsidRPr="008151C7">
          <w:rPr>
            <w:rStyle w:val="Hyperlnk"/>
            <w:rFonts w:eastAsia="MS Gothic"/>
            <w:noProof/>
          </w:rPr>
          <w:t>Inkubationstid</w:t>
        </w:r>
        <w:r>
          <w:rPr>
            <w:noProof/>
            <w:webHidden/>
          </w:rPr>
          <w:tab/>
        </w:r>
        <w:r>
          <w:rPr>
            <w:noProof/>
            <w:webHidden/>
          </w:rPr>
          <w:fldChar w:fldCharType="begin"/>
        </w:r>
        <w:r>
          <w:rPr>
            <w:noProof/>
            <w:webHidden/>
          </w:rPr>
          <w:instrText xml:space="preserve"> PAGEREF _Toc133905016 \h </w:instrText>
        </w:r>
        <w:r>
          <w:rPr>
            <w:noProof/>
            <w:webHidden/>
          </w:rPr>
        </w:r>
        <w:r>
          <w:rPr>
            <w:noProof/>
            <w:webHidden/>
          </w:rPr>
          <w:fldChar w:fldCharType="separate"/>
        </w:r>
        <w:r>
          <w:rPr>
            <w:noProof/>
            <w:webHidden/>
          </w:rPr>
          <w:t>2</w:t>
        </w:r>
        <w:r>
          <w:rPr>
            <w:noProof/>
            <w:webHidden/>
          </w:rPr>
          <w:fldChar w:fldCharType="end"/>
        </w:r>
      </w:hyperlink>
    </w:p>
    <w:p w14:paraId="533A74E2" w14:textId="20E9CEE2" w:rsidR="007953E8" w:rsidRDefault="007953E8" w:rsidP="00947EE5">
      <w:pPr>
        <w:pStyle w:val="Innehll3"/>
        <w:ind w:left="1304"/>
        <w:rPr>
          <w:rFonts w:asciiTheme="minorHAnsi" w:eastAsiaTheme="minorEastAsia" w:hAnsiTheme="minorHAnsi" w:cstheme="minorBidi"/>
          <w:noProof/>
          <w:sz w:val="22"/>
          <w:szCs w:val="22"/>
        </w:rPr>
      </w:pPr>
      <w:hyperlink w:anchor="_Toc133905017" w:history="1">
        <w:r w:rsidRPr="008151C7">
          <w:rPr>
            <w:rStyle w:val="Hyperlnk"/>
            <w:rFonts w:eastAsia="MS Gothic"/>
            <w:noProof/>
          </w:rPr>
          <w:t>Smittspårningsplikt</w:t>
        </w:r>
        <w:r>
          <w:rPr>
            <w:noProof/>
            <w:webHidden/>
          </w:rPr>
          <w:tab/>
        </w:r>
        <w:r>
          <w:rPr>
            <w:noProof/>
            <w:webHidden/>
          </w:rPr>
          <w:fldChar w:fldCharType="begin"/>
        </w:r>
        <w:r>
          <w:rPr>
            <w:noProof/>
            <w:webHidden/>
          </w:rPr>
          <w:instrText xml:space="preserve"> PAGEREF _Toc133905017 \h </w:instrText>
        </w:r>
        <w:r>
          <w:rPr>
            <w:noProof/>
            <w:webHidden/>
          </w:rPr>
        </w:r>
        <w:r>
          <w:rPr>
            <w:noProof/>
            <w:webHidden/>
          </w:rPr>
          <w:fldChar w:fldCharType="separate"/>
        </w:r>
        <w:r>
          <w:rPr>
            <w:noProof/>
            <w:webHidden/>
          </w:rPr>
          <w:t>2</w:t>
        </w:r>
        <w:r>
          <w:rPr>
            <w:noProof/>
            <w:webHidden/>
          </w:rPr>
          <w:fldChar w:fldCharType="end"/>
        </w:r>
      </w:hyperlink>
    </w:p>
    <w:p w14:paraId="04A2D966" w14:textId="0295A7D9" w:rsidR="007953E8" w:rsidRDefault="007953E8" w:rsidP="00947EE5">
      <w:pPr>
        <w:pStyle w:val="Innehll3"/>
        <w:ind w:left="1304"/>
        <w:rPr>
          <w:rFonts w:asciiTheme="minorHAnsi" w:eastAsiaTheme="minorEastAsia" w:hAnsiTheme="minorHAnsi" w:cstheme="minorBidi"/>
          <w:noProof/>
          <w:sz w:val="22"/>
          <w:szCs w:val="22"/>
        </w:rPr>
      </w:pPr>
      <w:hyperlink w:anchor="_Toc133905018" w:history="1">
        <w:r w:rsidRPr="008151C7">
          <w:rPr>
            <w:rStyle w:val="Hyperlnk"/>
            <w:rFonts w:eastAsia="MS Gothic"/>
            <w:noProof/>
          </w:rPr>
          <w:t>Behandling</w:t>
        </w:r>
        <w:r>
          <w:rPr>
            <w:noProof/>
            <w:webHidden/>
          </w:rPr>
          <w:tab/>
        </w:r>
        <w:r>
          <w:rPr>
            <w:noProof/>
            <w:webHidden/>
          </w:rPr>
          <w:fldChar w:fldCharType="begin"/>
        </w:r>
        <w:r>
          <w:rPr>
            <w:noProof/>
            <w:webHidden/>
          </w:rPr>
          <w:instrText xml:space="preserve"> PAGEREF _Toc133905018 \h </w:instrText>
        </w:r>
        <w:r>
          <w:rPr>
            <w:noProof/>
            <w:webHidden/>
          </w:rPr>
        </w:r>
        <w:r>
          <w:rPr>
            <w:noProof/>
            <w:webHidden/>
          </w:rPr>
          <w:fldChar w:fldCharType="separate"/>
        </w:r>
        <w:r>
          <w:rPr>
            <w:noProof/>
            <w:webHidden/>
          </w:rPr>
          <w:t>2</w:t>
        </w:r>
        <w:r>
          <w:rPr>
            <w:noProof/>
            <w:webHidden/>
          </w:rPr>
          <w:fldChar w:fldCharType="end"/>
        </w:r>
      </w:hyperlink>
    </w:p>
    <w:p w14:paraId="767AC29E" w14:textId="02610C98" w:rsidR="007953E8" w:rsidRDefault="007953E8">
      <w:pPr>
        <w:pStyle w:val="Innehll2"/>
        <w:rPr>
          <w:rFonts w:asciiTheme="minorHAnsi" w:eastAsiaTheme="minorEastAsia" w:hAnsiTheme="minorHAnsi" w:cstheme="minorBidi"/>
          <w:noProof/>
          <w:sz w:val="22"/>
          <w:szCs w:val="22"/>
        </w:rPr>
      </w:pPr>
      <w:hyperlink w:anchor="_Toc133905019" w:history="1">
        <w:r w:rsidRPr="008151C7">
          <w:rPr>
            <w:rStyle w:val="Hyperlnk"/>
            <w:rFonts w:eastAsia="MS Gothic"/>
            <w:noProof/>
          </w:rPr>
          <w:t>Genomförande</w:t>
        </w:r>
        <w:r>
          <w:rPr>
            <w:noProof/>
            <w:webHidden/>
          </w:rPr>
          <w:tab/>
        </w:r>
        <w:r>
          <w:rPr>
            <w:noProof/>
            <w:webHidden/>
          </w:rPr>
          <w:fldChar w:fldCharType="begin"/>
        </w:r>
        <w:r>
          <w:rPr>
            <w:noProof/>
            <w:webHidden/>
          </w:rPr>
          <w:instrText xml:space="preserve"> PAGEREF _Toc133905019 \h </w:instrText>
        </w:r>
        <w:r>
          <w:rPr>
            <w:noProof/>
            <w:webHidden/>
          </w:rPr>
        </w:r>
        <w:r>
          <w:rPr>
            <w:noProof/>
            <w:webHidden/>
          </w:rPr>
          <w:fldChar w:fldCharType="separate"/>
        </w:r>
        <w:r>
          <w:rPr>
            <w:noProof/>
            <w:webHidden/>
          </w:rPr>
          <w:t>3</w:t>
        </w:r>
        <w:r>
          <w:rPr>
            <w:noProof/>
            <w:webHidden/>
          </w:rPr>
          <w:fldChar w:fldCharType="end"/>
        </w:r>
      </w:hyperlink>
    </w:p>
    <w:p w14:paraId="5E8919D0" w14:textId="354C78C0" w:rsidR="007953E8" w:rsidRDefault="007953E8" w:rsidP="00947EE5">
      <w:pPr>
        <w:pStyle w:val="Innehll3"/>
        <w:ind w:left="1304"/>
        <w:rPr>
          <w:rFonts w:asciiTheme="minorHAnsi" w:eastAsiaTheme="minorEastAsia" w:hAnsiTheme="minorHAnsi" w:cstheme="minorBidi"/>
          <w:noProof/>
          <w:sz w:val="22"/>
          <w:szCs w:val="22"/>
        </w:rPr>
      </w:pPr>
      <w:hyperlink w:anchor="_Toc133905020" w:history="1">
        <w:r w:rsidRPr="008151C7">
          <w:rPr>
            <w:rStyle w:val="Hyperlnk"/>
            <w:rFonts w:eastAsia="MS Gothic"/>
            <w:noProof/>
          </w:rPr>
          <w:t>Initialt omhändertagande</w:t>
        </w:r>
        <w:r>
          <w:rPr>
            <w:noProof/>
            <w:webHidden/>
          </w:rPr>
          <w:tab/>
        </w:r>
        <w:r>
          <w:rPr>
            <w:noProof/>
            <w:webHidden/>
          </w:rPr>
          <w:fldChar w:fldCharType="begin"/>
        </w:r>
        <w:r>
          <w:rPr>
            <w:noProof/>
            <w:webHidden/>
          </w:rPr>
          <w:instrText xml:space="preserve"> PAGEREF _Toc133905020 \h </w:instrText>
        </w:r>
        <w:r>
          <w:rPr>
            <w:noProof/>
            <w:webHidden/>
          </w:rPr>
        </w:r>
        <w:r>
          <w:rPr>
            <w:noProof/>
            <w:webHidden/>
          </w:rPr>
          <w:fldChar w:fldCharType="separate"/>
        </w:r>
        <w:r>
          <w:rPr>
            <w:noProof/>
            <w:webHidden/>
          </w:rPr>
          <w:t>3</w:t>
        </w:r>
        <w:r>
          <w:rPr>
            <w:noProof/>
            <w:webHidden/>
          </w:rPr>
          <w:fldChar w:fldCharType="end"/>
        </w:r>
      </w:hyperlink>
    </w:p>
    <w:p w14:paraId="4CB0287D" w14:textId="66FD923D" w:rsidR="007953E8" w:rsidRDefault="007953E8" w:rsidP="00947EE5">
      <w:pPr>
        <w:pStyle w:val="Innehll3"/>
        <w:ind w:left="1304"/>
        <w:rPr>
          <w:rFonts w:asciiTheme="minorHAnsi" w:eastAsiaTheme="minorEastAsia" w:hAnsiTheme="minorHAnsi" w:cstheme="minorBidi"/>
          <w:noProof/>
          <w:sz w:val="22"/>
          <w:szCs w:val="22"/>
        </w:rPr>
      </w:pPr>
      <w:hyperlink w:anchor="_Toc133905021" w:history="1">
        <w:r w:rsidRPr="008151C7">
          <w:rPr>
            <w:rStyle w:val="Hyperlnk"/>
            <w:rFonts w:eastAsia="MS Gothic"/>
            <w:noProof/>
          </w:rPr>
          <w:t>Postexpositionsprofylax (PEP)/vaccin</w:t>
        </w:r>
        <w:r>
          <w:rPr>
            <w:noProof/>
            <w:webHidden/>
          </w:rPr>
          <w:tab/>
        </w:r>
        <w:r>
          <w:rPr>
            <w:noProof/>
            <w:webHidden/>
          </w:rPr>
          <w:fldChar w:fldCharType="begin"/>
        </w:r>
        <w:r>
          <w:rPr>
            <w:noProof/>
            <w:webHidden/>
          </w:rPr>
          <w:instrText xml:space="preserve"> PAGEREF _Toc133905021 \h </w:instrText>
        </w:r>
        <w:r>
          <w:rPr>
            <w:noProof/>
            <w:webHidden/>
          </w:rPr>
        </w:r>
        <w:r>
          <w:rPr>
            <w:noProof/>
            <w:webHidden/>
          </w:rPr>
          <w:fldChar w:fldCharType="separate"/>
        </w:r>
        <w:r>
          <w:rPr>
            <w:noProof/>
            <w:webHidden/>
          </w:rPr>
          <w:t>4</w:t>
        </w:r>
        <w:r>
          <w:rPr>
            <w:noProof/>
            <w:webHidden/>
          </w:rPr>
          <w:fldChar w:fldCharType="end"/>
        </w:r>
      </w:hyperlink>
    </w:p>
    <w:p w14:paraId="1D0E1AC7" w14:textId="617CCF36" w:rsidR="007953E8" w:rsidRDefault="007953E8" w:rsidP="00947EE5">
      <w:pPr>
        <w:pStyle w:val="Innehll3"/>
        <w:ind w:left="1304"/>
        <w:rPr>
          <w:rFonts w:asciiTheme="minorHAnsi" w:eastAsiaTheme="minorEastAsia" w:hAnsiTheme="minorHAnsi" w:cstheme="minorBidi"/>
          <w:noProof/>
          <w:sz w:val="22"/>
          <w:szCs w:val="22"/>
        </w:rPr>
      </w:pPr>
      <w:hyperlink w:anchor="_Toc133905022" w:history="1">
        <w:r w:rsidRPr="008151C7">
          <w:rPr>
            <w:rStyle w:val="Hyperlnk"/>
            <w:rFonts w:eastAsia="MS Gothic"/>
            <w:noProof/>
          </w:rPr>
          <w:t>Vaccinationsschema för PEP</w:t>
        </w:r>
        <w:r>
          <w:rPr>
            <w:noProof/>
            <w:webHidden/>
          </w:rPr>
          <w:tab/>
        </w:r>
        <w:r>
          <w:rPr>
            <w:noProof/>
            <w:webHidden/>
          </w:rPr>
          <w:fldChar w:fldCharType="begin"/>
        </w:r>
        <w:r>
          <w:rPr>
            <w:noProof/>
            <w:webHidden/>
          </w:rPr>
          <w:instrText xml:space="preserve"> PAGEREF _Toc133905022 \h </w:instrText>
        </w:r>
        <w:r>
          <w:rPr>
            <w:noProof/>
            <w:webHidden/>
          </w:rPr>
        </w:r>
        <w:r>
          <w:rPr>
            <w:noProof/>
            <w:webHidden/>
          </w:rPr>
          <w:fldChar w:fldCharType="separate"/>
        </w:r>
        <w:r>
          <w:rPr>
            <w:noProof/>
            <w:webHidden/>
          </w:rPr>
          <w:t>4</w:t>
        </w:r>
        <w:r>
          <w:rPr>
            <w:noProof/>
            <w:webHidden/>
          </w:rPr>
          <w:fldChar w:fldCharType="end"/>
        </w:r>
      </w:hyperlink>
    </w:p>
    <w:p w14:paraId="41261631" w14:textId="79113AB7" w:rsidR="007953E8" w:rsidRDefault="007953E8" w:rsidP="00947EE5">
      <w:pPr>
        <w:pStyle w:val="Innehll3"/>
        <w:ind w:left="1304"/>
        <w:rPr>
          <w:rFonts w:asciiTheme="minorHAnsi" w:eastAsiaTheme="minorEastAsia" w:hAnsiTheme="minorHAnsi" w:cstheme="minorBidi"/>
          <w:noProof/>
          <w:sz w:val="22"/>
          <w:szCs w:val="22"/>
        </w:rPr>
      </w:pPr>
      <w:hyperlink w:anchor="_Toc133905023" w:history="1">
        <w:r w:rsidRPr="008151C7">
          <w:rPr>
            <w:rStyle w:val="Hyperlnk"/>
            <w:rFonts w:eastAsia="MS Gothic"/>
            <w:noProof/>
          </w:rPr>
          <w:t>Behandling av tidigare ovaccinerad</w:t>
        </w:r>
        <w:r>
          <w:rPr>
            <w:noProof/>
            <w:webHidden/>
          </w:rPr>
          <w:tab/>
        </w:r>
        <w:r>
          <w:rPr>
            <w:noProof/>
            <w:webHidden/>
          </w:rPr>
          <w:fldChar w:fldCharType="begin"/>
        </w:r>
        <w:r>
          <w:rPr>
            <w:noProof/>
            <w:webHidden/>
          </w:rPr>
          <w:instrText xml:space="preserve"> PAGEREF _Toc133905023 \h </w:instrText>
        </w:r>
        <w:r>
          <w:rPr>
            <w:noProof/>
            <w:webHidden/>
          </w:rPr>
        </w:r>
        <w:r>
          <w:rPr>
            <w:noProof/>
            <w:webHidden/>
          </w:rPr>
          <w:fldChar w:fldCharType="separate"/>
        </w:r>
        <w:r>
          <w:rPr>
            <w:noProof/>
            <w:webHidden/>
          </w:rPr>
          <w:t>4</w:t>
        </w:r>
        <w:r>
          <w:rPr>
            <w:noProof/>
            <w:webHidden/>
          </w:rPr>
          <w:fldChar w:fldCharType="end"/>
        </w:r>
      </w:hyperlink>
    </w:p>
    <w:p w14:paraId="6D2E1DBB" w14:textId="2B2487A9" w:rsidR="007953E8" w:rsidRDefault="007953E8" w:rsidP="00947EE5">
      <w:pPr>
        <w:pStyle w:val="Innehll3"/>
        <w:ind w:left="1304"/>
        <w:rPr>
          <w:rFonts w:asciiTheme="minorHAnsi" w:eastAsiaTheme="minorEastAsia" w:hAnsiTheme="minorHAnsi" w:cstheme="minorBidi"/>
          <w:noProof/>
          <w:sz w:val="22"/>
          <w:szCs w:val="22"/>
        </w:rPr>
      </w:pPr>
      <w:hyperlink w:anchor="_Toc133905024" w:history="1">
        <w:r w:rsidRPr="008151C7">
          <w:rPr>
            <w:rStyle w:val="Hyperlnk"/>
            <w:rFonts w:eastAsia="MS Gothic"/>
            <w:noProof/>
          </w:rPr>
          <w:t>Behandling av tidigare grundvaccinerad</w:t>
        </w:r>
        <w:r>
          <w:rPr>
            <w:noProof/>
            <w:webHidden/>
          </w:rPr>
          <w:tab/>
        </w:r>
        <w:r>
          <w:rPr>
            <w:noProof/>
            <w:webHidden/>
          </w:rPr>
          <w:fldChar w:fldCharType="begin"/>
        </w:r>
        <w:r>
          <w:rPr>
            <w:noProof/>
            <w:webHidden/>
          </w:rPr>
          <w:instrText xml:space="preserve"> PAGEREF _Toc133905024 \h </w:instrText>
        </w:r>
        <w:r>
          <w:rPr>
            <w:noProof/>
            <w:webHidden/>
          </w:rPr>
        </w:r>
        <w:r>
          <w:rPr>
            <w:noProof/>
            <w:webHidden/>
          </w:rPr>
          <w:fldChar w:fldCharType="separate"/>
        </w:r>
        <w:r>
          <w:rPr>
            <w:noProof/>
            <w:webHidden/>
          </w:rPr>
          <w:t>4</w:t>
        </w:r>
        <w:r>
          <w:rPr>
            <w:noProof/>
            <w:webHidden/>
          </w:rPr>
          <w:fldChar w:fldCharType="end"/>
        </w:r>
      </w:hyperlink>
    </w:p>
    <w:p w14:paraId="1D377729" w14:textId="33279B82" w:rsidR="007953E8" w:rsidRDefault="007953E8" w:rsidP="00947EE5">
      <w:pPr>
        <w:pStyle w:val="Innehll3"/>
        <w:ind w:left="1304"/>
        <w:rPr>
          <w:rFonts w:asciiTheme="minorHAnsi" w:eastAsiaTheme="minorEastAsia" w:hAnsiTheme="minorHAnsi" w:cstheme="minorBidi"/>
          <w:noProof/>
          <w:sz w:val="22"/>
          <w:szCs w:val="22"/>
        </w:rPr>
      </w:pPr>
      <w:hyperlink w:anchor="_Toc133905025" w:history="1">
        <w:r w:rsidRPr="008151C7">
          <w:rPr>
            <w:rStyle w:val="Hyperlnk"/>
            <w:rFonts w:eastAsia="MS Gothic"/>
            <w:noProof/>
          </w:rPr>
          <w:t>Fortsättning av tidigare påbörjad postexpositionsprofylax</w:t>
        </w:r>
        <w:r>
          <w:rPr>
            <w:noProof/>
            <w:webHidden/>
          </w:rPr>
          <w:tab/>
        </w:r>
        <w:r>
          <w:rPr>
            <w:noProof/>
            <w:webHidden/>
          </w:rPr>
          <w:fldChar w:fldCharType="begin"/>
        </w:r>
        <w:r>
          <w:rPr>
            <w:noProof/>
            <w:webHidden/>
          </w:rPr>
          <w:instrText xml:space="preserve"> PAGEREF _Toc133905025 \h </w:instrText>
        </w:r>
        <w:r>
          <w:rPr>
            <w:noProof/>
            <w:webHidden/>
          </w:rPr>
        </w:r>
        <w:r>
          <w:rPr>
            <w:noProof/>
            <w:webHidden/>
          </w:rPr>
          <w:fldChar w:fldCharType="separate"/>
        </w:r>
        <w:r>
          <w:rPr>
            <w:noProof/>
            <w:webHidden/>
          </w:rPr>
          <w:t>5</w:t>
        </w:r>
        <w:r>
          <w:rPr>
            <w:noProof/>
            <w:webHidden/>
          </w:rPr>
          <w:fldChar w:fldCharType="end"/>
        </w:r>
      </w:hyperlink>
    </w:p>
    <w:p w14:paraId="73E32CD8" w14:textId="464F9973" w:rsidR="007953E8" w:rsidRDefault="007953E8" w:rsidP="00947EE5">
      <w:pPr>
        <w:pStyle w:val="Innehll3"/>
        <w:ind w:left="1304"/>
        <w:rPr>
          <w:rFonts w:asciiTheme="minorHAnsi" w:eastAsiaTheme="minorEastAsia" w:hAnsiTheme="minorHAnsi" w:cstheme="minorBidi"/>
          <w:noProof/>
          <w:sz w:val="22"/>
          <w:szCs w:val="22"/>
        </w:rPr>
      </w:pPr>
      <w:hyperlink w:anchor="_Toc133905026" w:history="1">
        <w:r w:rsidRPr="008151C7">
          <w:rPr>
            <w:rStyle w:val="Hyperlnk"/>
            <w:rFonts w:eastAsia="MS Gothic"/>
            <w:noProof/>
          </w:rPr>
          <w:t>Administration</w:t>
        </w:r>
        <w:r>
          <w:rPr>
            <w:noProof/>
            <w:webHidden/>
          </w:rPr>
          <w:tab/>
        </w:r>
        <w:r>
          <w:rPr>
            <w:noProof/>
            <w:webHidden/>
          </w:rPr>
          <w:fldChar w:fldCharType="begin"/>
        </w:r>
        <w:r>
          <w:rPr>
            <w:noProof/>
            <w:webHidden/>
          </w:rPr>
          <w:instrText xml:space="preserve"> PAGEREF _Toc133905026 \h </w:instrText>
        </w:r>
        <w:r>
          <w:rPr>
            <w:noProof/>
            <w:webHidden/>
          </w:rPr>
        </w:r>
        <w:r>
          <w:rPr>
            <w:noProof/>
            <w:webHidden/>
          </w:rPr>
          <w:fldChar w:fldCharType="separate"/>
        </w:r>
        <w:r>
          <w:rPr>
            <w:noProof/>
            <w:webHidden/>
          </w:rPr>
          <w:t>5</w:t>
        </w:r>
        <w:r>
          <w:rPr>
            <w:noProof/>
            <w:webHidden/>
          </w:rPr>
          <w:fldChar w:fldCharType="end"/>
        </w:r>
      </w:hyperlink>
    </w:p>
    <w:p w14:paraId="6D3C4936" w14:textId="3A10C97C" w:rsidR="007953E8" w:rsidRDefault="007953E8" w:rsidP="00947EE5">
      <w:pPr>
        <w:pStyle w:val="Innehll3"/>
        <w:ind w:left="1304"/>
        <w:rPr>
          <w:rFonts w:asciiTheme="minorHAnsi" w:eastAsiaTheme="minorEastAsia" w:hAnsiTheme="minorHAnsi" w:cstheme="minorBidi"/>
          <w:noProof/>
          <w:sz w:val="22"/>
          <w:szCs w:val="22"/>
        </w:rPr>
      </w:pPr>
      <w:hyperlink w:anchor="_Toc133905027" w:history="1">
        <w:r w:rsidRPr="008151C7">
          <w:rPr>
            <w:rStyle w:val="Hyperlnk"/>
            <w:rFonts w:eastAsia="MS Gothic"/>
            <w:noProof/>
          </w:rPr>
          <w:t>Beställning av läkemedel</w:t>
        </w:r>
        <w:r>
          <w:rPr>
            <w:noProof/>
            <w:webHidden/>
          </w:rPr>
          <w:tab/>
        </w:r>
        <w:r>
          <w:rPr>
            <w:noProof/>
            <w:webHidden/>
          </w:rPr>
          <w:fldChar w:fldCharType="begin"/>
        </w:r>
        <w:r>
          <w:rPr>
            <w:noProof/>
            <w:webHidden/>
          </w:rPr>
          <w:instrText xml:space="preserve"> PAGEREF _Toc133905027 \h </w:instrText>
        </w:r>
        <w:r>
          <w:rPr>
            <w:noProof/>
            <w:webHidden/>
          </w:rPr>
        </w:r>
        <w:r>
          <w:rPr>
            <w:noProof/>
            <w:webHidden/>
          </w:rPr>
          <w:fldChar w:fldCharType="separate"/>
        </w:r>
        <w:r>
          <w:rPr>
            <w:noProof/>
            <w:webHidden/>
          </w:rPr>
          <w:t>6</w:t>
        </w:r>
        <w:r>
          <w:rPr>
            <w:noProof/>
            <w:webHidden/>
          </w:rPr>
          <w:fldChar w:fldCharType="end"/>
        </w:r>
      </w:hyperlink>
    </w:p>
    <w:p w14:paraId="3CD18871" w14:textId="786A791A" w:rsidR="007953E8" w:rsidRDefault="007953E8" w:rsidP="00947EE5">
      <w:pPr>
        <w:pStyle w:val="Innehll3"/>
        <w:ind w:left="1304"/>
        <w:rPr>
          <w:rFonts w:asciiTheme="minorHAnsi" w:eastAsiaTheme="minorEastAsia" w:hAnsiTheme="minorHAnsi" w:cstheme="minorBidi"/>
          <w:noProof/>
          <w:sz w:val="22"/>
          <w:szCs w:val="22"/>
        </w:rPr>
      </w:pPr>
      <w:hyperlink w:anchor="_Toc133905028" w:history="1">
        <w:r w:rsidRPr="008151C7">
          <w:rPr>
            <w:rStyle w:val="Hyperlnk"/>
            <w:rFonts w:eastAsia="MS Gothic"/>
            <w:noProof/>
          </w:rPr>
          <w:t>Debitering av kostnad</w:t>
        </w:r>
        <w:r>
          <w:rPr>
            <w:noProof/>
            <w:webHidden/>
          </w:rPr>
          <w:tab/>
        </w:r>
        <w:r>
          <w:rPr>
            <w:noProof/>
            <w:webHidden/>
          </w:rPr>
          <w:fldChar w:fldCharType="begin"/>
        </w:r>
        <w:r>
          <w:rPr>
            <w:noProof/>
            <w:webHidden/>
          </w:rPr>
          <w:instrText xml:space="preserve"> PAGEREF _Toc133905028 \h </w:instrText>
        </w:r>
        <w:r>
          <w:rPr>
            <w:noProof/>
            <w:webHidden/>
          </w:rPr>
        </w:r>
        <w:r>
          <w:rPr>
            <w:noProof/>
            <w:webHidden/>
          </w:rPr>
          <w:fldChar w:fldCharType="separate"/>
        </w:r>
        <w:r>
          <w:rPr>
            <w:noProof/>
            <w:webHidden/>
          </w:rPr>
          <w:t>6</w:t>
        </w:r>
        <w:r>
          <w:rPr>
            <w:noProof/>
            <w:webHidden/>
          </w:rPr>
          <w:fldChar w:fldCharType="end"/>
        </w:r>
      </w:hyperlink>
    </w:p>
    <w:p w14:paraId="4D6C1936" w14:textId="075B2605" w:rsidR="007953E8" w:rsidRDefault="007953E8">
      <w:pPr>
        <w:pStyle w:val="Innehll2"/>
        <w:rPr>
          <w:rFonts w:asciiTheme="minorHAnsi" w:eastAsiaTheme="minorEastAsia" w:hAnsiTheme="minorHAnsi" w:cstheme="minorBidi"/>
          <w:noProof/>
          <w:sz w:val="22"/>
          <w:szCs w:val="22"/>
        </w:rPr>
      </w:pPr>
      <w:hyperlink w:anchor="_Toc133905029" w:history="1">
        <w:r w:rsidRPr="008151C7">
          <w:rPr>
            <w:rStyle w:val="Hyperlnk"/>
            <w:rFonts w:eastAsia="MS Gothic"/>
            <w:noProof/>
          </w:rPr>
          <w:t>Länkförteckning</w:t>
        </w:r>
        <w:r>
          <w:rPr>
            <w:noProof/>
            <w:webHidden/>
          </w:rPr>
          <w:tab/>
        </w:r>
        <w:r>
          <w:rPr>
            <w:noProof/>
            <w:webHidden/>
          </w:rPr>
          <w:fldChar w:fldCharType="begin"/>
        </w:r>
        <w:r>
          <w:rPr>
            <w:noProof/>
            <w:webHidden/>
          </w:rPr>
          <w:instrText xml:space="preserve"> PAGEREF _Toc133905029 \h </w:instrText>
        </w:r>
        <w:r>
          <w:rPr>
            <w:noProof/>
            <w:webHidden/>
          </w:rPr>
        </w:r>
        <w:r>
          <w:rPr>
            <w:noProof/>
            <w:webHidden/>
          </w:rPr>
          <w:fldChar w:fldCharType="separate"/>
        </w:r>
        <w:r>
          <w:rPr>
            <w:noProof/>
            <w:webHidden/>
          </w:rPr>
          <w:t>6</w:t>
        </w:r>
        <w:r>
          <w:rPr>
            <w:noProof/>
            <w:webHidden/>
          </w:rPr>
          <w:fldChar w:fldCharType="end"/>
        </w:r>
      </w:hyperlink>
    </w:p>
    <w:p w14:paraId="7D429EE7" w14:textId="4710155E" w:rsidR="004865DB" w:rsidRPr="004865DB" w:rsidRDefault="004865DB" w:rsidP="006C21A1">
      <w:pPr>
        <w:pStyle w:val="Innehll1"/>
      </w:pPr>
      <w:r w:rsidRPr="007C20EE">
        <w:fldChar w:fldCharType="end"/>
      </w:r>
    </w:p>
    <w:p w14:paraId="7FD71068" w14:textId="60104DF7" w:rsidR="004865DB" w:rsidRPr="004865DB" w:rsidRDefault="004865DB" w:rsidP="00B43E73">
      <w:pPr>
        <w:pStyle w:val="Rubrik2"/>
      </w:pPr>
      <w:bookmarkStart w:id="13" w:name="_Toc419877567"/>
      <w:bookmarkStart w:id="14" w:name="_Toc11918037"/>
      <w:bookmarkStart w:id="15" w:name="_Toc12339535"/>
      <w:bookmarkStart w:id="16" w:name="_Toc12623779"/>
      <w:bookmarkStart w:id="17" w:name="_Toc256000001"/>
      <w:bookmarkStart w:id="18" w:name="_Toc256000023"/>
      <w:bookmarkStart w:id="19" w:name="_Toc256000045"/>
      <w:bookmarkStart w:id="20" w:name="_Toc256000067"/>
      <w:bookmarkStart w:id="21" w:name="_Toc256000089"/>
      <w:bookmarkStart w:id="22" w:name="_Toc133905013"/>
      <w:r w:rsidRPr="004865DB">
        <w:t>Förutsättningar</w:t>
      </w:r>
      <w:bookmarkEnd w:id="13"/>
      <w:bookmarkEnd w:id="14"/>
      <w:bookmarkEnd w:id="15"/>
      <w:bookmarkEnd w:id="16"/>
      <w:bookmarkEnd w:id="17"/>
      <w:bookmarkEnd w:id="18"/>
      <w:bookmarkEnd w:id="19"/>
      <w:bookmarkEnd w:id="20"/>
      <w:bookmarkEnd w:id="21"/>
      <w:bookmarkEnd w:id="22"/>
    </w:p>
    <w:p w14:paraId="789D55CC" w14:textId="77777777" w:rsidR="004865DB" w:rsidRPr="004865DB" w:rsidRDefault="004865DB" w:rsidP="00B43E73">
      <w:pPr>
        <w:pStyle w:val="Rubrik3"/>
      </w:pPr>
      <w:bookmarkStart w:id="23" w:name="_Toc11918038"/>
      <w:bookmarkStart w:id="24" w:name="_Toc12339536"/>
      <w:bookmarkStart w:id="25" w:name="_Toc12623780"/>
      <w:bookmarkStart w:id="26" w:name="_Toc256000002"/>
      <w:bookmarkStart w:id="27" w:name="_Toc256000024"/>
      <w:bookmarkStart w:id="28" w:name="_Toc256000046"/>
      <w:bookmarkStart w:id="29" w:name="_Toc256000068"/>
      <w:bookmarkStart w:id="30" w:name="_Toc256000090"/>
      <w:bookmarkStart w:id="31" w:name="_Toc133905014"/>
      <w:r w:rsidRPr="004865DB">
        <w:t>Smittspridning</w:t>
      </w:r>
      <w:bookmarkEnd w:id="23"/>
      <w:bookmarkEnd w:id="24"/>
      <w:bookmarkEnd w:id="25"/>
      <w:bookmarkEnd w:id="26"/>
      <w:bookmarkEnd w:id="27"/>
      <w:bookmarkEnd w:id="28"/>
      <w:bookmarkEnd w:id="29"/>
      <w:bookmarkEnd w:id="30"/>
      <w:bookmarkEnd w:id="31"/>
    </w:p>
    <w:p w14:paraId="46F1623A" w14:textId="3DC464C2" w:rsidR="004865DB" w:rsidRPr="004865DB" w:rsidRDefault="004865DB" w:rsidP="00B43E73">
      <w:r w:rsidRPr="004865DB">
        <w:t xml:space="preserve">Rabies är en virussjukdom som kan överföras mellan djur och människa och finns i stora delar av världen. Majoriteten av alla humana fall är smittade via hundbett. Andra smittkällor är räv, katt, varg, fladdermus, apa och tvättbjörn samt förekommer sporadiskt bland vilda djur i östra Europa. Varianter av rabiesvirus finns hos fladdermöss i de flesta länder, sannolikt även Sverige. Sverige har inte haft något humanfall på </w:t>
      </w:r>
      <w:r w:rsidR="00ED010A">
        <w:t>l</w:t>
      </w:r>
      <w:r w:rsidR="002D5F3F">
        <w:t>änge</w:t>
      </w:r>
      <w:r w:rsidRPr="004865DB">
        <w:t xml:space="preserve">. </w:t>
      </w:r>
    </w:p>
    <w:p w14:paraId="3552334C" w14:textId="77777777" w:rsidR="004865DB" w:rsidRPr="004865DB" w:rsidRDefault="004865DB" w:rsidP="00B43E73">
      <w:r w:rsidRPr="004865DB">
        <w:t xml:space="preserve">Luftburen smitta är sällsynt men finns beskriven från grottor med stora kolonier av fladdermöss samt i laboratorier vid hantering av stora mängder höginfektiöst virus. </w:t>
      </w:r>
    </w:p>
    <w:p w14:paraId="2D86B77D" w14:textId="77777777" w:rsidR="004865DB" w:rsidRPr="004865DB" w:rsidRDefault="004865DB" w:rsidP="00B43E73">
      <w:r w:rsidRPr="004865DB">
        <w:t>Överföring mellan människor är teoretiskt möjlig då rabiessjuka personer kan ha virus i saliven, men inga laboratorieverifierade fall har rapporterats. Smittöverföring via organtransplantation har rapporterats i några enstaka fall. Direktinokulation av virus via saliv i ögon, sår eller munslemhinna kan också innebära smitta.</w:t>
      </w:r>
    </w:p>
    <w:p w14:paraId="2439F7D3" w14:textId="77777777" w:rsidR="004865DB" w:rsidRPr="004865DB" w:rsidRDefault="004865DB" w:rsidP="00B43E73">
      <w:pPr>
        <w:pStyle w:val="Rubrik3"/>
      </w:pPr>
      <w:bookmarkStart w:id="32" w:name="_Toc11918039"/>
      <w:bookmarkStart w:id="33" w:name="_Toc12339537"/>
      <w:bookmarkStart w:id="34" w:name="_Toc12623781"/>
      <w:bookmarkStart w:id="35" w:name="_Toc256000003"/>
      <w:bookmarkStart w:id="36" w:name="_Toc256000025"/>
      <w:bookmarkStart w:id="37" w:name="_Toc256000047"/>
      <w:bookmarkStart w:id="38" w:name="_Toc256000069"/>
      <w:bookmarkStart w:id="39" w:name="_Toc256000091"/>
      <w:bookmarkStart w:id="40" w:name="_Toc133905015"/>
      <w:r w:rsidRPr="004865DB">
        <w:t>Symtom</w:t>
      </w:r>
      <w:bookmarkEnd w:id="32"/>
      <w:bookmarkEnd w:id="33"/>
      <w:bookmarkEnd w:id="34"/>
      <w:bookmarkEnd w:id="35"/>
      <w:bookmarkEnd w:id="36"/>
      <w:bookmarkEnd w:id="37"/>
      <w:bookmarkEnd w:id="38"/>
      <w:bookmarkEnd w:id="39"/>
      <w:bookmarkEnd w:id="40"/>
    </w:p>
    <w:p w14:paraId="5EE52315" w14:textId="29F1A15F" w:rsidR="004865DB" w:rsidRPr="004865DB" w:rsidRDefault="004865DB" w:rsidP="00B43E73">
      <w:r w:rsidRPr="004865DB">
        <w:t xml:space="preserve">Första symptom kan vara domningar, klåda och smärta </w:t>
      </w:r>
      <w:r w:rsidR="002D5F3F">
        <w:t xml:space="preserve">vid </w:t>
      </w:r>
      <w:r w:rsidRPr="004865DB">
        <w:t>bettområdet. Andra förekommande symptom kan vara oro, ångest, hallucinationer, feber, allmän sjukdomskänsla, huvudvärk, förvirring eller kram</w:t>
      </w:r>
      <w:r w:rsidR="001E47E6">
        <w:t>per</w:t>
      </w:r>
      <w:r w:rsidRPr="004865DB">
        <w:t>. Sjukdomen är så gott som alltid dödlig när symptom debuterat.</w:t>
      </w:r>
    </w:p>
    <w:p w14:paraId="177FB6C5" w14:textId="77777777" w:rsidR="004865DB" w:rsidRPr="004865DB" w:rsidRDefault="004865DB" w:rsidP="00B43E73">
      <w:pPr>
        <w:pStyle w:val="Rubrik3"/>
      </w:pPr>
      <w:bookmarkStart w:id="41" w:name="_Toc11918040"/>
      <w:bookmarkStart w:id="42" w:name="_Toc12339538"/>
      <w:bookmarkStart w:id="43" w:name="_Toc12623782"/>
      <w:bookmarkStart w:id="44" w:name="_Toc256000004"/>
      <w:bookmarkStart w:id="45" w:name="_Toc256000026"/>
      <w:bookmarkStart w:id="46" w:name="_Toc256000048"/>
      <w:bookmarkStart w:id="47" w:name="_Toc256000070"/>
      <w:bookmarkStart w:id="48" w:name="_Toc256000092"/>
      <w:bookmarkStart w:id="49" w:name="_Toc133905016"/>
      <w:r w:rsidRPr="004865DB">
        <w:t>Inkubationstid</w:t>
      </w:r>
      <w:bookmarkEnd w:id="41"/>
      <w:bookmarkEnd w:id="42"/>
      <w:bookmarkEnd w:id="43"/>
      <w:bookmarkEnd w:id="44"/>
      <w:bookmarkEnd w:id="45"/>
      <w:bookmarkEnd w:id="46"/>
      <w:bookmarkEnd w:id="47"/>
      <w:bookmarkEnd w:id="48"/>
      <w:bookmarkEnd w:id="49"/>
    </w:p>
    <w:p w14:paraId="19936AC0" w14:textId="77777777" w:rsidR="004865DB" w:rsidRPr="004865DB" w:rsidRDefault="004865DB" w:rsidP="00B43E73">
      <w:r w:rsidRPr="004865DB">
        <w:t>Inkubationstiden för rabies kan variera stort allt från dagar till flera år.</w:t>
      </w:r>
    </w:p>
    <w:p w14:paraId="477310A8" w14:textId="77777777" w:rsidR="004865DB" w:rsidRPr="004865DB" w:rsidRDefault="004865DB" w:rsidP="00B43E73">
      <w:pPr>
        <w:pStyle w:val="Rubrik3"/>
      </w:pPr>
      <w:bookmarkStart w:id="50" w:name="_Toc11918041"/>
      <w:bookmarkStart w:id="51" w:name="_Toc12339539"/>
      <w:bookmarkStart w:id="52" w:name="_Toc12623783"/>
      <w:bookmarkStart w:id="53" w:name="_Toc256000005"/>
      <w:bookmarkStart w:id="54" w:name="_Toc256000027"/>
      <w:bookmarkStart w:id="55" w:name="_Toc256000049"/>
      <w:bookmarkStart w:id="56" w:name="_Toc256000071"/>
      <w:bookmarkStart w:id="57" w:name="_Toc256000093"/>
      <w:bookmarkStart w:id="58" w:name="_Toc133905017"/>
      <w:r w:rsidRPr="004865DB">
        <w:t>Smittspårningsplikt</w:t>
      </w:r>
      <w:bookmarkEnd w:id="50"/>
      <w:bookmarkEnd w:id="51"/>
      <w:bookmarkEnd w:id="52"/>
      <w:bookmarkEnd w:id="53"/>
      <w:bookmarkEnd w:id="54"/>
      <w:bookmarkEnd w:id="55"/>
      <w:bookmarkEnd w:id="56"/>
      <w:bookmarkEnd w:id="57"/>
      <w:bookmarkEnd w:id="58"/>
    </w:p>
    <w:p w14:paraId="2452CCC2" w14:textId="77777777" w:rsidR="004865DB" w:rsidRPr="004865DB" w:rsidRDefault="004865DB" w:rsidP="00B43E73">
      <w:r w:rsidRPr="004865DB">
        <w:t xml:space="preserve">Rabies klassas enligt smittskyddslagen som en allmänfarlig sjukdom. Fall anmäls till smittskyddsläkaren och Folkhälsomyndigheten. </w:t>
      </w:r>
    </w:p>
    <w:p w14:paraId="1785EC25" w14:textId="77777777" w:rsidR="004865DB" w:rsidRPr="004865DB" w:rsidRDefault="004865DB" w:rsidP="00B43E73">
      <w:pPr>
        <w:pStyle w:val="Rubrik3"/>
      </w:pPr>
      <w:bookmarkStart w:id="59" w:name="_Toc11918042"/>
      <w:bookmarkStart w:id="60" w:name="_Toc12339540"/>
      <w:bookmarkStart w:id="61" w:name="_Toc12623784"/>
      <w:bookmarkStart w:id="62" w:name="_Toc256000006"/>
      <w:bookmarkStart w:id="63" w:name="_Toc256000028"/>
      <w:bookmarkStart w:id="64" w:name="_Toc256000050"/>
      <w:bookmarkStart w:id="65" w:name="_Toc256000072"/>
      <w:bookmarkStart w:id="66" w:name="_Toc256000094"/>
      <w:bookmarkStart w:id="67" w:name="_Toc133905018"/>
      <w:r w:rsidRPr="004865DB">
        <w:t>Behandling</w:t>
      </w:r>
      <w:bookmarkEnd w:id="59"/>
      <w:bookmarkEnd w:id="60"/>
      <w:bookmarkEnd w:id="61"/>
      <w:bookmarkEnd w:id="62"/>
      <w:bookmarkEnd w:id="63"/>
      <w:bookmarkEnd w:id="64"/>
      <w:bookmarkEnd w:id="65"/>
      <w:bookmarkEnd w:id="66"/>
      <w:bookmarkEnd w:id="67"/>
    </w:p>
    <w:p w14:paraId="07C10DBA" w14:textId="77777777" w:rsidR="004865DB" w:rsidRPr="004865DB" w:rsidRDefault="004865DB" w:rsidP="00B43E73">
      <w:r w:rsidRPr="004865DB">
        <w:t>Det går att förhindra sjukdom genom att omedelbart efter smittillfället vaccinera och ibland ge specifikt immunoglobulin.</w:t>
      </w:r>
    </w:p>
    <w:p w14:paraId="50F7E0F1" w14:textId="77777777" w:rsidR="004865DB" w:rsidRPr="004865DB" w:rsidRDefault="004865DB" w:rsidP="00B43E73">
      <w:pPr>
        <w:pStyle w:val="Rubrik2"/>
      </w:pPr>
      <w:bookmarkStart w:id="68" w:name="_Toc419877568"/>
      <w:bookmarkStart w:id="69" w:name="_Toc11918043"/>
      <w:bookmarkStart w:id="70" w:name="_Toc12339541"/>
      <w:bookmarkStart w:id="71" w:name="_Toc12623785"/>
      <w:bookmarkStart w:id="72" w:name="_Toc256000007"/>
      <w:bookmarkStart w:id="73" w:name="_Toc256000029"/>
      <w:bookmarkStart w:id="74" w:name="_Toc256000051"/>
      <w:bookmarkStart w:id="75" w:name="_Toc256000073"/>
      <w:bookmarkStart w:id="76" w:name="_Toc256000095"/>
      <w:bookmarkStart w:id="77" w:name="_Toc133905019"/>
      <w:r w:rsidRPr="004865DB">
        <w:t>Genomförande</w:t>
      </w:r>
      <w:bookmarkEnd w:id="68"/>
      <w:bookmarkEnd w:id="69"/>
      <w:bookmarkEnd w:id="70"/>
      <w:bookmarkEnd w:id="71"/>
      <w:bookmarkEnd w:id="72"/>
      <w:bookmarkEnd w:id="73"/>
      <w:bookmarkEnd w:id="74"/>
      <w:bookmarkEnd w:id="75"/>
      <w:bookmarkEnd w:id="76"/>
      <w:bookmarkEnd w:id="77"/>
    </w:p>
    <w:p w14:paraId="507D5D15" w14:textId="174F70FB" w:rsidR="004865DB" w:rsidRPr="004865DB" w:rsidRDefault="00B1005C" w:rsidP="00B43E73">
      <w:r>
        <w:t xml:space="preserve">Patientens </w:t>
      </w:r>
      <w:r w:rsidR="004865DB" w:rsidRPr="004865DB">
        <w:t>undersökning, vård och behandling av rabies är kostnadsfri.</w:t>
      </w:r>
    </w:p>
    <w:p w14:paraId="7468DF2B" w14:textId="77777777" w:rsidR="004865DB" w:rsidRPr="004865DB" w:rsidRDefault="004865DB" w:rsidP="00B43E73">
      <w:pPr>
        <w:pStyle w:val="Rubrik3"/>
      </w:pPr>
      <w:bookmarkStart w:id="78" w:name="_Toc11918044"/>
      <w:bookmarkStart w:id="79" w:name="_Toc12339542"/>
      <w:bookmarkStart w:id="80" w:name="_Toc12623786"/>
      <w:bookmarkStart w:id="81" w:name="_Toc256000008"/>
      <w:bookmarkStart w:id="82" w:name="_Toc256000030"/>
      <w:bookmarkStart w:id="83" w:name="_Toc256000052"/>
      <w:bookmarkStart w:id="84" w:name="_Toc256000074"/>
      <w:bookmarkStart w:id="85" w:name="_Toc256000096"/>
      <w:bookmarkStart w:id="86" w:name="_Toc133905020"/>
      <w:r w:rsidRPr="004865DB">
        <w:lastRenderedPageBreak/>
        <w:t>Initialt omhändertagande</w:t>
      </w:r>
      <w:bookmarkEnd w:id="78"/>
      <w:bookmarkEnd w:id="79"/>
      <w:bookmarkEnd w:id="80"/>
      <w:bookmarkEnd w:id="81"/>
      <w:bookmarkEnd w:id="82"/>
      <w:bookmarkEnd w:id="83"/>
      <w:bookmarkEnd w:id="84"/>
      <w:bookmarkEnd w:id="85"/>
      <w:bookmarkEnd w:id="86"/>
    </w:p>
    <w:p w14:paraId="76466E14" w14:textId="77777777" w:rsidR="004865DB" w:rsidRPr="004865DB" w:rsidRDefault="004865DB" w:rsidP="00B43E73">
      <w:r w:rsidRPr="004865DB">
        <w:t>Omedelbart efter exposition tvättas bettställe rikligt med tvål och vatten under 15 minuter gärna följt av sköljning med jod-/alkoholbaserat desinfektionsmedel. Detta reducerar smittorisken. Såret ska helst inte sutureras.</w:t>
      </w:r>
    </w:p>
    <w:p w14:paraId="06F9E00B" w14:textId="77777777" w:rsidR="004865DB" w:rsidRPr="004865DB" w:rsidRDefault="004865DB" w:rsidP="00B43E73">
      <w:r w:rsidRPr="004865DB">
        <w:t xml:space="preserve">All exponering enligt riskkategori II och III (se tabell 1) där risk för rabies föreligger kräver PEP (postexpositionsprofylax) dvs. vaccination och eventuellt HRIG (immunoglobulin). Vaccinations- och immunstatus avgör vaccinationsschema samt om HRIG ska ges. </w:t>
      </w:r>
    </w:p>
    <w:p w14:paraId="3B14B354" w14:textId="00415EDD" w:rsidR="004865DB" w:rsidRPr="004865DB" w:rsidRDefault="004865DB" w:rsidP="00B43E73">
      <w:r w:rsidRPr="004865DB">
        <w:t xml:space="preserve">HRIG ges i dos 20 E/kg kroppsvikt. Så mycket som möjligt av HRIG-dos administreras i och runt sår. Om beräknad dos inte räcker för att grundligt infundera sår, kan immunoglobulin spädas </w:t>
      </w:r>
      <w:r w:rsidR="001A03E4" w:rsidRPr="004865DB">
        <w:t>2–3</w:t>
      </w:r>
      <w:r w:rsidRPr="004865DB">
        <w:t xml:space="preserve"> gånger med sterilt koksalt. Dock får den totalt givna mängden inte överskrida 20 E/kg kroppsvikt. Om det inte är möjligt att administrera hel dos i och runt sår bör resterande mängd immunoglobulin ges intramuskulärt (i annan kroppsdel). Detta har dock ytterst begränsad effekt. Undantaget är exposition av slemhinnor.</w:t>
      </w:r>
    </w:p>
    <w:p w14:paraId="2430733C" w14:textId="77777777" w:rsidR="004865DB" w:rsidRPr="004865DB" w:rsidRDefault="004865DB" w:rsidP="00B43E73">
      <w:r w:rsidRPr="004865DB">
        <w:t>Vaccination och immunoglobulin skall helst starta samtidigt, så snart som möjligt efter exposition (inom 24h). Vaccination ska påbörjas även om HRIG ska ges men inte finns tillgängligt att ges vid samma tillfälle.</w:t>
      </w:r>
    </w:p>
    <w:p w14:paraId="71C196D7" w14:textId="77777777" w:rsidR="004865DB" w:rsidRPr="004865DB" w:rsidRDefault="004865DB" w:rsidP="00DA2B54">
      <w:pPr>
        <w:ind w:right="707"/>
      </w:pPr>
      <w:r w:rsidRPr="004865DB">
        <w:t xml:space="preserve">Immunoglobulin får inte ges utan att vaccination inleds samtidigt eller har startats tidigare. Har vaccination redan inletts är det inte meningsfullt att ge immunoglobulin om mer än sju dagar förflutit från första vaccindosen. </w:t>
      </w:r>
    </w:p>
    <w:p w14:paraId="2AC4B257" w14:textId="77777777" w:rsidR="004865DB" w:rsidRPr="00B43E73" w:rsidRDefault="004865DB" w:rsidP="00B43E73">
      <w:pPr>
        <w:rPr>
          <w:b/>
          <w:bCs/>
        </w:rPr>
      </w:pPr>
      <w:r w:rsidRPr="00B43E73">
        <w:rPr>
          <w:b/>
          <w:bCs/>
        </w:rPr>
        <w:t>Tabell 1 Postexpositionsprofylax vid olika expositionstyper</w:t>
      </w:r>
    </w:p>
    <w:tbl>
      <w:tblPr>
        <w:tblW w:w="893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3"/>
        <w:gridCol w:w="2977"/>
      </w:tblGrid>
      <w:tr w:rsidR="004865DB" w:rsidRPr="004865DB" w14:paraId="7F4FBC2D" w14:textId="77777777" w:rsidTr="00DA2B54">
        <w:tc>
          <w:tcPr>
            <w:tcW w:w="5953" w:type="dxa"/>
            <w:shd w:val="clear" w:color="auto" w:fill="E7E6E6"/>
          </w:tcPr>
          <w:p w14:paraId="56FA6D60" w14:textId="77777777" w:rsidR="004865DB" w:rsidRPr="004865DB" w:rsidRDefault="004865DB" w:rsidP="004865DB">
            <w:pPr>
              <w:spacing w:before="40" w:after="40" w:line="240" w:lineRule="auto"/>
              <w:ind w:left="0" w:right="0"/>
              <w:rPr>
                <w:rFonts w:ascii="Arial" w:hAnsi="Arial"/>
                <w:bCs/>
                <w:sz w:val="22"/>
                <w:szCs w:val="20"/>
              </w:rPr>
            </w:pPr>
            <w:r w:rsidRPr="004865DB">
              <w:rPr>
                <w:rFonts w:ascii="Arial" w:hAnsi="Arial"/>
                <w:bCs/>
                <w:sz w:val="22"/>
                <w:szCs w:val="20"/>
              </w:rPr>
              <w:t>Expositionstyp:</w:t>
            </w:r>
          </w:p>
        </w:tc>
        <w:tc>
          <w:tcPr>
            <w:tcW w:w="2977" w:type="dxa"/>
            <w:shd w:val="clear" w:color="auto" w:fill="E7E6E6"/>
          </w:tcPr>
          <w:p w14:paraId="6042D770" w14:textId="77777777" w:rsidR="004865DB" w:rsidRPr="004865DB" w:rsidRDefault="004865DB" w:rsidP="004865DB">
            <w:pPr>
              <w:spacing w:before="40" w:after="40" w:line="240" w:lineRule="auto"/>
              <w:ind w:left="0" w:right="0"/>
              <w:rPr>
                <w:rFonts w:ascii="Arial" w:hAnsi="Arial"/>
                <w:bCs/>
                <w:sz w:val="22"/>
                <w:szCs w:val="20"/>
              </w:rPr>
            </w:pPr>
            <w:r w:rsidRPr="004865DB">
              <w:rPr>
                <w:rFonts w:ascii="Arial" w:hAnsi="Arial"/>
                <w:bCs/>
                <w:sz w:val="22"/>
                <w:szCs w:val="20"/>
              </w:rPr>
              <w:t>Rekommenderad behandling</w:t>
            </w:r>
          </w:p>
        </w:tc>
      </w:tr>
      <w:tr w:rsidR="004865DB" w:rsidRPr="004865DB" w14:paraId="6DB4C396" w14:textId="77777777" w:rsidTr="00DA2B54">
        <w:tc>
          <w:tcPr>
            <w:tcW w:w="5953" w:type="dxa"/>
            <w:shd w:val="clear" w:color="auto" w:fill="auto"/>
          </w:tcPr>
          <w:p w14:paraId="30F2F80B" w14:textId="77777777" w:rsidR="004865DB" w:rsidRPr="004865DB" w:rsidRDefault="004865DB" w:rsidP="004865DB">
            <w:pPr>
              <w:spacing w:after="160" w:line="240" w:lineRule="auto"/>
              <w:ind w:left="0" w:right="0"/>
              <w:rPr>
                <w:szCs w:val="20"/>
              </w:rPr>
            </w:pPr>
            <w:r w:rsidRPr="004865DB">
              <w:rPr>
                <w:szCs w:val="20"/>
              </w:rPr>
              <w:t>Riskkategori I:</w:t>
            </w:r>
            <w:r w:rsidRPr="004865DB">
              <w:rPr>
                <w:szCs w:val="20"/>
              </w:rPr>
              <w:br/>
              <w:t>Klappat eller matat djur, slickning eller saliv på intakt hud.</w:t>
            </w:r>
          </w:p>
        </w:tc>
        <w:tc>
          <w:tcPr>
            <w:tcW w:w="2977" w:type="dxa"/>
            <w:shd w:val="clear" w:color="auto" w:fill="auto"/>
          </w:tcPr>
          <w:p w14:paraId="742294D6" w14:textId="77777777" w:rsidR="004865DB" w:rsidRPr="004865DB" w:rsidRDefault="004865DB" w:rsidP="004865DB">
            <w:pPr>
              <w:spacing w:after="160" w:line="240" w:lineRule="auto"/>
              <w:ind w:left="0" w:right="0"/>
              <w:rPr>
                <w:szCs w:val="20"/>
              </w:rPr>
            </w:pPr>
            <w:r w:rsidRPr="004865DB">
              <w:rPr>
                <w:szCs w:val="20"/>
              </w:rPr>
              <w:t>Ingen</w:t>
            </w:r>
          </w:p>
        </w:tc>
      </w:tr>
      <w:tr w:rsidR="004865DB" w:rsidRPr="004865DB" w14:paraId="24D76B4E" w14:textId="77777777" w:rsidTr="00DA2B54">
        <w:tc>
          <w:tcPr>
            <w:tcW w:w="5953" w:type="dxa"/>
            <w:shd w:val="clear" w:color="auto" w:fill="auto"/>
          </w:tcPr>
          <w:p w14:paraId="4AC0366C" w14:textId="77777777" w:rsidR="004865DB" w:rsidRPr="004865DB" w:rsidRDefault="004865DB" w:rsidP="004865DB">
            <w:pPr>
              <w:spacing w:after="160" w:line="240" w:lineRule="auto"/>
              <w:ind w:left="0" w:right="0"/>
              <w:rPr>
                <w:szCs w:val="20"/>
              </w:rPr>
            </w:pPr>
            <w:r w:rsidRPr="004865DB">
              <w:rPr>
                <w:szCs w:val="20"/>
              </w:rPr>
              <w:t xml:space="preserve">Riskkategori II: </w:t>
            </w:r>
            <w:r w:rsidRPr="004865DB">
              <w:rPr>
                <w:szCs w:val="20"/>
              </w:rPr>
              <w:br/>
              <w:t>Nafsning på ej täckt hud. Mindre rivsår, skrapsår utan blödning.</w:t>
            </w:r>
          </w:p>
        </w:tc>
        <w:tc>
          <w:tcPr>
            <w:tcW w:w="2977" w:type="dxa"/>
            <w:shd w:val="clear" w:color="auto" w:fill="auto"/>
          </w:tcPr>
          <w:p w14:paraId="4AF49A7C" w14:textId="77777777" w:rsidR="004865DB" w:rsidRPr="004865DB" w:rsidRDefault="004865DB" w:rsidP="004865DB">
            <w:pPr>
              <w:spacing w:after="160" w:line="240" w:lineRule="auto"/>
              <w:ind w:left="0" w:right="0"/>
              <w:rPr>
                <w:szCs w:val="20"/>
              </w:rPr>
            </w:pPr>
            <w:r w:rsidRPr="004865DB">
              <w:rPr>
                <w:szCs w:val="20"/>
              </w:rPr>
              <w:t>Omedelbar vaccination och sårvård</w:t>
            </w:r>
          </w:p>
        </w:tc>
      </w:tr>
      <w:tr w:rsidR="004865DB" w:rsidRPr="004865DB" w14:paraId="1B9C0439" w14:textId="77777777" w:rsidTr="00DA2B54">
        <w:tc>
          <w:tcPr>
            <w:tcW w:w="5953" w:type="dxa"/>
            <w:shd w:val="clear" w:color="auto" w:fill="auto"/>
          </w:tcPr>
          <w:p w14:paraId="773C4428" w14:textId="77777777" w:rsidR="004865DB" w:rsidRPr="004865DB" w:rsidRDefault="004865DB" w:rsidP="004865DB">
            <w:pPr>
              <w:spacing w:after="160" w:line="240" w:lineRule="auto"/>
              <w:ind w:left="0" w:right="0"/>
              <w:rPr>
                <w:szCs w:val="20"/>
              </w:rPr>
            </w:pPr>
            <w:r w:rsidRPr="004865DB">
              <w:rPr>
                <w:szCs w:val="20"/>
              </w:rPr>
              <w:t>Riskkategori III:</w:t>
            </w:r>
            <w:r w:rsidRPr="004865DB">
              <w:rPr>
                <w:szCs w:val="20"/>
              </w:rPr>
              <w:br/>
              <w:t>Enstaka/multipla transdermala bett eller klösning, slickningar på skadad hud eller slemhinna. Bett eller skrapsår av fladdermus.</w:t>
            </w:r>
          </w:p>
        </w:tc>
        <w:tc>
          <w:tcPr>
            <w:tcW w:w="2977" w:type="dxa"/>
            <w:shd w:val="clear" w:color="auto" w:fill="auto"/>
          </w:tcPr>
          <w:p w14:paraId="5E0FB4E8" w14:textId="77777777" w:rsidR="004865DB" w:rsidRPr="004865DB" w:rsidRDefault="004865DB" w:rsidP="004865DB">
            <w:pPr>
              <w:spacing w:after="160" w:line="240" w:lineRule="auto"/>
              <w:ind w:left="0" w:right="0"/>
              <w:rPr>
                <w:szCs w:val="20"/>
              </w:rPr>
            </w:pPr>
            <w:r w:rsidRPr="004865DB">
              <w:rPr>
                <w:szCs w:val="20"/>
              </w:rPr>
              <w:t>Omedelbar vaccination och sårvård samt HRIG</w:t>
            </w:r>
          </w:p>
        </w:tc>
      </w:tr>
    </w:tbl>
    <w:p w14:paraId="4B5AAD50" w14:textId="77777777" w:rsidR="004865DB" w:rsidRPr="004865DB" w:rsidRDefault="004865DB" w:rsidP="00B43E73">
      <w:pPr>
        <w:pStyle w:val="Rubrik3"/>
      </w:pPr>
      <w:bookmarkStart w:id="87" w:name="_Toc11918045"/>
      <w:bookmarkStart w:id="88" w:name="_Toc12339543"/>
      <w:bookmarkStart w:id="89" w:name="_Toc12623787"/>
      <w:bookmarkStart w:id="90" w:name="_Toc256000009"/>
      <w:bookmarkStart w:id="91" w:name="_Toc256000031"/>
      <w:bookmarkStart w:id="92" w:name="_Toc256000053"/>
      <w:bookmarkStart w:id="93" w:name="_Toc256000075"/>
      <w:bookmarkStart w:id="94" w:name="_Toc256000097"/>
      <w:bookmarkStart w:id="95" w:name="_Toc133905021"/>
      <w:r w:rsidRPr="004865DB">
        <w:t>Postexpositionsprofylax (PEP)/vaccin</w:t>
      </w:r>
      <w:bookmarkEnd w:id="87"/>
      <w:bookmarkEnd w:id="88"/>
      <w:bookmarkEnd w:id="89"/>
      <w:bookmarkEnd w:id="90"/>
      <w:bookmarkEnd w:id="91"/>
      <w:bookmarkEnd w:id="92"/>
      <w:bookmarkEnd w:id="93"/>
      <w:bookmarkEnd w:id="94"/>
      <w:bookmarkEnd w:id="95"/>
    </w:p>
    <w:p w14:paraId="70B7AF26" w14:textId="416301F1" w:rsidR="004865DB" w:rsidRPr="004865DB" w:rsidRDefault="004865DB" w:rsidP="002510F6">
      <w:pPr>
        <w:ind w:right="707"/>
      </w:pPr>
      <w:r w:rsidRPr="004865DB">
        <w:t>Det finns ingen bortre tidsgräns för</w:t>
      </w:r>
      <w:r w:rsidR="002510F6">
        <w:t xml:space="preserve"> start av </w:t>
      </w:r>
      <w:r w:rsidRPr="004865DB">
        <w:t>PEP. Patient bokas till infektionsmottagningens dagjour snarast. Ovaccinerad får söka Akut</w:t>
      </w:r>
      <w:r w:rsidR="002510F6">
        <w:t>-</w:t>
      </w:r>
      <w:r w:rsidRPr="004865DB">
        <w:t>mottagning om hen inte kan komma till infektionsmottagningen inom 24</w:t>
      </w:r>
      <w:r w:rsidR="002510F6">
        <w:t>h.</w:t>
      </w:r>
    </w:p>
    <w:p w14:paraId="51C743E2" w14:textId="5AB089F5" w:rsidR="004865DB" w:rsidRPr="004865DB" w:rsidRDefault="004865DB" w:rsidP="00B43E73">
      <w:r w:rsidRPr="004865DB">
        <w:lastRenderedPageBreak/>
        <w:t xml:space="preserve">Samtliga vacciner som är godkända för humant bruk är avdödade. Efter grundvaccination anses </w:t>
      </w:r>
      <w:r w:rsidR="001740B1" w:rsidRPr="004865DB">
        <w:t>antikroppsnivåer&gt;</w:t>
      </w:r>
      <w:r w:rsidRPr="004865DB">
        <w:t xml:space="preserve"> 0,5 IU/ml vara skyddande. Antikroppsnivåer kontrolleras inte rutinmässigt efter grundimmunisering utan endast i särskilda fall. Antikroppar hos tidigare ovaccinerad person uppträder tidigast 6</w:t>
      </w:r>
      <w:r w:rsidR="00B43E73">
        <w:t>–</w:t>
      </w:r>
      <w:r w:rsidRPr="004865DB">
        <w:t>7 dagar efter första vaccindos.</w:t>
      </w:r>
    </w:p>
    <w:p w14:paraId="64841156" w14:textId="77777777" w:rsidR="004865DB" w:rsidRPr="004865DB" w:rsidRDefault="004865DB" w:rsidP="00B43E73">
      <w:pPr>
        <w:pStyle w:val="Rubrik3"/>
      </w:pPr>
      <w:bookmarkStart w:id="96" w:name="_Toc11918046"/>
      <w:bookmarkStart w:id="97" w:name="_Toc12339544"/>
      <w:bookmarkStart w:id="98" w:name="_Toc12623788"/>
      <w:bookmarkStart w:id="99" w:name="_Toc256000010"/>
      <w:bookmarkStart w:id="100" w:name="_Toc256000032"/>
      <w:bookmarkStart w:id="101" w:name="_Toc256000054"/>
      <w:bookmarkStart w:id="102" w:name="_Toc256000076"/>
      <w:bookmarkStart w:id="103" w:name="_Toc256000098"/>
      <w:bookmarkStart w:id="104" w:name="_Toc133905022"/>
      <w:r w:rsidRPr="004865DB">
        <w:t>Vaccinationsschema för PEP</w:t>
      </w:r>
      <w:bookmarkEnd w:id="96"/>
      <w:bookmarkEnd w:id="97"/>
      <w:bookmarkEnd w:id="98"/>
      <w:bookmarkEnd w:id="99"/>
      <w:bookmarkEnd w:id="100"/>
      <w:bookmarkEnd w:id="101"/>
      <w:bookmarkEnd w:id="102"/>
      <w:bookmarkEnd w:id="103"/>
      <w:bookmarkEnd w:id="104"/>
    </w:p>
    <w:p w14:paraId="399A0116" w14:textId="7067E20E" w:rsidR="004865DB" w:rsidRPr="004865DB" w:rsidRDefault="004865DB" w:rsidP="00B43E73">
      <w:r w:rsidRPr="004865DB">
        <w:t>Barn ges samma dos som vuxna (0,5ml eller 1ml</w:t>
      </w:r>
      <w:r w:rsidR="002510F6">
        <w:t>, t</w:t>
      </w:r>
      <w:r w:rsidRPr="004865DB">
        <w:t>illverkare</w:t>
      </w:r>
      <w:r w:rsidR="002510F6">
        <w:t xml:space="preserve"> avgör</w:t>
      </w:r>
      <w:r w:rsidRPr="004865DB">
        <w:t xml:space="preserve">). Gravid och ammande kvinna kan vaccineras enligt samma scheman. </w:t>
      </w:r>
    </w:p>
    <w:p w14:paraId="64287199" w14:textId="77777777" w:rsidR="004865DB" w:rsidRPr="004865DB" w:rsidRDefault="004865DB" w:rsidP="00B43E73">
      <w:pPr>
        <w:rPr>
          <w:rFonts w:ascii="Arial" w:hAnsi="Arial" w:cs="Arial"/>
          <w:b/>
          <w:sz w:val="22"/>
        </w:rPr>
      </w:pPr>
      <w:r w:rsidRPr="004865DB">
        <w:rPr>
          <w:rFonts w:ascii="Arial" w:hAnsi="Arial" w:cs="Arial"/>
          <w:b/>
          <w:sz w:val="22"/>
        </w:rPr>
        <w:t>Essenschema</w:t>
      </w:r>
    </w:p>
    <w:p w14:paraId="7E9AD4CB" w14:textId="25EA1948" w:rsidR="004865DB" w:rsidRPr="004865DB" w:rsidRDefault="004865DB" w:rsidP="00F45F8E">
      <w:pPr>
        <w:ind w:right="282"/>
      </w:pPr>
      <w:r w:rsidRPr="004865DB">
        <w:t>Ges intramuskulärt och enligt schema med antingen totalt 4 eller 5 doser. Antal doser beror på patientens immunstatus (se nedan).</w:t>
      </w:r>
      <w:r w:rsidRPr="004865DB">
        <w:br/>
        <w:t>Om totalt 4 doser:</w:t>
      </w:r>
      <w:r w:rsidRPr="004865DB">
        <w:tab/>
        <w:t>1 dos dag 0, 3, 7. Därefter ges 1 dos dag 14</w:t>
      </w:r>
      <w:r w:rsidR="00B43E73">
        <w:t>–</w:t>
      </w:r>
      <w:r w:rsidRPr="004865DB">
        <w:t>28. Om totalt 5 doser:</w:t>
      </w:r>
      <w:r w:rsidRPr="004865DB">
        <w:tab/>
        <w:t>1 dos dag 0, 3, 7, 14, 28.</w:t>
      </w:r>
    </w:p>
    <w:p w14:paraId="14E26443" w14:textId="77777777" w:rsidR="004865DB" w:rsidRPr="004865DB" w:rsidRDefault="004865DB" w:rsidP="00B43E73">
      <w:pPr>
        <w:rPr>
          <w:rFonts w:ascii="Arial" w:hAnsi="Arial" w:cs="Arial"/>
          <w:b/>
          <w:sz w:val="22"/>
        </w:rPr>
      </w:pPr>
      <w:r w:rsidRPr="004865DB">
        <w:rPr>
          <w:rFonts w:ascii="Arial" w:hAnsi="Arial" w:cs="Arial"/>
          <w:b/>
          <w:sz w:val="22"/>
        </w:rPr>
        <w:t>Zagrebschema</w:t>
      </w:r>
    </w:p>
    <w:p w14:paraId="4C2D2333" w14:textId="77777777" w:rsidR="004865DB" w:rsidRPr="004865DB" w:rsidRDefault="004865DB" w:rsidP="00B43E73">
      <w:r w:rsidRPr="004865DB">
        <w:t>Schema 2-1-1 ges intramuskulärt. Dag 0 ges två vaccindoser (en dos i vardera deltoideusmuskel) följt av enkeldos dag 7 och 21.</w:t>
      </w:r>
    </w:p>
    <w:p w14:paraId="7AAC3297" w14:textId="77777777" w:rsidR="004865DB" w:rsidRPr="004865DB" w:rsidRDefault="004865DB" w:rsidP="00B43E73">
      <w:pPr>
        <w:pStyle w:val="Rubrik3"/>
      </w:pPr>
      <w:bookmarkStart w:id="105" w:name="_Toc11918047"/>
      <w:bookmarkStart w:id="106" w:name="_Toc12339545"/>
      <w:bookmarkStart w:id="107" w:name="_Toc12623789"/>
      <w:bookmarkStart w:id="108" w:name="_Toc256000011"/>
      <w:bookmarkStart w:id="109" w:name="_Toc256000033"/>
      <w:bookmarkStart w:id="110" w:name="_Toc256000055"/>
      <w:bookmarkStart w:id="111" w:name="_Toc256000077"/>
      <w:bookmarkStart w:id="112" w:name="_Toc256000099"/>
      <w:bookmarkStart w:id="113" w:name="_Toc133905023"/>
      <w:r w:rsidRPr="004865DB">
        <w:t>Behandling av tidigare ovaccinerad</w:t>
      </w:r>
      <w:bookmarkEnd w:id="105"/>
      <w:bookmarkEnd w:id="106"/>
      <w:bookmarkEnd w:id="107"/>
      <w:bookmarkEnd w:id="108"/>
      <w:bookmarkEnd w:id="109"/>
      <w:bookmarkEnd w:id="110"/>
      <w:bookmarkEnd w:id="111"/>
      <w:bookmarkEnd w:id="112"/>
      <w:bookmarkEnd w:id="113"/>
    </w:p>
    <w:p w14:paraId="3B1DCD9B" w14:textId="77777777" w:rsidR="004865DB" w:rsidRPr="00B43E73" w:rsidRDefault="004865DB" w:rsidP="00B43E73">
      <w:pPr>
        <w:rPr>
          <w:b/>
          <w:bCs/>
        </w:rPr>
      </w:pPr>
      <w:r w:rsidRPr="00B43E73">
        <w:rPr>
          <w:b/>
          <w:bCs/>
        </w:rPr>
        <w:t>Immunkompetent</w:t>
      </w:r>
    </w:p>
    <w:p w14:paraId="01658BCE" w14:textId="77777777" w:rsidR="004865DB" w:rsidRPr="004865DB" w:rsidRDefault="004865DB" w:rsidP="00B43E73">
      <w:r w:rsidRPr="004865DB">
        <w:t xml:space="preserve">Vaccinera enligt Essenschema med 4 doser eller Zagrebschema (se ovan). HRIG vid riskkategori III. </w:t>
      </w:r>
    </w:p>
    <w:p w14:paraId="2FB0FECE" w14:textId="77777777" w:rsidR="004865DB" w:rsidRPr="00B43E73" w:rsidRDefault="004865DB" w:rsidP="00B43E73">
      <w:pPr>
        <w:rPr>
          <w:b/>
          <w:bCs/>
        </w:rPr>
      </w:pPr>
      <w:r w:rsidRPr="00B43E73">
        <w:rPr>
          <w:b/>
          <w:bCs/>
        </w:rPr>
        <w:t>Immunsupprimerad</w:t>
      </w:r>
    </w:p>
    <w:p w14:paraId="342BFBAE" w14:textId="77777777" w:rsidR="004865DB" w:rsidRPr="004865DB" w:rsidRDefault="004865DB" w:rsidP="00B43E73">
      <w:r w:rsidRPr="004865DB">
        <w:t>Vaccinationsschema enligt Essenschema med 5 doser eller Zagrebschema (se ovan). Dubbel vaccindos övervägs vid gravt nedsatt immunförsvar. HRIG vid riskkategori II och III.</w:t>
      </w:r>
    </w:p>
    <w:p w14:paraId="16631532" w14:textId="4E62D6F3" w:rsidR="004865DB" w:rsidRPr="004865DB" w:rsidRDefault="004865DB" w:rsidP="00B43E73">
      <w:pPr>
        <w:pStyle w:val="Rubrik3"/>
      </w:pPr>
      <w:bookmarkStart w:id="114" w:name="_Toc11918048"/>
      <w:bookmarkStart w:id="115" w:name="_Toc12339546"/>
      <w:bookmarkStart w:id="116" w:name="_Toc12623790"/>
      <w:bookmarkStart w:id="117" w:name="_Toc256000012"/>
      <w:bookmarkStart w:id="118" w:name="_Toc256000034"/>
      <w:bookmarkStart w:id="119" w:name="_Toc256000056"/>
      <w:bookmarkStart w:id="120" w:name="_Toc256000078"/>
      <w:bookmarkStart w:id="121" w:name="_Toc256000100"/>
      <w:bookmarkStart w:id="122" w:name="_Toc133905024"/>
      <w:r w:rsidRPr="004865DB">
        <w:t>Behandling av tidigare grundvaccinerad</w:t>
      </w:r>
      <w:bookmarkEnd w:id="114"/>
      <w:bookmarkEnd w:id="115"/>
      <w:bookmarkEnd w:id="116"/>
      <w:bookmarkEnd w:id="117"/>
      <w:bookmarkEnd w:id="118"/>
      <w:bookmarkEnd w:id="119"/>
      <w:bookmarkEnd w:id="120"/>
      <w:bookmarkEnd w:id="121"/>
      <w:bookmarkEnd w:id="122"/>
    </w:p>
    <w:p w14:paraId="7230EC3A" w14:textId="77777777" w:rsidR="004865DB" w:rsidRPr="007579A7" w:rsidRDefault="004865DB" w:rsidP="007579A7">
      <w:pPr>
        <w:rPr>
          <w:b/>
          <w:bCs/>
        </w:rPr>
      </w:pPr>
      <w:r w:rsidRPr="007579A7">
        <w:rPr>
          <w:b/>
          <w:bCs/>
        </w:rPr>
        <w:t>Immunkompetent</w:t>
      </w:r>
    </w:p>
    <w:p w14:paraId="59E35315" w14:textId="77777777" w:rsidR="004865DB" w:rsidRPr="004865DB" w:rsidRDefault="004865DB" w:rsidP="007579A7">
      <w:r w:rsidRPr="004865DB">
        <w:t>Tidigare grundvaccinerad eller om antikroppstiter mot rabies (minst 0,5 IU/ml) är säkerställt, ges två fulldoser med vaccin med två dagars mellanrum (dag 0 och 3). HRIG ges inte. Om tveksamhet kring grundvaccinering ges vaccin och HRIG så som till tidigare ovaccinerad utifrån riskkategori.</w:t>
      </w:r>
    </w:p>
    <w:p w14:paraId="00F74558" w14:textId="77777777" w:rsidR="004865DB" w:rsidRPr="007579A7" w:rsidRDefault="004865DB" w:rsidP="007579A7">
      <w:pPr>
        <w:rPr>
          <w:b/>
          <w:bCs/>
        </w:rPr>
      </w:pPr>
      <w:r w:rsidRPr="007579A7">
        <w:rPr>
          <w:b/>
          <w:bCs/>
        </w:rPr>
        <w:t>Immunsupprimerad</w:t>
      </w:r>
    </w:p>
    <w:p w14:paraId="292BE5FC" w14:textId="77777777" w:rsidR="004865DB" w:rsidRPr="004865DB" w:rsidRDefault="004865DB" w:rsidP="007579A7">
      <w:r w:rsidRPr="004865DB">
        <w:t>Immunsupprimerad ska ha vaccination enligt Essenschema med 5 doser eller Zagrebschema (se ovan). Dubbeldos vaccin övervägs vid gravt nedsatt immunförsvar. HRIG vid riskkategori II och III.</w:t>
      </w:r>
    </w:p>
    <w:p w14:paraId="1422C40D" w14:textId="77777777" w:rsidR="004865DB" w:rsidRPr="004865DB" w:rsidRDefault="004865DB" w:rsidP="00B43E73">
      <w:pPr>
        <w:pStyle w:val="Rubrik3"/>
      </w:pPr>
      <w:bookmarkStart w:id="123" w:name="_Toc11918049"/>
      <w:bookmarkStart w:id="124" w:name="_Toc12339547"/>
      <w:bookmarkStart w:id="125" w:name="_Toc12623791"/>
      <w:bookmarkStart w:id="126" w:name="_Toc256000013"/>
      <w:bookmarkStart w:id="127" w:name="_Toc256000035"/>
      <w:bookmarkStart w:id="128" w:name="_Toc256000057"/>
      <w:bookmarkStart w:id="129" w:name="_Toc256000079"/>
      <w:bookmarkStart w:id="130" w:name="_Toc256000101"/>
      <w:bookmarkStart w:id="131" w:name="_Toc133905025"/>
      <w:r w:rsidRPr="004865DB">
        <w:lastRenderedPageBreak/>
        <w:t>Fortsättning av tidigare påbörjad postexpositionsprofylax</w:t>
      </w:r>
      <w:bookmarkEnd w:id="123"/>
      <w:bookmarkEnd w:id="124"/>
      <w:bookmarkEnd w:id="125"/>
      <w:bookmarkEnd w:id="126"/>
      <w:bookmarkEnd w:id="127"/>
      <w:bookmarkEnd w:id="128"/>
      <w:bookmarkEnd w:id="129"/>
      <w:bookmarkEnd w:id="130"/>
      <w:bookmarkEnd w:id="131"/>
    </w:p>
    <w:p w14:paraId="14C7DAFD" w14:textId="77777777" w:rsidR="004865DB" w:rsidRPr="004865DB" w:rsidRDefault="004865DB" w:rsidP="007579A7">
      <w:r w:rsidRPr="004865DB">
        <w:t xml:space="preserve">Immunstatus (se ovan) avgör vaccinationsschema och om HRIG ska ges. I de fall immunoglobulin inte redan getts övervägs om påbörjad vaccination ska kompletteras med HRIG. Det är inte meningsfullt att ge HRIG om mer än sju dagar gått efter första dosen vaccin. </w:t>
      </w:r>
    </w:p>
    <w:p w14:paraId="5228D6D7" w14:textId="77777777" w:rsidR="004865DB" w:rsidRPr="004865DB" w:rsidRDefault="004865DB" w:rsidP="007579A7">
      <w:r w:rsidRPr="004865DB">
        <w:t>Om en dos vaccin missats eller inte getts enligt schema rekommenderas att vaccinationen ”återupptas” och att inte börja om på nytt igen. Nästa givna dos räknas då som den missade dosen och efterföljande tidsintervall justeras.</w:t>
      </w:r>
    </w:p>
    <w:p w14:paraId="03C6DDC6" w14:textId="77777777" w:rsidR="004865DB" w:rsidRPr="004865DB" w:rsidRDefault="004865DB" w:rsidP="007579A7">
      <w:pPr>
        <w:pStyle w:val="Rubrik3"/>
      </w:pPr>
      <w:bookmarkStart w:id="132" w:name="_Toc11918050"/>
      <w:bookmarkStart w:id="133" w:name="_Toc12339548"/>
      <w:bookmarkStart w:id="134" w:name="_Toc12623792"/>
      <w:bookmarkStart w:id="135" w:name="_Toc256000014"/>
      <w:bookmarkStart w:id="136" w:name="_Toc256000036"/>
      <w:bookmarkStart w:id="137" w:name="_Toc256000058"/>
      <w:bookmarkStart w:id="138" w:name="_Toc256000080"/>
      <w:bookmarkStart w:id="139" w:name="_Toc256000102"/>
      <w:bookmarkStart w:id="140" w:name="_Toc133905026"/>
      <w:r w:rsidRPr="004865DB">
        <w:t>Administration</w:t>
      </w:r>
      <w:bookmarkEnd w:id="132"/>
      <w:bookmarkEnd w:id="133"/>
      <w:bookmarkEnd w:id="134"/>
      <w:bookmarkEnd w:id="135"/>
      <w:bookmarkEnd w:id="136"/>
      <w:bookmarkEnd w:id="137"/>
      <w:bookmarkEnd w:id="138"/>
      <w:bookmarkEnd w:id="139"/>
      <w:bookmarkEnd w:id="140"/>
    </w:p>
    <w:p w14:paraId="7F36A0AF" w14:textId="77777777" w:rsidR="004865DB" w:rsidRPr="004865DB" w:rsidRDefault="004865DB" w:rsidP="007579A7">
      <w:pPr>
        <w:rPr>
          <w:szCs w:val="20"/>
        </w:rPr>
      </w:pPr>
      <w:r w:rsidRPr="004865DB">
        <w:rPr>
          <w:szCs w:val="20"/>
        </w:rPr>
        <w:t>Barn &gt;2 år ges vaccin i deltoideusmuskel och &lt;2 år i lår. (Ej glutealt).</w:t>
      </w:r>
    </w:p>
    <w:p w14:paraId="6DBF5CC5" w14:textId="77777777" w:rsidR="004865DB" w:rsidRPr="004865DB" w:rsidRDefault="004865DB" w:rsidP="007579A7">
      <w:pPr>
        <w:rPr>
          <w:szCs w:val="20"/>
        </w:rPr>
      </w:pPr>
      <w:r w:rsidRPr="004865DB">
        <w:rPr>
          <w:szCs w:val="20"/>
        </w:rPr>
        <w:t>Även om tidigare vaccindos getts intradermalt kan man fortsätta intramuskulärt utan att börja om vaccinationsschemat.</w:t>
      </w:r>
    </w:p>
    <w:p w14:paraId="6156F3DD" w14:textId="77777777" w:rsidR="004865DB" w:rsidRPr="004865DB" w:rsidRDefault="004865DB" w:rsidP="007579A7">
      <w:pPr>
        <w:rPr>
          <w:b/>
          <w:szCs w:val="26"/>
        </w:rPr>
      </w:pPr>
      <w:bookmarkStart w:id="141" w:name="_Toc11918051"/>
      <w:bookmarkStart w:id="142" w:name="_Toc12339549"/>
      <w:bookmarkStart w:id="143" w:name="_Toc12623793"/>
      <w:bookmarkStart w:id="144" w:name="_Toc256000015"/>
      <w:bookmarkStart w:id="145" w:name="_Toc256000037"/>
      <w:bookmarkStart w:id="146" w:name="_Toc256000059"/>
      <w:bookmarkStart w:id="147" w:name="_Toc256000081"/>
      <w:bookmarkStart w:id="148" w:name="_Toc256000103"/>
      <w:r w:rsidRPr="004865DB">
        <w:rPr>
          <w:b/>
          <w:szCs w:val="26"/>
        </w:rPr>
        <w:t>Kontraindikation</w:t>
      </w:r>
      <w:bookmarkEnd w:id="141"/>
      <w:bookmarkEnd w:id="142"/>
      <w:bookmarkEnd w:id="143"/>
      <w:bookmarkEnd w:id="144"/>
      <w:bookmarkEnd w:id="145"/>
      <w:bookmarkEnd w:id="146"/>
      <w:bookmarkEnd w:id="147"/>
      <w:bookmarkEnd w:id="148"/>
    </w:p>
    <w:p w14:paraId="5FD660B1" w14:textId="77777777" w:rsidR="004865DB" w:rsidRPr="004865DB" w:rsidRDefault="004865DB" w:rsidP="007579A7">
      <w:pPr>
        <w:rPr>
          <w:szCs w:val="20"/>
        </w:rPr>
      </w:pPr>
      <w:r w:rsidRPr="004865DB">
        <w:rPr>
          <w:szCs w:val="20"/>
        </w:rPr>
        <w:t>Kontraindikationer skiljer sig åt mellan de olika vaccinerna.</w:t>
      </w:r>
    </w:p>
    <w:p w14:paraId="3E48465C" w14:textId="77777777" w:rsidR="004865DB" w:rsidRPr="004865DB" w:rsidRDefault="004865DB" w:rsidP="007579A7">
      <w:pPr>
        <w:rPr>
          <w:szCs w:val="20"/>
        </w:rPr>
      </w:pPr>
      <w:r w:rsidRPr="004865DB">
        <w:rPr>
          <w:szCs w:val="20"/>
        </w:rPr>
        <w:t>Kontrollera om tidigare överkänslighet mot ingående komponenter i vaccin. Vid överkänslighetsreaktion mot ägg eller äggprodukt försiktighet med Rabipur (framställd på kycklingembryo), välj om möjligt Verorab (framställd på verocellkultur).</w:t>
      </w:r>
    </w:p>
    <w:p w14:paraId="75C00C03" w14:textId="77777777" w:rsidR="004865DB" w:rsidRPr="004865DB" w:rsidRDefault="004865DB" w:rsidP="007579A7">
      <w:pPr>
        <w:rPr>
          <w:szCs w:val="20"/>
        </w:rPr>
      </w:pPr>
      <w:r w:rsidRPr="004865DB">
        <w:rPr>
          <w:szCs w:val="20"/>
        </w:rPr>
        <w:t>Vid postexpositionsprofylax utgör tidigare överkänslighetsreaktioner inte en kontraindikation.</w:t>
      </w:r>
    </w:p>
    <w:p w14:paraId="6399D210" w14:textId="77777777" w:rsidR="004865DB" w:rsidRPr="004865DB" w:rsidRDefault="004865DB" w:rsidP="007579A7">
      <w:pPr>
        <w:rPr>
          <w:b/>
          <w:szCs w:val="26"/>
        </w:rPr>
      </w:pPr>
      <w:bookmarkStart w:id="149" w:name="_Toc11918052"/>
      <w:bookmarkStart w:id="150" w:name="_Toc12339550"/>
      <w:bookmarkStart w:id="151" w:name="_Toc12623794"/>
      <w:bookmarkStart w:id="152" w:name="_Toc256000016"/>
      <w:bookmarkStart w:id="153" w:name="_Toc256000038"/>
      <w:bookmarkStart w:id="154" w:name="_Toc256000060"/>
      <w:bookmarkStart w:id="155" w:name="_Toc256000082"/>
      <w:bookmarkStart w:id="156" w:name="_Toc256000104"/>
      <w:r w:rsidRPr="004865DB">
        <w:rPr>
          <w:b/>
          <w:szCs w:val="26"/>
        </w:rPr>
        <w:t>Graviditet/Amning</w:t>
      </w:r>
      <w:bookmarkEnd w:id="149"/>
      <w:bookmarkEnd w:id="150"/>
      <w:bookmarkEnd w:id="151"/>
      <w:bookmarkEnd w:id="152"/>
      <w:bookmarkEnd w:id="153"/>
      <w:bookmarkEnd w:id="154"/>
      <w:bookmarkEnd w:id="155"/>
      <w:bookmarkEnd w:id="156"/>
    </w:p>
    <w:p w14:paraId="1F1C9D23" w14:textId="77777777" w:rsidR="004865DB" w:rsidRPr="004865DB" w:rsidRDefault="004865DB" w:rsidP="007579A7">
      <w:pPr>
        <w:rPr>
          <w:szCs w:val="20"/>
        </w:rPr>
      </w:pPr>
      <w:r w:rsidRPr="004865DB">
        <w:rPr>
          <w:szCs w:val="20"/>
        </w:rPr>
        <w:t>Vid befarad eller säkerställd rabiesexposition utgör graviditet/amning inte någon kontraindikation för postexpositionsprofylax.</w:t>
      </w:r>
    </w:p>
    <w:p w14:paraId="27C4FBB8" w14:textId="77777777" w:rsidR="004865DB" w:rsidRPr="00C72390" w:rsidRDefault="004865DB" w:rsidP="007579A7">
      <w:pPr>
        <w:rPr>
          <w:b/>
          <w:bCs/>
        </w:rPr>
      </w:pPr>
      <w:bookmarkStart w:id="157" w:name="_Toc11918053"/>
      <w:bookmarkStart w:id="158" w:name="_Toc12339551"/>
      <w:bookmarkStart w:id="159" w:name="_Toc12623795"/>
      <w:bookmarkStart w:id="160" w:name="_Toc256000017"/>
      <w:bookmarkStart w:id="161" w:name="_Toc256000039"/>
      <w:bookmarkStart w:id="162" w:name="_Toc256000061"/>
      <w:bookmarkStart w:id="163" w:name="_Toc256000083"/>
      <w:bookmarkStart w:id="164" w:name="_Toc256000105"/>
      <w:r w:rsidRPr="00C72390">
        <w:rPr>
          <w:b/>
          <w:bCs/>
        </w:rPr>
        <w:t>Biverkningar</w:t>
      </w:r>
      <w:bookmarkEnd w:id="157"/>
      <w:bookmarkEnd w:id="158"/>
      <w:bookmarkEnd w:id="159"/>
      <w:bookmarkEnd w:id="160"/>
      <w:bookmarkEnd w:id="161"/>
      <w:bookmarkEnd w:id="162"/>
      <w:bookmarkEnd w:id="163"/>
      <w:bookmarkEnd w:id="164"/>
    </w:p>
    <w:p w14:paraId="4AF97791" w14:textId="36568AE8" w:rsidR="004865DB" w:rsidRPr="004865DB" w:rsidRDefault="004865DB" w:rsidP="007579A7">
      <w:pPr>
        <w:rPr>
          <w:szCs w:val="20"/>
        </w:rPr>
      </w:pPr>
      <w:r w:rsidRPr="004865DB">
        <w:rPr>
          <w:szCs w:val="20"/>
        </w:rPr>
        <w:t xml:space="preserve">Generellt är rabiesvaccin säkert och ger få allvarliga biverkningar. Av de som vaccineras uppvisar </w:t>
      </w:r>
      <w:r w:rsidR="00C72390" w:rsidRPr="004865DB">
        <w:rPr>
          <w:szCs w:val="20"/>
        </w:rPr>
        <w:t>30–45</w:t>
      </w:r>
      <w:r w:rsidRPr="004865DB">
        <w:rPr>
          <w:szCs w:val="20"/>
        </w:rPr>
        <w:t xml:space="preserve"> % lokala övergående reaktioner vid injektionsställe. </w:t>
      </w:r>
      <w:r w:rsidR="00C72390" w:rsidRPr="004865DB">
        <w:rPr>
          <w:szCs w:val="20"/>
        </w:rPr>
        <w:t>5–15</w:t>
      </w:r>
      <w:r w:rsidRPr="004865DB">
        <w:rPr>
          <w:szCs w:val="20"/>
        </w:rPr>
        <w:t xml:space="preserve"> % uppvisar milda systemreaktioner </w:t>
      </w:r>
      <w:r w:rsidR="00371906" w:rsidRPr="004865DB">
        <w:rPr>
          <w:szCs w:val="20"/>
        </w:rPr>
        <w:t>till exempel</w:t>
      </w:r>
      <w:r w:rsidRPr="004865DB">
        <w:rPr>
          <w:szCs w:val="20"/>
        </w:rPr>
        <w:t xml:space="preserve"> övergående feber, huvudvärk, yrsel och gastrointestinala symptom. Allvarlig reaktion av allergisk eller neurologisk karaktär är ovanlig.</w:t>
      </w:r>
    </w:p>
    <w:p w14:paraId="5F6CD894" w14:textId="77777777" w:rsidR="004865DB" w:rsidRPr="004865DB" w:rsidRDefault="004865DB" w:rsidP="00B43E73">
      <w:pPr>
        <w:pStyle w:val="Rubrik3"/>
      </w:pPr>
      <w:bookmarkStart w:id="165" w:name="_Toc11918054"/>
      <w:bookmarkStart w:id="166" w:name="_Toc12339552"/>
      <w:bookmarkStart w:id="167" w:name="_Toc12623796"/>
      <w:bookmarkStart w:id="168" w:name="_Toc256000018"/>
      <w:bookmarkStart w:id="169" w:name="_Toc256000040"/>
      <w:bookmarkStart w:id="170" w:name="_Toc256000062"/>
      <w:bookmarkStart w:id="171" w:name="_Toc256000084"/>
      <w:bookmarkStart w:id="172" w:name="_Toc256000106"/>
      <w:bookmarkStart w:id="173" w:name="_Toc133905027"/>
      <w:r w:rsidRPr="004865DB">
        <w:t>Beställning av läkemedel</w:t>
      </w:r>
      <w:bookmarkEnd w:id="165"/>
      <w:bookmarkEnd w:id="166"/>
      <w:bookmarkEnd w:id="167"/>
      <w:bookmarkEnd w:id="168"/>
      <w:bookmarkEnd w:id="169"/>
      <w:bookmarkEnd w:id="170"/>
      <w:bookmarkEnd w:id="171"/>
      <w:bookmarkEnd w:id="172"/>
      <w:bookmarkEnd w:id="173"/>
    </w:p>
    <w:p w14:paraId="1E83D88C" w14:textId="77777777" w:rsidR="000E6700" w:rsidRDefault="000E6700" w:rsidP="007579A7">
      <w:pPr>
        <w:rPr>
          <w:b/>
          <w:bCs/>
        </w:rPr>
      </w:pPr>
      <w:r>
        <w:rPr>
          <w:b/>
          <w:bCs/>
        </w:rPr>
        <w:t>Vaccin och immunoglobulin</w:t>
      </w:r>
    </w:p>
    <w:p w14:paraId="6E7EF0DD" w14:textId="7DA1B5DA" w:rsidR="000E6700" w:rsidRDefault="000E6700" w:rsidP="000E6700">
      <w:r>
        <w:t>Vaccin förvaras på infektionsmottagningen, och beställs på Hamlet. Tillgängligt vaccin är Verorab.</w:t>
      </w:r>
    </w:p>
    <w:p w14:paraId="545CAED6" w14:textId="51C4EC3B" w:rsidR="000E6700" w:rsidRDefault="000E6700" w:rsidP="000E6700">
      <w:r>
        <w:lastRenderedPageBreak/>
        <w:t>På infektionsmottagningen finns även två doser immunoglobulin Berirab (750</w:t>
      </w:r>
      <w:r w:rsidR="00F2292B">
        <w:t>E = 5 ml) som förvaras inlåst i vaccinkyl. Läkare avgör behovet av immunoglobulin, aktuell dos och administrering.</w:t>
      </w:r>
    </w:p>
    <w:p w14:paraId="03FF7F56" w14:textId="7317541A" w:rsidR="006C1C4E" w:rsidRDefault="00755D48" w:rsidP="00C3353C">
      <w:pPr>
        <w:ind w:right="707"/>
      </w:pPr>
      <w:r>
        <w:t>Sjuksköterska på infektionsmottagningen meddelas v</w:t>
      </w:r>
      <w:r w:rsidR="006C1C4E">
        <w:t>id administration av immunoglobulin</w:t>
      </w:r>
      <w:r>
        <w:t xml:space="preserve">, som beställer nytt </w:t>
      </w:r>
      <w:r w:rsidR="00C3353C">
        <w:t>för ständig tillgång.</w:t>
      </w:r>
    </w:p>
    <w:p w14:paraId="3ED93CD8" w14:textId="0DF63DD2" w:rsidR="0063356F" w:rsidRDefault="00C3353C" w:rsidP="00C3353C">
      <w:pPr>
        <w:ind w:right="707"/>
      </w:pPr>
      <w:r>
        <w:t>Om immunglobulin är slut på RGL</w:t>
      </w:r>
      <w:r w:rsidR="001D4B5B">
        <w:t>, tas i första hand kontakt med infektionskliniken på Östra sjukhuset</w:t>
      </w:r>
      <w:r w:rsidR="009C0297">
        <w:t xml:space="preserve"> Sahlgrenska för lån</w:t>
      </w:r>
      <w:r w:rsidR="0043075B">
        <w:t xml:space="preserve">, i andra hand beställning från </w:t>
      </w:r>
      <w:r w:rsidR="00F82BBD">
        <w:t xml:space="preserve">Apoteket </w:t>
      </w:r>
      <w:r w:rsidR="0043075B">
        <w:t>C W Sche</w:t>
      </w:r>
      <w:r w:rsidR="6628D98E">
        <w:t>e</w:t>
      </w:r>
      <w:r w:rsidR="0043075B">
        <w:t>le</w:t>
      </w:r>
      <w:r w:rsidR="00F82BBD">
        <w:t>, Stockholm.</w:t>
      </w:r>
      <w:r w:rsidR="004E07D1">
        <w:t xml:space="preserve"> </w:t>
      </w:r>
      <w:r w:rsidR="0063356F">
        <w:t xml:space="preserve">Länk till </w:t>
      </w:r>
      <w:r w:rsidR="00687BCE">
        <w:t xml:space="preserve">Apotekets </w:t>
      </w:r>
      <w:hyperlink r:id="rId17" w:history="1">
        <w:r w:rsidR="0063356F" w:rsidRPr="00687BCE">
          <w:rPr>
            <w:rStyle w:val="Hyperlnk"/>
          </w:rPr>
          <w:t>läkemedelsrekvisition</w:t>
        </w:r>
      </w:hyperlink>
      <w:r w:rsidR="006016F0">
        <w:t>.</w:t>
      </w:r>
    </w:p>
    <w:p w14:paraId="0C1E2D74" w14:textId="77777777" w:rsidR="004865DB" w:rsidRPr="004865DB" w:rsidRDefault="004865DB" w:rsidP="00B43E73">
      <w:pPr>
        <w:pStyle w:val="Rubrik3"/>
      </w:pPr>
      <w:bookmarkStart w:id="174" w:name="_Toc11918055"/>
      <w:bookmarkStart w:id="175" w:name="_Toc12339553"/>
      <w:bookmarkStart w:id="176" w:name="_Toc12623797"/>
      <w:bookmarkStart w:id="177" w:name="_Toc256000019"/>
      <w:bookmarkStart w:id="178" w:name="_Toc256000041"/>
      <w:bookmarkStart w:id="179" w:name="_Toc256000063"/>
      <w:bookmarkStart w:id="180" w:name="_Toc256000085"/>
      <w:bookmarkStart w:id="181" w:name="_Toc256000107"/>
      <w:bookmarkStart w:id="182" w:name="_Toc133905028"/>
      <w:r w:rsidRPr="004865DB">
        <w:t>Debitering av kostnad</w:t>
      </w:r>
      <w:bookmarkEnd w:id="174"/>
      <w:bookmarkEnd w:id="175"/>
      <w:bookmarkEnd w:id="176"/>
      <w:bookmarkEnd w:id="177"/>
      <w:bookmarkEnd w:id="178"/>
      <w:bookmarkEnd w:id="179"/>
      <w:bookmarkEnd w:id="180"/>
      <w:bookmarkEnd w:id="181"/>
      <w:bookmarkEnd w:id="182"/>
    </w:p>
    <w:p w14:paraId="7CC26A31" w14:textId="77777777" w:rsidR="004865DB" w:rsidRPr="004865DB" w:rsidRDefault="004865DB" w:rsidP="00C72390">
      <w:pPr>
        <w:ind w:right="707"/>
      </w:pPr>
      <w:r w:rsidRPr="004865DB">
        <w:t>Smittskyddsenheten står för kostnad av postexpositionsprofylax. Sjuksköterska meddelar sekreterare vid beställning av immunoglobulin samt antal använda vaccindoser. Sekreterare debiterar smittskyddsenheten.</w:t>
      </w:r>
    </w:p>
    <w:p w14:paraId="0F2048FD" w14:textId="77777777" w:rsidR="004865DB" w:rsidRPr="004865DB" w:rsidRDefault="004865DB" w:rsidP="00F76969">
      <w:pPr>
        <w:pStyle w:val="Rubrik2"/>
      </w:pPr>
      <w:bookmarkStart w:id="183" w:name="_Toc11918057"/>
      <w:bookmarkStart w:id="184" w:name="_Toc12339555"/>
      <w:bookmarkStart w:id="185" w:name="_Toc12623799"/>
      <w:bookmarkStart w:id="186" w:name="_Toc256000021"/>
      <w:bookmarkStart w:id="187" w:name="_Toc256000043"/>
      <w:bookmarkStart w:id="188" w:name="_Toc256000065"/>
      <w:bookmarkStart w:id="189" w:name="_Toc256000087"/>
      <w:bookmarkStart w:id="190" w:name="_Toc256000109"/>
      <w:bookmarkStart w:id="191" w:name="_Toc133905029"/>
      <w:r w:rsidRPr="004865DB">
        <w:t>Länkförteckning</w:t>
      </w:r>
      <w:bookmarkEnd w:id="183"/>
      <w:bookmarkEnd w:id="184"/>
      <w:bookmarkEnd w:id="185"/>
      <w:bookmarkEnd w:id="186"/>
      <w:bookmarkEnd w:id="187"/>
      <w:bookmarkEnd w:id="188"/>
      <w:bookmarkEnd w:id="189"/>
      <w:bookmarkEnd w:id="190"/>
      <w:bookmarkEnd w:id="191"/>
    </w:p>
    <w:p w14:paraId="6B75CDD8" w14:textId="7417EAFC" w:rsidR="004865DB" w:rsidRDefault="004865DB" w:rsidP="006C21A1">
      <w:pPr>
        <w:pStyle w:val="Innehll1"/>
        <w:rPr>
          <w:rStyle w:val="Hyperlnk"/>
        </w:rPr>
      </w:pPr>
      <w:r w:rsidRPr="00C75BF9">
        <w:t xml:space="preserve">WHO Expert Consultation on Rabies (third report) </w:t>
      </w:r>
      <w:hyperlink r:id="rId18" w:history="1">
        <w:r w:rsidRPr="005E0F22">
          <w:rPr>
            <w:rStyle w:val="Hyperlnk"/>
          </w:rPr>
          <w:t>https://apps.who.int/iris/bitstream/handle/10665/272364/9789241210218-eng.pdf?ua=1</w:t>
        </w:r>
      </w:hyperlink>
    </w:p>
    <w:p w14:paraId="0FD55402" w14:textId="68AAC1D1" w:rsidR="00F26B10" w:rsidRPr="00F26B10" w:rsidRDefault="00AF02F3" w:rsidP="00F26B10">
      <w:pPr>
        <w:rPr>
          <w:lang w:val="en-US"/>
        </w:rPr>
      </w:pPr>
      <w:r>
        <w:t xml:space="preserve">WHO </w:t>
      </w:r>
      <w:r w:rsidRPr="00AF02F3">
        <w:t>Rabies vaccines: WHO position paper – April 2018</w:t>
      </w:r>
      <w:r>
        <w:t xml:space="preserve"> </w:t>
      </w:r>
      <w:hyperlink r:id="rId19" w:history="1">
        <w:r w:rsidRPr="00137865">
          <w:rPr>
            <w:rStyle w:val="Hyperlnk"/>
          </w:rPr>
          <w:t>https://www.who.int/publications/i/item/who-wer9316</w:t>
        </w:r>
      </w:hyperlink>
    </w:p>
    <w:p w14:paraId="620084F8" w14:textId="1EC4E18F" w:rsidR="00E9363C" w:rsidRDefault="00B7066F" w:rsidP="006C21A1">
      <w:pPr>
        <w:pStyle w:val="Innehll1"/>
      </w:pPr>
      <w:r>
        <w:t xml:space="preserve">GOV UK </w:t>
      </w:r>
      <w:r w:rsidR="004622FD" w:rsidRPr="004622FD">
        <w:t>Rabies risks in terrestrial animals by country</w:t>
      </w:r>
      <w:r>
        <w:t xml:space="preserve"> </w:t>
      </w:r>
      <w:hyperlink r:id="rId20" w:history="1">
        <w:r w:rsidR="00572D51" w:rsidRPr="00137865">
          <w:rPr>
            <w:rStyle w:val="Hyperlnk"/>
            <w:lang w:val="sv-SE"/>
          </w:rPr>
          <w:t>https://w</w:t>
        </w:r>
        <w:r w:rsidR="00572D51" w:rsidRPr="00137865">
          <w:rPr>
            <w:rStyle w:val="Hyperlnk"/>
            <w:lang w:val="sv-SE"/>
          </w:rPr>
          <w:t>ww.gov.uk/government/publications/rabies-risks-by-country/rabies-risks-in-terrestrial-animals-by-country</w:t>
        </w:r>
      </w:hyperlink>
      <w:r w:rsidR="00572D51">
        <w:t xml:space="preserve"> </w:t>
      </w:r>
    </w:p>
    <w:p w14:paraId="1AE3630C" w14:textId="14CB9ADB" w:rsidR="00C61005" w:rsidRDefault="004865DB" w:rsidP="006C21A1">
      <w:pPr>
        <w:pStyle w:val="Innehll1"/>
        <w:rPr>
          <w:lang w:val="sv-SE"/>
        </w:rPr>
      </w:pPr>
      <w:r w:rsidRPr="003337E6">
        <w:rPr>
          <w:lang w:val="sv-SE"/>
        </w:rPr>
        <w:t xml:space="preserve">Folkhälsomyndighetens rekommendationer om förebyggande av rabies </w:t>
      </w:r>
      <w:hyperlink r:id="rId21" w:history="1">
        <w:r w:rsidRPr="003337E6">
          <w:rPr>
            <w:rStyle w:val="Hyperlnk"/>
            <w:lang w:val="sv-SE"/>
          </w:rPr>
          <w:t xml:space="preserve">https://www.folkhalsomyndigheten.se/publicerat-material/publikationsarkiv/r/rekommendationer-om-forebyggande-av-rabies/ </w:t>
        </w:r>
      </w:hyperlink>
    </w:p>
    <w:p w14:paraId="25196459" w14:textId="65BFFFCD" w:rsidR="00116E35" w:rsidRPr="003337E6" w:rsidRDefault="00380ACE" w:rsidP="006C21A1">
      <w:pPr>
        <w:pStyle w:val="Innehll1"/>
        <w:rPr>
          <w:sz w:val="18"/>
          <w:szCs w:val="18"/>
        </w:rPr>
      </w:pPr>
      <w:r w:rsidRPr="0090257C">
        <w:rPr>
          <w:lang w:val="sv-SE"/>
        </w:rPr>
        <w:t>Smittskyddsläkarförening</w:t>
      </w:r>
      <w:r w:rsidR="00535907" w:rsidRPr="0090257C">
        <w:rPr>
          <w:lang w:val="sv-SE"/>
        </w:rPr>
        <w:t>ens</w:t>
      </w:r>
      <w:r w:rsidRPr="0090257C">
        <w:rPr>
          <w:lang w:val="sv-SE"/>
        </w:rPr>
        <w:t xml:space="preserve"> smittskyddsblad</w:t>
      </w:r>
      <w:r w:rsidR="00AD2F13" w:rsidRPr="0090257C">
        <w:rPr>
          <w:lang w:val="sv-SE"/>
        </w:rPr>
        <w:t xml:space="preserve"> – läkarinformation</w:t>
      </w:r>
      <w:r w:rsidR="00AD2F13" w:rsidRPr="00C61005">
        <w:t xml:space="preserve"> </w:t>
      </w:r>
      <w:hyperlink r:id="rId22" w:history="1">
        <w:r w:rsidR="00AD2F13" w:rsidRPr="00C61005">
          <w:rPr>
            <w:rStyle w:val="Hyperlnk"/>
          </w:rPr>
          <w:t>https://slf.se/smittskyddslakarforeningen/app/uploads/2022/03/Rabies-lakarinfo-220311-korrekt-titel.pdf</w:t>
        </w:r>
      </w:hyperlink>
    </w:p>
    <w:p w14:paraId="7C80F2E3" w14:textId="17D39162" w:rsidR="004865DB" w:rsidRPr="003337E6" w:rsidRDefault="004865DB" w:rsidP="006C21A1">
      <w:pPr>
        <w:pStyle w:val="Innehll1"/>
        <w:rPr>
          <w:rStyle w:val="Hyperlnk"/>
          <w:lang w:val="sv-SE"/>
        </w:rPr>
      </w:pPr>
      <w:r w:rsidRPr="003337E6">
        <w:t xml:space="preserve">Folkhälsomyndighetens sjukdomsinformation om rabies </w:t>
      </w:r>
      <w:hyperlink r:id="rId23" w:history="1">
        <w:r w:rsidRPr="003337E6">
          <w:rPr>
            <w:rStyle w:val="Hyperlnk"/>
            <w:lang w:val="sv-SE"/>
          </w:rPr>
          <w:t>https://www.folkhalsomyndigheten.se/smittskydd-beredskap/smittsamma-sjukdomar/rabies/</w:t>
        </w:r>
      </w:hyperlink>
    </w:p>
    <w:p w14:paraId="76B9F95B" w14:textId="5145148D" w:rsidR="00536A5A" w:rsidRPr="003337E6" w:rsidRDefault="004865DB" w:rsidP="006C21A1">
      <w:pPr>
        <w:pStyle w:val="Innehll1"/>
        <w:rPr>
          <w:rStyle w:val="Hyperlnk"/>
          <w:lang w:val="sv-SE"/>
        </w:rPr>
      </w:pPr>
      <w:r w:rsidRPr="003337E6">
        <w:t xml:space="preserve">1177 sjukdomsinformation om rabies </w:t>
      </w:r>
      <w:r w:rsidRPr="003337E6">
        <w:br/>
      </w:r>
      <w:hyperlink r:id="rId24" w:history="1">
        <w:r w:rsidRPr="003337E6">
          <w:rPr>
            <w:rStyle w:val="Hyperlnk"/>
            <w:lang w:val="sv-SE"/>
          </w:rPr>
          <w:t>https://www.1177.se/Vastra-Gotaland/sjukdomar--besvar/infektioner/ovanliga-infektioner/rabies/</w:t>
        </w:r>
      </w:hyperlink>
      <w:bookmarkEnd w:id="0"/>
    </w:p>
    <w:p w14:paraId="78C55456" w14:textId="6B7F794B" w:rsidR="008F0DFE" w:rsidRPr="008F0DFE" w:rsidRDefault="008F0DFE" w:rsidP="008F0DFE">
      <w:r>
        <w:t>Läkemedelsrekvisition</w:t>
      </w:r>
      <w:r w:rsidR="00EC4C1E">
        <w:t xml:space="preserve"> från Apoteket</w:t>
      </w:r>
      <w:r>
        <w:t xml:space="preserve"> </w:t>
      </w:r>
      <w:hyperlink r:id="rId25" w:history="1">
        <w:r w:rsidRPr="003359EB">
          <w:rPr>
            <w:rStyle w:val="Hyperlnk"/>
          </w:rPr>
          <w:t>https://www.apoteket.se/globalassets/vard-och-foretag/media/pdfer/blanketter/bestallning/lakemedelsrekvisition.pdf</w:t>
        </w:r>
      </w:hyperlink>
    </w:p>
    <w:sectPr w:rsidR="008F0DFE" w:rsidRPr="008F0DFE" w:rsidSect="004865D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BD4C0" w14:textId="77777777" w:rsidR="007C7490" w:rsidRDefault="007C7490">
      <w:r>
        <w:separator/>
      </w:r>
    </w:p>
  </w:endnote>
  <w:endnote w:type="continuationSeparator" w:id="0">
    <w:p w14:paraId="74B9567D" w14:textId="77777777" w:rsidR="007C7490" w:rsidRDefault="007C7490">
      <w:r>
        <w:continuationSeparator/>
      </w:r>
    </w:p>
  </w:endnote>
  <w:endnote w:type="continuationNotice" w:id="1">
    <w:p w14:paraId="4D9B59DD" w14:textId="77777777" w:rsidR="007C7490" w:rsidRDefault="007C74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ADB72" w14:textId="77777777" w:rsidR="007C7490" w:rsidRDefault="007C7490"/>
  </w:footnote>
  <w:footnote w:type="continuationSeparator" w:id="0">
    <w:p w14:paraId="37850A92" w14:textId="77777777" w:rsidR="007C7490" w:rsidRDefault="007C7490">
      <w:r>
        <w:continuationSeparator/>
      </w:r>
    </w:p>
  </w:footnote>
  <w:footnote w:type="continuationNotice" w:id="1">
    <w:p w14:paraId="61A1338B" w14:textId="77777777" w:rsidR="007C7490" w:rsidRDefault="007C74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52422255">
    <w:abstractNumId w:val="17"/>
  </w:num>
  <w:num w:numId="2" w16cid:durableId="107701721">
    <w:abstractNumId w:val="14"/>
  </w:num>
  <w:num w:numId="3" w16cid:durableId="2086100575">
    <w:abstractNumId w:val="0"/>
  </w:num>
  <w:num w:numId="4" w16cid:durableId="1632904310">
    <w:abstractNumId w:val="6"/>
  </w:num>
  <w:num w:numId="5" w16cid:durableId="46145730">
    <w:abstractNumId w:val="15"/>
  </w:num>
  <w:num w:numId="6" w16cid:durableId="1173257495">
    <w:abstractNumId w:val="2"/>
  </w:num>
  <w:num w:numId="7" w16cid:durableId="1943145120">
    <w:abstractNumId w:val="11"/>
  </w:num>
  <w:num w:numId="8" w16cid:durableId="1209296415">
    <w:abstractNumId w:val="8"/>
  </w:num>
  <w:num w:numId="9" w16cid:durableId="1806772769">
    <w:abstractNumId w:val="1"/>
  </w:num>
  <w:num w:numId="10" w16cid:durableId="1758594607">
    <w:abstractNumId w:val="1"/>
  </w:num>
  <w:num w:numId="11" w16cid:durableId="2559310">
    <w:abstractNumId w:val="3"/>
  </w:num>
  <w:num w:numId="12" w16cid:durableId="2056197841">
    <w:abstractNumId w:val="4"/>
  </w:num>
  <w:num w:numId="13" w16cid:durableId="384917522">
    <w:abstractNumId w:val="13"/>
  </w:num>
  <w:num w:numId="14" w16cid:durableId="2065132284">
    <w:abstractNumId w:val="9"/>
  </w:num>
  <w:num w:numId="15" w16cid:durableId="519005495">
    <w:abstractNumId w:val="7"/>
  </w:num>
  <w:num w:numId="16" w16cid:durableId="580219670">
    <w:abstractNumId w:val="12"/>
  </w:num>
  <w:num w:numId="17" w16cid:durableId="1963611459">
    <w:abstractNumId w:val="5"/>
  </w:num>
  <w:num w:numId="18" w16cid:durableId="551233171">
    <w:abstractNumId w:val="10"/>
  </w:num>
  <w:num w:numId="19" w16cid:durableId="3196981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3972"/>
    <w:rsid w:val="000E463B"/>
    <w:rsid w:val="000E5A7E"/>
    <w:rsid w:val="000E6700"/>
    <w:rsid w:val="000F43A3"/>
    <w:rsid w:val="000F7681"/>
    <w:rsid w:val="000F7BA8"/>
    <w:rsid w:val="00103031"/>
    <w:rsid w:val="001044FE"/>
    <w:rsid w:val="001139D4"/>
    <w:rsid w:val="00116E35"/>
    <w:rsid w:val="001175B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0B1"/>
    <w:rsid w:val="00181FDC"/>
    <w:rsid w:val="001860B9"/>
    <w:rsid w:val="00186F2B"/>
    <w:rsid w:val="001874D6"/>
    <w:rsid w:val="0019632A"/>
    <w:rsid w:val="001A03E4"/>
    <w:rsid w:val="001A4E7C"/>
    <w:rsid w:val="001B762C"/>
    <w:rsid w:val="001C4D0A"/>
    <w:rsid w:val="001C5FEF"/>
    <w:rsid w:val="001D4B5B"/>
    <w:rsid w:val="001E47E6"/>
    <w:rsid w:val="00211487"/>
    <w:rsid w:val="00211D91"/>
    <w:rsid w:val="00217DEC"/>
    <w:rsid w:val="00235B57"/>
    <w:rsid w:val="00250F24"/>
    <w:rsid w:val="002510F6"/>
    <w:rsid w:val="002523C5"/>
    <w:rsid w:val="0025380B"/>
    <w:rsid w:val="0025703A"/>
    <w:rsid w:val="00262F3D"/>
    <w:rsid w:val="00263281"/>
    <w:rsid w:val="002651D6"/>
    <w:rsid w:val="0026551F"/>
    <w:rsid w:val="00280A85"/>
    <w:rsid w:val="00284119"/>
    <w:rsid w:val="00290B5C"/>
    <w:rsid w:val="0029307E"/>
    <w:rsid w:val="00294791"/>
    <w:rsid w:val="002B0B30"/>
    <w:rsid w:val="002B0C78"/>
    <w:rsid w:val="002C0C02"/>
    <w:rsid w:val="002C1277"/>
    <w:rsid w:val="002C60AD"/>
    <w:rsid w:val="002D0E0E"/>
    <w:rsid w:val="002D5F3F"/>
    <w:rsid w:val="002D6023"/>
    <w:rsid w:val="002E263F"/>
    <w:rsid w:val="002E6F81"/>
    <w:rsid w:val="002F08BA"/>
    <w:rsid w:val="002F2CFF"/>
    <w:rsid w:val="002F568B"/>
    <w:rsid w:val="002F7818"/>
    <w:rsid w:val="003066D0"/>
    <w:rsid w:val="00311401"/>
    <w:rsid w:val="003203D7"/>
    <w:rsid w:val="00320F86"/>
    <w:rsid w:val="00324171"/>
    <w:rsid w:val="00326C24"/>
    <w:rsid w:val="003337E6"/>
    <w:rsid w:val="00337F99"/>
    <w:rsid w:val="0034307B"/>
    <w:rsid w:val="00345EB1"/>
    <w:rsid w:val="00350CC4"/>
    <w:rsid w:val="00360E0D"/>
    <w:rsid w:val="0036357D"/>
    <w:rsid w:val="00363B23"/>
    <w:rsid w:val="0036594C"/>
    <w:rsid w:val="00367D19"/>
    <w:rsid w:val="00371906"/>
    <w:rsid w:val="00371BED"/>
    <w:rsid w:val="00380ACE"/>
    <w:rsid w:val="00384019"/>
    <w:rsid w:val="0038419C"/>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B89"/>
    <w:rsid w:val="00413A60"/>
    <w:rsid w:val="004230F7"/>
    <w:rsid w:val="0043075B"/>
    <w:rsid w:val="0043167E"/>
    <w:rsid w:val="0043409A"/>
    <w:rsid w:val="00443533"/>
    <w:rsid w:val="00443C1E"/>
    <w:rsid w:val="00446255"/>
    <w:rsid w:val="00451935"/>
    <w:rsid w:val="00460ED0"/>
    <w:rsid w:val="004622FD"/>
    <w:rsid w:val="00465651"/>
    <w:rsid w:val="00470CE7"/>
    <w:rsid w:val="00470F4F"/>
    <w:rsid w:val="00472482"/>
    <w:rsid w:val="00480DC7"/>
    <w:rsid w:val="004865DB"/>
    <w:rsid w:val="004876F6"/>
    <w:rsid w:val="0049236A"/>
    <w:rsid w:val="00492718"/>
    <w:rsid w:val="004A355D"/>
    <w:rsid w:val="004A4970"/>
    <w:rsid w:val="004B2183"/>
    <w:rsid w:val="004B2A01"/>
    <w:rsid w:val="004C2559"/>
    <w:rsid w:val="004D7BA3"/>
    <w:rsid w:val="004E07D1"/>
    <w:rsid w:val="004F4518"/>
    <w:rsid w:val="004F4C62"/>
    <w:rsid w:val="00501433"/>
    <w:rsid w:val="00511CC4"/>
    <w:rsid w:val="00531E60"/>
    <w:rsid w:val="00535907"/>
    <w:rsid w:val="00536A5A"/>
    <w:rsid w:val="00541D07"/>
    <w:rsid w:val="00544BAB"/>
    <w:rsid w:val="00545F31"/>
    <w:rsid w:val="005578FA"/>
    <w:rsid w:val="00563695"/>
    <w:rsid w:val="00565129"/>
    <w:rsid w:val="00565CD0"/>
    <w:rsid w:val="00567820"/>
    <w:rsid w:val="005678FA"/>
    <w:rsid w:val="00572D51"/>
    <w:rsid w:val="005770AD"/>
    <w:rsid w:val="00581414"/>
    <w:rsid w:val="00582490"/>
    <w:rsid w:val="005826FA"/>
    <w:rsid w:val="00597E28"/>
    <w:rsid w:val="005A2E3B"/>
    <w:rsid w:val="005A54ED"/>
    <w:rsid w:val="005A5D5B"/>
    <w:rsid w:val="005A6081"/>
    <w:rsid w:val="005A627D"/>
    <w:rsid w:val="005A7335"/>
    <w:rsid w:val="005C0045"/>
    <w:rsid w:val="005C084E"/>
    <w:rsid w:val="005C4606"/>
    <w:rsid w:val="005C79EC"/>
    <w:rsid w:val="005D0B0C"/>
    <w:rsid w:val="005E02B3"/>
    <w:rsid w:val="005E0F22"/>
    <w:rsid w:val="005E1E24"/>
    <w:rsid w:val="006016F0"/>
    <w:rsid w:val="0060596B"/>
    <w:rsid w:val="00606D97"/>
    <w:rsid w:val="00614E64"/>
    <w:rsid w:val="00617710"/>
    <w:rsid w:val="00617EE6"/>
    <w:rsid w:val="0062184C"/>
    <w:rsid w:val="00623724"/>
    <w:rsid w:val="00627BEA"/>
    <w:rsid w:val="006301CB"/>
    <w:rsid w:val="006319DB"/>
    <w:rsid w:val="0063356F"/>
    <w:rsid w:val="0065595B"/>
    <w:rsid w:val="00660269"/>
    <w:rsid w:val="00665F89"/>
    <w:rsid w:val="00673C92"/>
    <w:rsid w:val="006753EC"/>
    <w:rsid w:val="00687BCE"/>
    <w:rsid w:val="006A2789"/>
    <w:rsid w:val="006A4978"/>
    <w:rsid w:val="006A7261"/>
    <w:rsid w:val="006B0D29"/>
    <w:rsid w:val="006B1819"/>
    <w:rsid w:val="006B5DE7"/>
    <w:rsid w:val="006C1C4E"/>
    <w:rsid w:val="006C21A1"/>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5D48"/>
    <w:rsid w:val="007579A7"/>
    <w:rsid w:val="00760038"/>
    <w:rsid w:val="00760550"/>
    <w:rsid w:val="00762EE0"/>
    <w:rsid w:val="00765C41"/>
    <w:rsid w:val="00771100"/>
    <w:rsid w:val="007759DD"/>
    <w:rsid w:val="0078609F"/>
    <w:rsid w:val="007862A1"/>
    <w:rsid w:val="007878A9"/>
    <w:rsid w:val="007917BA"/>
    <w:rsid w:val="007953E8"/>
    <w:rsid w:val="007A5C6F"/>
    <w:rsid w:val="007C20EE"/>
    <w:rsid w:val="007C7490"/>
    <w:rsid w:val="007D4241"/>
    <w:rsid w:val="007D4317"/>
    <w:rsid w:val="007D4EA3"/>
    <w:rsid w:val="007F1CFF"/>
    <w:rsid w:val="007F5DD5"/>
    <w:rsid w:val="0081392F"/>
    <w:rsid w:val="00813DE8"/>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310"/>
    <w:rsid w:val="008C4B27"/>
    <w:rsid w:val="008C7F2A"/>
    <w:rsid w:val="008E36F8"/>
    <w:rsid w:val="008E46B2"/>
    <w:rsid w:val="008E682C"/>
    <w:rsid w:val="008E78A1"/>
    <w:rsid w:val="008F0DFE"/>
    <w:rsid w:val="008F0E24"/>
    <w:rsid w:val="008F589F"/>
    <w:rsid w:val="0090257C"/>
    <w:rsid w:val="00906238"/>
    <w:rsid w:val="00907EF9"/>
    <w:rsid w:val="0091295C"/>
    <w:rsid w:val="00914D58"/>
    <w:rsid w:val="00921F47"/>
    <w:rsid w:val="009228AB"/>
    <w:rsid w:val="00925D80"/>
    <w:rsid w:val="0093085B"/>
    <w:rsid w:val="00931C57"/>
    <w:rsid w:val="009347A5"/>
    <w:rsid w:val="00942257"/>
    <w:rsid w:val="009471BF"/>
    <w:rsid w:val="00947EE5"/>
    <w:rsid w:val="00950E4E"/>
    <w:rsid w:val="009529BD"/>
    <w:rsid w:val="009533B4"/>
    <w:rsid w:val="00971D93"/>
    <w:rsid w:val="009B1F6B"/>
    <w:rsid w:val="009C029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61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8FE"/>
    <w:rsid w:val="00AA6EB4"/>
    <w:rsid w:val="00AA767D"/>
    <w:rsid w:val="00AB0CC9"/>
    <w:rsid w:val="00AC3FF6"/>
    <w:rsid w:val="00AD2F13"/>
    <w:rsid w:val="00AD73EC"/>
    <w:rsid w:val="00AE5BC7"/>
    <w:rsid w:val="00AF02F3"/>
    <w:rsid w:val="00AF5AAF"/>
    <w:rsid w:val="00B046D8"/>
    <w:rsid w:val="00B1005C"/>
    <w:rsid w:val="00B13F4C"/>
    <w:rsid w:val="00B16219"/>
    <w:rsid w:val="00B16C59"/>
    <w:rsid w:val="00B33FDD"/>
    <w:rsid w:val="00B359CC"/>
    <w:rsid w:val="00B36107"/>
    <w:rsid w:val="00B41789"/>
    <w:rsid w:val="00B43E73"/>
    <w:rsid w:val="00B46C03"/>
    <w:rsid w:val="00B60C6C"/>
    <w:rsid w:val="00B619A9"/>
    <w:rsid w:val="00B65A9D"/>
    <w:rsid w:val="00B66D60"/>
    <w:rsid w:val="00B7066F"/>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53C"/>
    <w:rsid w:val="00C4115D"/>
    <w:rsid w:val="00C4201A"/>
    <w:rsid w:val="00C43BDD"/>
    <w:rsid w:val="00C47778"/>
    <w:rsid w:val="00C5011E"/>
    <w:rsid w:val="00C50EE5"/>
    <w:rsid w:val="00C5240A"/>
    <w:rsid w:val="00C5398F"/>
    <w:rsid w:val="00C556F5"/>
    <w:rsid w:val="00C61005"/>
    <w:rsid w:val="00C70E19"/>
    <w:rsid w:val="00C72390"/>
    <w:rsid w:val="00C72574"/>
    <w:rsid w:val="00C7430C"/>
    <w:rsid w:val="00C75BF9"/>
    <w:rsid w:val="00C85DA1"/>
    <w:rsid w:val="00C9071C"/>
    <w:rsid w:val="00C908FF"/>
    <w:rsid w:val="00C97BD3"/>
    <w:rsid w:val="00CA39EF"/>
    <w:rsid w:val="00CA521F"/>
    <w:rsid w:val="00CB0493"/>
    <w:rsid w:val="00CB17FF"/>
    <w:rsid w:val="00CB1ED7"/>
    <w:rsid w:val="00CC165E"/>
    <w:rsid w:val="00CC167C"/>
    <w:rsid w:val="00CC52D9"/>
    <w:rsid w:val="00CD6647"/>
    <w:rsid w:val="00CE4B73"/>
    <w:rsid w:val="00CF70BB"/>
    <w:rsid w:val="00D074DB"/>
    <w:rsid w:val="00D139CF"/>
    <w:rsid w:val="00D37E7F"/>
    <w:rsid w:val="00D47AD7"/>
    <w:rsid w:val="00D51529"/>
    <w:rsid w:val="00D85218"/>
    <w:rsid w:val="00D915B1"/>
    <w:rsid w:val="00DA299D"/>
    <w:rsid w:val="00DA2B54"/>
    <w:rsid w:val="00DA65C4"/>
    <w:rsid w:val="00DD2BE0"/>
    <w:rsid w:val="00DE4447"/>
    <w:rsid w:val="00DE5DA2"/>
    <w:rsid w:val="00DF0033"/>
    <w:rsid w:val="00E026BF"/>
    <w:rsid w:val="00E07B1B"/>
    <w:rsid w:val="00E07CDB"/>
    <w:rsid w:val="00E11853"/>
    <w:rsid w:val="00E52A86"/>
    <w:rsid w:val="00E54B47"/>
    <w:rsid w:val="00E553BF"/>
    <w:rsid w:val="00E55AA7"/>
    <w:rsid w:val="00E55D93"/>
    <w:rsid w:val="00E61294"/>
    <w:rsid w:val="00E7237C"/>
    <w:rsid w:val="00E77C46"/>
    <w:rsid w:val="00E86CE8"/>
    <w:rsid w:val="00E90E82"/>
    <w:rsid w:val="00E9363C"/>
    <w:rsid w:val="00EA00CB"/>
    <w:rsid w:val="00EA1BAA"/>
    <w:rsid w:val="00EA3FCD"/>
    <w:rsid w:val="00EA42A0"/>
    <w:rsid w:val="00EB6714"/>
    <w:rsid w:val="00EC0A68"/>
    <w:rsid w:val="00EC4C1E"/>
    <w:rsid w:val="00EC5006"/>
    <w:rsid w:val="00ED010A"/>
    <w:rsid w:val="00ED49C3"/>
    <w:rsid w:val="00ED6CE8"/>
    <w:rsid w:val="00ED7AA6"/>
    <w:rsid w:val="00EE2A56"/>
    <w:rsid w:val="00EE3818"/>
    <w:rsid w:val="00F22264"/>
    <w:rsid w:val="00F2292B"/>
    <w:rsid w:val="00F2564D"/>
    <w:rsid w:val="00F26B10"/>
    <w:rsid w:val="00F35B05"/>
    <w:rsid w:val="00F413D9"/>
    <w:rsid w:val="00F45F8E"/>
    <w:rsid w:val="00F5135F"/>
    <w:rsid w:val="00F51F78"/>
    <w:rsid w:val="00F56211"/>
    <w:rsid w:val="00F74258"/>
    <w:rsid w:val="00F76969"/>
    <w:rsid w:val="00F82BBD"/>
    <w:rsid w:val="00F86F47"/>
    <w:rsid w:val="00F87C63"/>
    <w:rsid w:val="00F90B64"/>
    <w:rsid w:val="00FB2F0F"/>
    <w:rsid w:val="00FB5086"/>
    <w:rsid w:val="00FB5411"/>
    <w:rsid w:val="00FB6392"/>
    <w:rsid w:val="00FC0209"/>
    <w:rsid w:val="00FD3C70"/>
    <w:rsid w:val="00FD66F6"/>
    <w:rsid w:val="00FD6820"/>
    <w:rsid w:val="00FE12D8"/>
    <w:rsid w:val="00FF7C02"/>
    <w:rsid w:val="024801E3"/>
    <w:rsid w:val="34B2B722"/>
    <w:rsid w:val="647B2B65"/>
    <w:rsid w:val="6628D98E"/>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865D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865D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865D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C21A1"/>
    <w:pPr>
      <w:tabs>
        <w:tab w:val="right" w:leader="dot" w:pos="8779"/>
      </w:tabs>
      <w:spacing w:line="240" w:lineRule="auto"/>
      <w:ind w:right="140"/>
    </w:pPr>
    <w:rPr>
      <w:lang w:val="en-U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76969"/>
    <w:pPr>
      <w:tabs>
        <w:tab w:val="right" w:leader="dot" w:pos="8919"/>
      </w:tabs>
    </w:pPr>
  </w:style>
  <w:style w:type="paragraph" w:styleId="Innehll3">
    <w:name w:val="toc 3"/>
    <w:basedOn w:val="Normal"/>
    <w:next w:val="Normal"/>
    <w:autoRedefine/>
    <w:uiPriority w:val="39"/>
    <w:unhideWhenUsed/>
    <w:rsid w:val="00925D80"/>
    <w:pPr>
      <w:tabs>
        <w:tab w:val="right" w:leader="dot" w:pos="8919"/>
      </w:tabs>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865D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865D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865DB"/>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5C79EC"/>
    <w:rPr>
      <w:color w:val="9EA2A2" w:themeColor="followedHyperlink"/>
      <w:u w:val="single"/>
    </w:rPr>
  </w:style>
  <w:style w:type="character" w:styleId="Olstomnmnande">
    <w:name w:val="Unresolved Mention"/>
    <w:basedOn w:val="Standardstycketeckensnitt"/>
    <w:uiPriority w:val="99"/>
    <w:semiHidden/>
    <w:unhideWhenUsed/>
    <w:rsid w:val="00AD2F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pps.who.int/iris/bitstream/handle/10665/272364/9789241210218-eng.pdf?ua=1" TargetMode="External" Id="rId18" /><Relationship Type="http://schemas.openxmlformats.org/officeDocument/2006/relationships/fontTable" Target="fontTable.xml" Id="rId26" /><Relationship Type="http://schemas.openxmlformats.org/officeDocument/2006/relationships/hyperlink" Target="https://www.folkhalsomyndigheten.se/publicerat-material/publikationsarkiv/r/rekommendationer-om-forebyggande-av-rabies/"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apoteket.se/globalassets/vard-och-foretag/media/pdfer/blanketter/bestallning/lakemedelsrekvisition.pdf" TargetMode="External" Id="rId17" /><Relationship Type="http://schemas.openxmlformats.org/officeDocument/2006/relationships/hyperlink" Target="https://www.apoteket.se/globalassets/vard-och-foretag/media/pdfer/blanketter/bestallning/lakemedelsrekvisition.pdf" TargetMode="External" Id="rId25" /><Relationship Type="http://schemas.openxmlformats.org/officeDocument/2006/relationships/footer" Target="footer3.xml" Id="rId16" /><Relationship Type="http://schemas.openxmlformats.org/officeDocument/2006/relationships/hyperlink" Target="https://www.gov.uk/government/publications/rabies-risks-by-country/rabies-risks-in-terrestrial-animals-by-country"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1177.se/Vastra-Gotaland/sjukdomar--besvar/infektioner/ovanliga-infektioner/rabies/" TargetMode="External" Id="rId24" /><Relationship Type="http://schemas.openxmlformats.org/officeDocument/2006/relationships/header" Target="header2.xml" Id="rId15" /><Relationship Type="http://schemas.openxmlformats.org/officeDocument/2006/relationships/hyperlink" Target="https://www.folkhalsomyndigheten.se/smittskydd-beredskap/smittsamma-sjukdomar/rabies/" TargetMode="External" Id="rId23" /><Relationship Type="http://schemas.openxmlformats.org/officeDocument/2006/relationships/footnotes" Target="footnotes.xml" Id="rId10" /><Relationship Type="http://schemas.openxmlformats.org/officeDocument/2006/relationships/hyperlink" Target="https://www.who.int/publications/i/item/who-wer9316"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slf.se/smittskyddslakarforeningen/app/uploads/2022/03/Rabies-lakarinfo-220311-korrekt-titel.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91</TotalTime>
  <Pages>6</Pages>
  <Words>1973</Words>
  <Characters>10457</Characters>
  <Application>Microsoft Office Word</Application>
  <DocSecurity>0</DocSecurity>
  <Lines>87</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12406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Rabies, postexpositionsprofylax - infektion SÄS</dc:title>
  <dc:subject/>
  <dc:creator>patrik.jens.johansson@vgregion.se</dc:creator>
  <keywords/>
  <lastModifiedBy>Christina Björling</lastModifiedBy>
  <revision>81</revision>
  <lastPrinted>2023-04-27T08:46:00.0000000Z</lastPrinted>
  <dcterms:created xsi:type="dcterms:W3CDTF">2022-03-23T08:10:00.0000000Z</dcterms:created>
  <dcterms:modified xsi:type="dcterms:W3CDTF">2023-05-02T05:33:00.0000000Z</dcterms:modified>
</coreProperties>
</file>