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93BF8" w14:textId="77777777" w:rsidR="00D65055" w:rsidRDefault="00D65055" w:rsidP="00976CD2">
      <w:pPr>
        <w:pStyle w:val="Rubrik1"/>
      </w:pPr>
      <w:bookmarkStart w:id="0" w:name="_Toc321146591"/>
      <w:r w:rsidRPr="00D65055">
        <w:t>Rädda hjärnan - Handläggning vid komplikationer (trombolys och trombektomi)</w:t>
      </w:r>
    </w:p>
    <w:p w14:paraId="0EA8065B" w14:textId="421EDFAE" w:rsidR="00633E2B" w:rsidRPr="00633E2B" w:rsidRDefault="00633E2B" w:rsidP="00633E2B">
      <w:r>
        <w:t>(Rutinen ingår i stroke/TIA-processen, SÄS)</w:t>
      </w:r>
    </w:p>
    <w:p w14:paraId="2E9CBCE0" w14:textId="2606C788" w:rsidR="008D4342" w:rsidRDefault="008D4342" w:rsidP="00976CD2">
      <w:pPr>
        <w:pStyle w:val="Rubrik2"/>
      </w:pPr>
      <w:bookmarkStart w:id="1" w:name="_Toc419880043"/>
      <w:r>
        <w:t>Förändring sedan föregående version</w:t>
      </w:r>
    </w:p>
    <w:p w14:paraId="3E51A9C6" w14:textId="147B0489" w:rsidR="00F355AE" w:rsidRPr="008D4342" w:rsidRDefault="00B04D20" w:rsidP="00976CD2">
      <w:r>
        <w:t xml:space="preserve">Med start </w:t>
      </w:r>
      <w:r w:rsidR="001377BA">
        <w:t xml:space="preserve">i </w:t>
      </w:r>
      <w:r>
        <w:t>april 2024 är tenekteplas (Metalyse) förs</w:t>
      </w:r>
      <w:r w:rsidR="009167E1">
        <w:t xml:space="preserve">ta preparatval vid intravenös trombolysbehandling av akut ischemisk stroke. </w:t>
      </w:r>
      <w:r w:rsidR="009C71AE">
        <w:t xml:space="preserve">Under en övergångsperiod väntas dock behandling med </w:t>
      </w:r>
      <w:r w:rsidR="00421FAB">
        <w:t xml:space="preserve">alteplas (Actilyse) kunna förekomma, varför detta dokument </w:t>
      </w:r>
      <w:r w:rsidR="00596050">
        <w:t>uppdaterats att omfatta båda behandlingsvarianterna.</w:t>
      </w:r>
      <w:r w:rsidR="00936A1A">
        <w:t xml:space="preserve"> Uppdatering av hänvisningar/länkar.</w:t>
      </w:r>
    </w:p>
    <w:p w14:paraId="63FE7A59" w14:textId="6FA52C2D" w:rsidR="00D65055" w:rsidRPr="00D65055" w:rsidRDefault="00D65055" w:rsidP="00976CD2">
      <w:pPr>
        <w:pStyle w:val="Rubrik2"/>
      </w:pPr>
      <w:r w:rsidRPr="00D65055">
        <w:t>Sammanfattning</w:t>
      </w:r>
      <w:bookmarkEnd w:id="1"/>
    </w:p>
    <w:p w14:paraId="34A89FB2" w14:textId="38D330F7" w:rsidR="00D65055" w:rsidRPr="00D65055" w:rsidRDefault="00D65055" w:rsidP="00976CD2">
      <w:r>
        <w:t xml:space="preserve">Rutinen beskriver handläggning vid olika typer av komplikationer i samband med trombolysbehandling med </w:t>
      </w:r>
      <w:r w:rsidR="6CDC1747">
        <w:t xml:space="preserve">tenekteplas (Metalys), </w:t>
      </w:r>
      <w:r>
        <w:t>alteplas (Actilyse) eller trombektomi</w:t>
      </w:r>
      <w:r w:rsidRPr="63E303EB">
        <w:rPr>
          <w:vertAlign w:val="superscript"/>
        </w:rPr>
        <w:t xml:space="preserve"> </w:t>
      </w:r>
      <w:r>
        <w:t>vid ischemisk stroke. Omhändertagande av komplikationer handläggs enligt nationella och regionala riktlinjer [1-3].</w:t>
      </w:r>
    </w:p>
    <w:p w14:paraId="49703657" w14:textId="77777777" w:rsidR="00D65055" w:rsidRPr="00D65055" w:rsidRDefault="00D65055" w:rsidP="00976CD2">
      <w:pPr>
        <w:pStyle w:val="Rubrik2"/>
      </w:pPr>
      <w:bookmarkStart w:id="2" w:name="_Toc419880044"/>
      <w:r w:rsidRPr="00D65055">
        <w:t>Förutsättningar</w:t>
      </w:r>
      <w:bookmarkEnd w:id="2"/>
    </w:p>
    <w:p w14:paraId="70E19659" w14:textId="77777777" w:rsidR="00D65055" w:rsidRPr="00D65055" w:rsidRDefault="00D65055" w:rsidP="001421E9">
      <w:r w:rsidRPr="00D65055">
        <w:t>Vid alla former av komplikationer ska ansvarig läkare kontaktas.</w:t>
      </w:r>
    </w:p>
    <w:p w14:paraId="703FC0F3" w14:textId="77777777" w:rsidR="00D65055" w:rsidRPr="00D65055" w:rsidRDefault="00D65055" w:rsidP="001421E9">
      <w:pPr>
        <w:pStyle w:val="Rubrik2"/>
        <w:rPr>
          <w:rFonts w:ascii="Arial" w:hAnsi="Arial"/>
          <w:kern w:val="32"/>
          <w:sz w:val="32"/>
          <w:szCs w:val="20"/>
        </w:rPr>
      </w:pPr>
      <w:bookmarkStart w:id="3" w:name="_Toc419880045"/>
      <w:r w:rsidRPr="00D65055">
        <w:rPr>
          <w:rFonts w:ascii="Arial" w:hAnsi="Arial"/>
          <w:kern w:val="32"/>
          <w:sz w:val="32"/>
          <w:szCs w:val="20"/>
        </w:rPr>
        <w:t>Genomförande</w:t>
      </w:r>
      <w:bookmarkEnd w:id="3"/>
    </w:p>
    <w:p w14:paraId="58DA1B45" w14:textId="381124A6" w:rsidR="00D65055" w:rsidRPr="00D65055" w:rsidRDefault="00D65055" w:rsidP="001421E9">
      <w:pPr>
        <w:rPr>
          <w:szCs w:val="20"/>
        </w:rPr>
      </w:pPr>
      <w:r w:rsidRPr="00D65055">
        <w:rPr>
          <w:szCs w:val="20"/>
        </w:rPr>
        <w:t xml:space="preserve">Utförande av trombolys, se riktlinje </w:t>
      </w:r>
      <w:hyperlink r:id="rId12" w:history="1">
        <w:r w:rsidRPr="00073F98">
          <w:rPr>
            <w:rStyle w:val="Hyperlnk"/>
          </w:rPr>
          <w:t>Rädda hjärnan</w:t>
        </w:r>
      </w:hyperlink>
      <w:r w:rsidRPr="00D65055">
        <w:rPr>
          <w:szCs w:val="20"/>
        </w:rPr>
        <w:t>.</w:t>
      </w:r>
    </w:p>
    <w:p w14:paraId="4254FC9C" w14:textId="77777777" w:rsidR="00D65055" w:rsidRPr="00D65055" w:rsidRDefault="00D65055" w:rsidP="00073F98">
      <w:pPr>
        <w:pStyle w:val="Rubrik3"/>
      </w:pPr>
      <w:r w:rsidRPr="00D65055">
        <w:t>Komplikationer vid trombolys</w:t>
      </w:r>
    </w:p>
    <w:p w14:paraId="516BBEA5" w14:textId="77777777" w:rsidR="00D65055" w:rsidRPr="00D65055" w:rsidRDefault="00D65055" w:rsidP="003A0081">
      <w:pPr>
        <w:pStyle w:val="MellanrubrikVGR"/>
        <w:spacing w:before="120"/>
      </w:pPr>
      <w:r w:rsidRPr="00D65055">
        <w:t>Blodtrycksfall</w:t>
      </w:r>
    </w:p>
    <w:p w14:paraId="2D7D8ED8" w14:textId="77777777" w:rsidR="00D65055" w:rsidRPr="00D65055" w:rsidRDefault="00D65055" w:rsidP="00073F98">
      <w:pPr>
        <w:pStyle w:val="Punktlista"/>
        <w:rPr>
          <w:szCs w:val="20"/>
        </w:rPr>
      </w:pPr>
      <w:r>
        <w:t>Höj fotändan.</w:t>
      </w:r>
    </w:p>
    <w:p w14:paraId="080A8EDF" w14:textId="60111CED" w:rsidR="00D65055" w:rsidRPr="00D65055" w:rsidRDefault="0150B910" w:rsidP="00073F98">
      <w:pPr>
        <w:pStyle w:val="Punktlista"/>
      </w:pPr>
      <w:r>
        <w:t xml:space="preserve">Koppla </w:t>
      </w:r>
      <w:r w:rsidR="24B9021C">
        <w:t xml:space="preserve">intravenös </w:t>
      </w:r>
      <w:r w:rsidR="00D65055">
        <w:t>infusion Ringer</w:t>
      </w:r>
      <w:r w:rsidR="29B0D444">
        <w:t>-</w:t>
      </w:r>
      <w:r w:rsidR="00D65055">
        <w:t xml:space="preserve">acetat </w:t>
      </w:r>
      <w:r w:rsidR="21FE2982">
        <w:t xml:space="preserve">med hastighet 1000 ml/timme. </w:t>
      </w:r>
      <w:r w:rsidR="05E10327">
        <w:t xml:space="preserve">Om </w:t>
      </w:r>
      <w:r w:rsidR="030224FE">
        <w:t>chock (systoliskt BT</w:t>
      </w:r>
      <w:r w:rsidR="00A21F2A">
        <w:t> </w:t>
      </w:r>
      <w:r w:rsidR="030224FE">
        <w:t>&lt;90 mmHg) ge bolusdos med 4</w:t>
      </w:r>
      <w:r w:rsidR="00750012">
        <w:t> </w:t>
      </w:r>
      <w:r w:rsidR="030224FE">
        <w:t>ml/kg</w:t>
      </w:r>
      <w:r w:rsidR="2704CD71">
        <w:t>!</w:t>
      </w:r>
    </w:p>
    <w:p w14:paraId="46ACA418" w14:textId="7628EF67" w:rsidR="63E303EB" w:rsidRDefault="00A578B9" w:rsidP="00073F98">
      <w:pPr>
        <w:pStyle w:val="Punktlista"/>
      </w:pPr>
      <w:r>
        <w:t xml:space="preserve">Om behandling med alteplas (Actilyse) pågår, </w:t>
      </w:r>
      <w:r w:rsidR="130A86C7">
        <w:t>halvera</w:t>
      </w:r>
      <w:r w:rsidR="4C3AE455">
        <w:t xml:space="preserve"> infusionstakten</w:t>
      </w:r>
      <w:r>
        <w:t>!</w:t>
      </w:r>
    </w:p>
    <w:p w14:paraId="1817BEE8" w14:textId="77777777" w:rsidR="00D65055" w:rsidRPr="00D65055" w:rsidRDefault="00D65055" w:rsidP="00073F98">
      <w:pPr>
        <w:pStyle w:val="MellanrubrikVGR"/>
      </w:pPr>
      <w:r w:rsidRPr="00D65055">
        <w:lastRenderedPageBreak/>
        <w:t>Bradykardi</w:t>
      </w:r>
    </w:p>
    <w:p w14:paraId="066BD26F" w14:textId="472D0B53" w:rsidR="00617D06" w:rsidRDefault="00617D06" w:rsidP="00073F98">
      <w:pPr>
        <w:pStyle w:val="Punktlista"/>
      </w:pPr>
      <w:r>
        <w:t xml:space="preserve">Om behandling med alteplas (Actilyse) pågår, </w:t>
      </w:r>
      <w:r w:rsidR="3C1166BD">
        <w:t xml:space="preserve">halvera </w:t>
      </w:r>
      <w:r>
        <w:t>infusionstakten!</w:t>
      </w:r>
    </w:p>
    <w:p w14:paraId="3B300AD2" w14:textId="77777777" w:rsidR="00D65055" w:rsidRPr="00D65055" w:rsidRDefault="00D65055" w:rsidP="00073F98">
      <w:pPr>
        <w:pStyle w:val="MellanrubrikVGR"/>
      </w:pPr>
      <w:r w:rsidRPr="00D65055">
        <w:t>Allergisk reaktion</w:t>
      </w:r>
    </w:p>
    <w:p w14:paraId="3D1BF63A" w14:textId="506EE0F5" w:rsidR="00D65055" w:rsidRPr="00D65055" w:rsidRDefault="00655BCF" w:rsidP="0071710C">
      <w:pPr>
        <w:pStyle w:val="Punktlistanumrerad"/>
        <w:rPr>
          <w:szCs w:val="20"/>
        </w:rPr>
      </w:pPr>
      <w:r>
        <w:t xml:space="preserve">Om behandling med alteplas (Actilyse) pågår, </w:t>
      </w:r>
      <w:r w:rsidR="008A45A0">
        <w:t>a</w:t>
      </w:r>
      <w:r w:rsidR="00D65055" w:rsidRPr="00D65055">
        <w:rPr>
          <w:szCs w:val="20"/>
        </w:rPr>
        <w:t>vbryt omedelbart infusionen</w:t>
      </w:r>
      <w:r w:rsidR="000E64AC">
        <w:rPr>
          <w:szCs w:val="20"/>
        </w:rPr>
        <w:t>.</w:t>
      </w:r>
    </w:p>
    <w:p w14:paraId="74C1E409" w14:textId="254E85C7" w:rsidR="00D65055" w:rsidRPr="00D65055" w:rsidRDefault="00D65055" w:rsidP="0071710C">
      <w:pPr>
        <w:pStyle w:val="Punktlistanumrerad"/>
      </w:pPr>
      <w:r>
        <w:t xml:space="preserve">Ge </w:t>
      </w:r>
      <w:r w:rsidR="30FD59C5">
        <w:t>2</w:t>
      </w:r>
      <w:r w:rsidR="00750012">
        <w:t> </w:t>
      </w:r>
      <w:r w:rsidR="30FD59C5">
        <w:t>ml betapred 4</w:t>
      </w:r>
      <w:r w:rsidR="000E64AC">
        <w:t> </w:t>
      </w:r>
      <w:r w:rsidR="30FD59C5">
        <w:t xml:space="preserve">mg/ml </w:t>
      </w:r>
      <w:r w:rsidR="00923A84">
        <w:t xml:space="preserve">iv </w:t>
      </w:r>
      <w:r w:rsidR="2A96C361">
        <w:t>(=8</w:t>
      </w:r>
      <w:r w:rsidR="000E64AC">
        <w:t> </w:t>
      </w:r>
      <w:r w:rsidR="2A96C361">
        <w:t xml:space="preserve">mg) </w:t>
      </w:r>
      <w:r>
        <w:t>+ eventuellt antihistamin iv</w:t>
      </w:r>
      <w:r w:rsidR="000E64AC">
        <w:t>.</w:t>
      </w:r>
    </w:p>
    <w:p w14:paraId="4D562CB9" w14:textId="77777777" w:rsidR="00D65055" w:rsidRPr="00D65055" w:rsidRDefault="00D65055" w:rsidP="00073F98">
      <w:pPr>
        <w:pStyle w:val="MellanrubrikVGR"/>
      </w:pPr>
      <w:r w:rsidRPr="00D65055">
        <w:t>Blödningskomplikationer under pågående behandling</w:t>
      </w:r>
    </w:p>
    <w:p w14:paraId="7DFE8DFE" w14:textId="1BF01333" w:rsidR="00D65055" w:rsidRPr="00D65055" w:rsidRDefault="007D5BA3" w:rsidP="00642F22">
      <w:r>
        <w:t>Symptomatisk intrakraniell blödning (s</w:t>
      </w:r>
      <w:r w:rsidR="00D65055" w:rsidRPr="00D65055">
        <w:t>ymptomatic intracranial hemorrhage</w:t>
      </w:r>
      <w:r w:rsidR="00736BCE">
        <w:t xml:space="preserve">, </w:t>
      </w:r>
      <w:r w:rsidR="00D65055" w:rsidRPr="00D65055">
        <w:t>sICH</w:t>
      </w:r>
      <w:r w:rsidR="00736BCE">
        <w:t>)</w:t>
      </w:r>
      <w:r w:rsidR="00D65055" w:rsidRPr="00D65055">
        <w:t xml:space="preserve"> förekommer hos 2–3</w:t>
      </w:r>
      <w:r w:rsidR="00B7505C">
        <w:t> </w:t>
      </w:r>
      <w:r w:rsidR="00D65055" w:rsidRPr="00D65055">
        <w:t xml:space="preserve">% av alla behandlade patienter. Eliminationen av </w:t>
      </w:r>
      <w:r w:rsidR="005F4A5B">
        <w:t xml:space="preserve">både tenekteplas </w:t>
      </w:r>
      <w:r w:rsidR="006F5B8B">
        <w:t xml:space="preserve">och </w:t>
      </w:r>
      <w:r w:rsidR="00D65055" w:rsidRPr="00D65055">
        <w:t>alteplas sker huvudsakligen genom levern</w:t>
      </w:r>
      <w:r w:rsidR="006F5B8B">
        <w:t>, med i båda fallen bifasisk</w:t>
      </w:r>
      <w:r w:rsidR="00867C3C">
        <w:t>a</w:t>
      </w:r>
      <w:r w:rsidR="006F5B8B">
        <w:t xml:space="preserve"> elimini</w:t>
      </w:r>
      <w:r w:rsidR="00867C3C">
        <w:t>eringskurvor</w:t>
      </w:r>
      <w:r w:rsidR="00D65055" w:rsidRPr="00D65055">
        <w:t xml:space="preserve">. </w:t>
      </w:r>
      <w:r w:rsidR="00867C3C">
        <w:t>Initial h</w:t>
      </w:r>
      <w:r w:rsidR="00D65055" w:rsidRPr="00D65055">
        <w:t xml:space="preserve">alveringstid i plasma är cirka </w:t>
      </w:r>
      <w:r w:rsidR="00421881">
        <w:t xml:space="preserve">25 minuter för tenekteplas och </w:t>
      </w:r>
      <w:r w:rsidR="00AA46E5">
        <w:t xml:space="preserve">5 </w:t>
      </w:r>
      <w:r w:rsidR="00D65055" w:rsidRPr="00D65055">
        <w:t>minuter</w:t>
      </w:r>
      <w:r w:rsidR="00AA46E5">
        <w:t xml:space="preserve"> för alteplas</w:t>
      </w:r>
      <w:r w:rsidR="00D65055" w:rsidRPr="00D65055">
        <w:t xml:space="preserve">. </w:t>
      </w:r>
      <w:r w:rsidR="00AA46E5">
        <w:t xml:space="preserve">Båda preparaten kvardröjer dock i perifera vävnader </w:t>
      </w:r>
      <w:r w:rsidR="009461CC">
        <w:t xml:space="preserve">och den terminala halveringstiden är 90-130 minuter för tenekteplas och </w:t>
      </w:r>
      <w:r w:rsidR="00F87A70">
        <w:t>c</w:t>
      </w:r>
      <w:r w:rsidR="00851C9D">
        <w:t>irk</w:t>
      </w:r>
      <w:r w:rsidR="00F87A70">
        <w:t>a 40 minuter för alteplas.</w:t>
      </w:r>
    </w:p>
    <w:p w14:paraId="299A52D8" w14:textId="77777777" w:rsidR="00D65055" w:rsidRPr="00D65055" w:rsidRDefault="00D65055" w:rsidP="00073F98">
      <w:pPr>
        <w:pStyle w:val="MellanrubrikVGR"/>
      </w:pPr>
      <w:r w:rsidRPr="00D65055">
        <w:t>Allvarliga blödningar</w:t>
      </w:r>
    </w:p>
    <w:p w14:paraId="2068EED4" w14:textId="6DEEBF72" w:rsidR="00D65055" w:rsidRPr="00D65055" w:rsidRDefault="00D65055" w:rsidP="00642F22">
      <w:pPr>
        <w:pStyle w:val="Punktlista"/>
      </w:pPr>
      <w:r w:rsidRPr="277496D3">
        <w:rPr>
          <w:b/>
          <w:bCs/>
        </w:rPr>
        <w:t>Intrakraniella blödningar</w:t>
      </w:r>
      <w:r>
        <w:t xml:space="preserve">. </w:t>
      </w:r>
      <w:r w:rsidR="0156956A">
        <w:t xml:space="preserve">Ska misstänkas vid </w:t>
      </w:r>
      <w:r w:rsidR="2B12B5B8">
        <w:t>nytillkomna eller tilltagande neurologiska symtom</w:t>
      </w:r>
      <w:r>
        <w:t xml:space="preserve">, försämrad medvetandegrad, nytillkommen huvudvärk, kräkningar </w:t>
      </w:r>
      <w:r w:rsidR="0AF355D9">
        <w:t>eller oförklarligt s</w:t>
      </w:r>
      <w:r>
        <w:t>tigande blodtryck.</w:t>
      </w:r>
    </w:p>
    <w:p w14:paraId="749F03FE" w14:textId="506C4D8D" w:rsidR="00D65055" w:rsidRPr="00D65055" w:rsidRDefault="00D65055" w:rsidP="00642F22">
      <w:pPr>
        <w:pStyle w:val="Punktlista"/>
      </w:pPr>
      <w:r w:rsidRPr="277496D3">
        <w:rPr>
          <w:b/>
          <w:bCs/>
        </w:rPr>
        <w:t>Systemisk blödning</w:t>
      </w:r>
      <w:r>
        <w:t xml:space="preserve">: </w:t>
      </w:r>
      <w:r w:rsidR="69C1964F">
        <w:t xml:space="preserve">Ska misstänkas vid </w:t>
      </w:r>
      <w:r>
        <w:t>neds</w:t>
      </w:r>
      <w:r w:rsidR="23CB05B6">
        <w:t>a</w:t>
      </w:r>
      <w:r>
        <w:t xml:space="preserve">tt allmäntillstånd, stigande blodtryck och puls, lokala symtom </w:t>
      </w:r>
      <w:r w:rsidR="50BC9301">
        <w:t>vid blödningen</w:t>
      </w:r>
      <w:r w:rsidR="18F15236">
        <w:t xml:space="preserve">, </w:t>
      </w:r>
      <w:r w:rsidR="11835DAB">
        <w:t xml:space="preserve">till exempel smärta </w:t>
      </w:r>
      <w:r>
        <w:t xml:space="preserve">vid intramuskulära hematom. </w:t>
      </w:r>
    </w:p>
    <w:p w14:paraId="13692455" w14:textId="6E0FF9EE" w:rsidR="00D65055" w:rsidRPr="00D65055" w:rsidRDefault="00F87A70" w:rsidP="00642F22">
      <w:pPr>
        <w:pStyle w:val="Punktlista"/>
      </w:pPr>
      <w:r>
        <w:t xml:space="preserve">Om </w:t>
      </w:r>
      <w:r w:rsidR="00645CC7">
        <w:t xml:space="preserve">eventuell </w:t>
      </w:r>
      <w:r w:rsidR="002901B6">
        <w:t>actilyseinfusion</w:t>
      </w:r>
      <w:r w:rsidR="00D65055">
        <w:t xml:space="preserve"> </w:t>
      </w:r>
      <w:r w:rsidR="1E95F156">
        <w:t xml:space="preserve">pågår ska den vid blödningsmisstanke </w:t>
      </w:r>
      <w:r w:rsidR="1E95F156" w:rsidRPr="277496D3">
        <w:rPr>
          <w:b/>
          <w:bCs/>
        </w:rPr>
        <w:t xml:space="preserve">avbrytas </w:t>
      </w:r>
      <w:r w:rsidR="00D65055">
        <w:t>efter kontakt med ansvarig läkare.</w:t>
      </w:r>
    </w:p>
    <w:p w14:paraId="37665F0B" w14:textId="3CDAB479" w:rsidR="00D65055" w:rsidRPr="00D65055" w:rsidRDefault="21EAF50D" w:rsidP="00642F22">
      <w:pPr>
        <w:pStyle w:val="Punktlista"/>
      </w:pPr>
      <w:r>
        <w:t xml:space="preserve">Beställ akut DT-hjärna </w:t>
      </w:r>
      <w:r w:rsidR="00505D78">
        <w:t>vid</w:t>
      </w:r>
      <w:r>
        <w:t xml:space="preserve"> misstanke om intrakraniell blödning. </w:t>
      </w:r>
    </w:p>
    <w:p w14:paraId="7E627299" w14:textId="7EA3ED84" w:rsidR="00D65055" w:rsidRPr="00D65055" w:rsidRDefault="21EAF50D" w:rsidP="00642F22">
      <w:pPr>
        <w:pStyle w:val="Punktlista"/>
      </w:pPr>
      <w:r>
        <w:t>Ge tranexamsyra (Cyklokapron) 10</w:t>
      </w:r>
      <w:r w:rsidR="00581D09">
        <w:t> </w:t>
      </w:r>
      <w:r>
        <w:t xml:space="preserve">mg/kg iv. </w:t>
      </w:r>
    </w:p>
    <w:p w14:paraId="7AE850CA" w14:textId="60802EBD" w:rsidR="00D65055" w:rsidRPr="00D65055" w:rsidRDefault="18FD6C76" w:rsidP="00642F22">
      <w:pPr>
        <w:pStyle w:val="Punktlista"/>
      </w:pPr>
      <w:r>
        <w:t>Tag prover: Blod</w:t>
      </w:r>
      <w:r w:rsidR="66A181EA">
        <w:t xml:space="preserve">gruppering, BAS- och MG-test. </w:t>
      </w:r>
      <w:r>
        <w:t xml:space="preserve">APTT, fibrinogen, Hb och trombocytantal </w:t>
      </w:r>
      <w:r w:rsidR="221A3877">
        <w:t xml:space="preserve">tas både </w:t>
      </w:r>
      <w:r>
        <w:t xml:space="preserve">före och efter ev injektion av fibrinogenkoncentrat (Fibryga) och/eller färskfrusen plasma. </w:t>
      </w:r>
    </w:p>
    <w:p w14:paraId="43A38A80" w14:textId="7FB684A1" w:rsidR="00D65055" w:rsidRPr="00D65055" w:rsidRDefault="32970AAD" w:rsidP="00642F22">
      <w:pPr>
        <w:pStyle w:val="Punktlista"/>
      </w:pPr>
      <w:r>
        <w:t>Överväg</w:t>
      </w:r>
      <w:r w:rsidR="00D65055">
        <w:t xml:space="preserve"> </w:t>
      </w:r>
      <w:r>
        <w:t xml:space="preserve">att beställa </w:t>
      </w:r>
      <w:r w:rsidR="00D65055">
        <w:t xml:space="preserve">blodprodukter: erytrocytkoncentrat, </w:t>
      </w:r>
      <w:r w:rsidR="11A6B18F">
        <w:t xml:space="preserve">färskfrusen plasma </w:t>
      </w:r>
      <w:r w:rsidR="00D65055">
        <w:t>och fibrinogenkoncentrat.</w:t>
      </w:r>
    </w:p>
    <w:p w14:paraId="51389A14" w14:textId="718C3A8B" w:rsidR="00D65055" w:rsidRPr="00D65055" w:rsidRDefault="60B30368" w:rsidP="00642F22">
      <w:pPr>
        <w:pStyle w:val="Punktlista"/>
      </w:pPr>
      <w:r>
        <w:t xml:space="preserve">Överväg </w:t>
      </w:r>
      <w:r w:rsidR="00D65055">
        <w:t>ytterligare behandling i samråd med koagulationsjour.</w:t>
      </w:r>
    </w:p>
    <w:p w14:paraId="037BD620" w14:textId="1C614931" w:rsidR="00D65055" w:rsidRPr="00D65055" w:rsidRDefault="72DE6250" w:rsidP="00642F22">
      <w:pPr>
        <w:pStyle w:val="Punktlista"/>
      </w:pPr>
      <w:r>
        <w:t xml:space="preserve">Överväg </w:t>
      </w:r>
      <w:r w:rsidR="00D65055">
        <w:t>kontakt med neurokirurg.</w:t>
      </w:r>
    </w:p>
    <w:p w14:paraId="2E5858F0" w14:textId="77777777" w:rsidR="00D65055" w:rsidRPr="00D65055" w:rsidRDefault="00D65055" w:rsidP="0071710C">
      <w:pPr>
        <w:pStyle w:val="MellanrubrikVGR"/>
        <w:rPr>
          <w:rFonts w:ascii="Arial" w:hAnsi="Arial" w:cs="Arial"/>
          <w:sz w:val="22"/>
        </w:rPr>
      </w:pPr>
      <w:r w:rsidRPr="00D65055">
        <w:rPr>
          <w:rFonts w:ascii="Arial" w:hAnsi="Arial" w:cs="Arial"/>
          <w:sz w:val="22"/>
        </w:rPr>
        <w:t>Extrakraniella blödningar</w:t>
      </w:r>
    </w:p>
    <w:p w14:paraId="0E58A7FD" w14:textId="77777777" w:rsidR="00D65055" w:rsidRPr="00D65055" w:rsidRDefault="00D65055" w:rsidP="0071710C">
      <w:r w:rsidRPr="00D65055">
        <w:t>Vanligt med punktionsblödning vid venkanyl, näsblödning, hematuri, blödning i mun och tandkött.</w:t>
      </w:r>
    </w:p>
    <w:p w14:paraId="7A313C3F" w14:textId="77777777" w:rsidR="00D65055" w:rsidRPr="00D65055" w:rsidRDefault="00D65055" w:rsidP="0071710C">
      <w:r w:rsidRPr="00D65055">
        <w:lastRenderedPageBreak/>
        <w:t>Behandlas med kompression och transfusion vb. Eventuell annan farmakologisk behandling i samråd med koagulationsjour.</w:t>
      </w:r>
    </w:p>
    <w:p w14:paraId="4DE12496" w14:textId="77777777" w:rsidR="00D65055" w:rsidRPr="00D65055" w:rsidRDefault="00D65055" w:rsidP="0071710C">
      <w:pPr>
        <w:pStyle w:val="Punktlista"/>
      </w:pPr>
      <w:r w:rsidRPr="00D65055">
        <w:t>Avbryt infusionen.</w:t>
      </w:r>
    </w:p>
    <w:p w14:paraId="51457751" w14:textId="77777777" w:rsidR="00D65055" w:rsidRPr="00D65055" w:rsidRDefault="00D65055" w:rsidP="0071710C">
      <w:pPr>
        <w:pStyle w:val="Punktlista"/>
      </w:pPr>
      <w:r w:rsidRPr="00D65055">
        <w:t>Beställ blodprodukter.</w:t>
      </w:r>
    </w:p>
    <w:p w14:paraId="70FF3CAF" w14:textId="77777777" w:rsidR="00D65055" w:rsidRPr="00D65055" w:rsidRDefault="00D65055" w:rsidP="0071710C">
      <w:pPr>
        <w:pStyle w:val="Punktlista"/>
      </w:pPr>
      <w:r w:rsidRPr="00D65055">
        <w:t>Provtagning APTT, fibrinogen, Hb och trombocytantal.</w:t>
      </w:r>
    </w:p>
    <w:p w14:paraId="33B855E4" w14:textId="08C8E7C6" w:rsidR="00D65055" w:rsidRPr="00D65055" w:rsidRDefault="00D65055" w:rsidP="0071710C">
      <w:r w:rsidRPr="00D65055">
        <w:rPr>
          <w:b/>
          <w:bCs/>
        </w:rPr>
        <w:t>Angioödem</w:t>
      </w:r>
      <w:r w:rsidRPr="00D65055">
        <w:t xml:space="preserve"> (Quinckeödem) är en relativ ovanlig komplikation me</w:t>
      </w:r>
      <w:r w:rsidR="007B3B6B">
        <w:t>n</w:t>
      </w:r>
      <w:r w:rsidRPr="00D65055">
        <w:t xml:space="preserve"> den förekommer, framför</w:t>
      </w:r>
      <w:r w:rsidR="001F09FE">
        <w:t xml:space="preserve"> </w:t>
      </w:r>
      <w:r w:rsidRPr="00D65055">
        <w:t>allt hos patienter som även behandlas med ACE-hämmare. Kan utvecklas snabbt och intubationberedskap behövs. Symtomatisk behandling med adrenalin, antihistamin och steroider (Betapred 8</w:t>
      </w:r>
      <w:r w:rsidR="00621EC6">
        <w:t> </w:t>
      </w:r>
      <w:r w:rsidRPr="00D65055">
        <w:t>mg iv, desloratadin 10</w:t>
      </w:r>
      <w:r w:rsidR="00621EC6">
        <w:t> </w:t>
      </w:r>
      <w:r w:rsidRPr="00D65055">
        <w:t>mg po).</w:t>
      </w:r>
    </w:p>
    <w:p w14:paraId="41C3D0C3" w14:textId="77777777" w:rsidR="00D65055" w:rsidRPr="00D65055" w:rsidRDefault="00D65055" w:rsidP="001F09FE">
      <w:pPr>
        <w:pStyle w:val="Rubrik3"/>
      </w:pPr>
      <w:r w:rsidRPr="00D65055">
        <w:t>Komplikationer vid trombektomi</w:t>
      </w:r>
    </w:p>
    <w:p w14:paraId="102CA6E1" w14:textId="548082E7" w:rsidR="00D65055" w:rsidRPr="00D65055" w:rsidRDefault="00D65055" w:rsidP="001F09FE">
      <w:pPr>
        <w:pStyle w:val="Punktlista"/>
      </w:pPr>
      <w:r w:rsidRPr="00D65055">
        <w:t>Intrakraniell blödning.</w:t>
      </w:r>
    </w:p>
    <w:p w14:paraId="1C0AB7A5" w14:textId="3D0F1B5E" w:rsidR="00D65055" w:rsidRPr="00D65055" w:rsidRDefault="00D65055" w:rsidP="001F09FE">
      <w:pPr>
        <w:pStyle w:val="Punktlista"/>
      </w:pPr>
      <w:r w:rsidRPr="00D65055">
        <w:t>Kärldissektion kan ge nya eller ökade neurologiska symtom.</w:t>
      </w:r>
    </w:p>
    <w:p w14:paraId="6233E75E" w14:textId="0799AAD6" w:rsidR="00D65055" w:rsidRPr="00D65055" w:rsidRDefault="00D65055" w:rsidP="001F09FE">
      <w:pPr>
        <w:pStyle w:val="Punktlista"/>
      </w:pPr>
      <w:r w:rsidRPr="00D65055">
        <w:rPr>
          <w:b/>
          <w:bCs/>
        </w:rPr>
        <w:t>Blödning från punktionsstället i ljumsken</w:t>
      </w:r>
      <w:r w:rsidRPr="00D65055">
        <w:t xml:space="preserve"> är relativt vanligt. Behandlas i första hand med kompression.</w:t>
      </w:r>
    </w:p>
    <w:p w14:paraId="34C8FAED" w14:textId="77777777" w:rsidR="00D65055" w:rsidRPr="00D65055" w:rsidRDefault="00D65055" w:rsidP="001F09FE">
      <w:pPr>
        <w:pStyle w:val="Rubrik2"/>
        <w:rPr>
          <w:rFonts w:ascii="Arial" w:hAnsi="Arial"/>
          <w:kern w:val="32"/>
          <w:sz w:val="32"/>
        </w:rPr>
      </w:pPr>
      <w:bookmarkStart w:id="4" w:name="_Toc182366122"/>
      <w:bookmarkStart w:id="5" w:name="_Toc419880047"/>
      <w:r w:rsidRPr="00D65055">
        <w:rPr>
          <w:rFonts w:ascii="Arial" w:hAnsi="Arial"/>
          <w:kern w:val="32"/>
          <w:sz w:val="32"/>
        </w:rPr>
        <w:t>Dokumentinformation</w:t>
      </w:r>
      <w:bookmarkEnd w:id="4"/>
      <w:bookmarkEnd w:id="5"/>
    </w:p>
    <w:p w14:paraId="1D4F33C3" w14:textId="77777777" w:rsidR="00D65055" w:rsidRPr="001F09FE" w:rsidRDefault="00D65055" w:rsidP="001F09FE">
      <w:pPr>
        <w:spacing w:after="0"/>
        <w:rPr>
          <w:b/>
          <w:bCs/>
        </w:rPr>
      </w:pPr>
      <w:r w:rsidRPr="001F09FE">
        <w:rPr>
          <w:b/>
          <w:bCs/>
        </w:rPr>
        <w:t>För innehållet svarar</w:t>
      </w:r>
    </w:p>
    <w:p w14:paraId="02817545" w14:textId="353458AF" w:rsidR="00D65055" w:rsidRPr="00D65055" w:rsidRDefault="00BE7FA7" w:rsidP="001F09FE">
      <w:r>
        <w:rPr>
          <w:szCs w:val="20"/>
        </w:rPr>
        <w:t>Måns Thörnqvist, överläkare</w:t>
      </w:r>
    </w:p>
    <w:p w14:paraId="3B7C78BC" w14:textId="77777777" w:rsidR="00D65055" w:rsidRPr="001F09FE" w:rsidRDefault="00D65055" w:rsidP="001F09FE">
      <w:pPr>
        <w:spacing w:after="0"/>
        <w:rPr>
          <w:b/>
          <w:bCs/>
        </w:rPr>
      </w:pPr>
      <w:bookmarkStart w:id="6" w:name="_Toc149035757"/>
      <w:bookmarkStart w:id="7" w:name="_Toc149978547"/>
      <w:r w:rsidRPr="001F09FE">
        <w:rPr>
          <w:b/>
          <w:bCs/>
        </w:rPr>
        <w:t>Remissinstanser</w:t>
      </w:r>
      <w:bookmarkEnd w:id="6"/>
      <w:bookmarkEnd w:id="7"/>
    </w:p>
    <w:p w14:paraId="3130A5A2" w14:textId="38AAD663" w:rsidR="00D65055" w:rsidRPr="00D65055" w:rsidRDefault="001F09FE" w:rsidP="001F09FE">
      <w:pPr>
        <w:rPr>
          <w:szCs w:val="20"/>
        </w:rPr>
      </w:pPr>
      <w:r>
        <w:rPr>
          <w:szCs w:val="20"/>
        </w:rPr>
        <w:t>-</w:t>
      </w:r>
    </w:p>
    <w:p w14:paraId="324F0075" w14:textId="77777777" w:rsidR="00D65055" w:rsidRPr="001F09FE" w:rsidRDefault="00D65055" w:rsidP="001F09FE">
      <w:pPr>
        <w:spacing w:after="0"/>
        <w:rPr>
          <w:b/>
          <w:bCs/>
        </w:rPr>
      </w:pPr>
      <w:r w:rsidRPr="001F09FE">
        <w:rPr>
          <w:b/>
          <w:bCs/>
        </w:rPr>
        <w:t>Fastställt av</w:t>
      </w:r>
    </w:p>
    <w:p w14:paraId="1BD162B8" w14:textId="5ECB044F" w:rsidR="00D65055" w:rsidRPr="00D65055" w:rsidRDefault="001F09FE" w:rsidP="001F09FE">
      <w:pPr>
        <w:rPr>
          <w:szCs w:val="20"/>
        </w:rPr>
      </w:pPr>
      <w:r>
        <w:rPr>
          <w:szCs w:val="20"/>
        </w:rPr>
        <w:t>Jerker Nilson, chefläkare, SÄS</w:t>
      </w:r>
    </w:p>
    <w:p w14:paraId="4AC4FAFE" w14:textId="77777777" w:rsidR="00D65055" w:rsidRPr="001F09FE" w:rsidRDefault="00D65055" w:rsidP="001F09FE">
      <w:pPr>
        <w:spacing w:after="0"/>
        <w:rPr>
          <w:b/>
          <w:bCs/>
        </w:rPr>
      </w:pPr>
      <w:r w:rsidRPr="001F09FE">
        <w:rPr>
          <w:b/>
          <w:bCs/>
        </w:rPr>
        <w:t>Nyckelord</w:t>
      </w:r>
    </w:p>
    <w:p w14:paraId="01DDCD6D" w14:textId="77777777" w:rsidR="00D65055" w:rsidRPr="00D65055" w:rsidRDefault="00D65055" w:rsidP="001F09FE">
      <w:pPr>
        <w:rPr>
          <w:szCs w:val="20"/>
        </w:rPr>
      </w:pPr>
      <w:r w:rsidRPr="00D65055">
        <w:rPr>
          <w:szCs w:val="20"/>
        </w:rPr>
        <w:t>Trombolys, trombektomi, blödningar, komplikationer, blodproppar</w:t>
      </w:r>
    </w:p>
    <w:p w14:paraId="6CFB3563" w14:textId="77777777" w:rsidR="00D65055" w:rsidRPr="00D65055" w:rsidRDefault="00D65055" w:rsidP="001F09FE">
      <w:pPr>
        <w:pStyle w:val="Rubrik2"/>
        <w:rPr>
          <w:rFonts w:ascii="Arial" w:hAnsi="Arial"/>
          <w:kern w:val="32"/>
          <w:sz w:val="32"/>
        </w:rPr>
      </w:pPr>
      <w:r w:rsidRPr="04FC5783">
        <w:rPr>
          <w:rFonts w:ascii="Arial" w:hAnsi="Arial"/>
          <w:kern w:val="32"/>
          <w:sz w:val="32"/>
          <w:szCs w:val="32"/>
        </w:rPr>
        <w:t>Länkförteckning</w:t>
      </w:r>
    </w:p>
    <w:p w14:paraId="794F9A39" w14:textId="6508A6D9" w:rsidR="50B8F665" w:rsidRDefault="00E464F1" w:rsidP="04FC5783">
      <w:pPr>
        <w:pStyle w:val="Punktlistanumrerad"/>
        <w:numPr>
          <w:ilvl w:val="0"/>
          <w:numId w:val="14"/>
        </w:numPr>
        <w:ind w:left="1349" w:hanging="357"/>
      </w:pPr>
      <w:r>
        <w:t>Komplikationer till trombolysbehandling. Internetmedicin.</w:t>
      </w:r>
      <w:r>
        <w:br/>
      </w:r>
      <w:hyperlink r:id="rId13" w:anchor="komplikationer-till-trombolysbehandling" w:history="1">
        <w:r w:rsidR="00633E2B" w:rsidRPr="002502D3">
          <w:rPr>
            <w:rStyle w:val="Hyperlnk"/>
          </w:rPr>
          <w:t>www.internetmedicin.se/neurologi/hjarninfarkt-trombolys-och-trombektomi#komplikationer-till-trombolysbehandling</w:t>
        </w:r>
      </w:hyperlink>
    </w:p>
    <w:bookmarkEnd w:id="0"/>
    <w:p w14:paraId="76B9F95B" w14:textId="036702A8" w:rsidR="00536A5A" w:rsidRDefault="1BEF666E" w:rsidP="004A7535">
      <w:pPr>
        <w:pStyle w:val="Punktlistanumrerad"/>
        <w:rPr>
          <w:rStyle w:val="Hyperlnk"/>
          <w:color w:val="auto"/>
          <w:u w:val="none"/>
        </w:rPr>
      </w:pPr>
      <w:r w:rsidRPr="4A4B948F">
        <w:rPr>
          <w:rStyle w:val="Hyperlnk"/>
          <w:color w:val="auto"/>
          <w:u w:val="none"/>
        </w:rPr>
        <w:t>Riktlinje för handläggning av reperfusionsbehandling vid ischemisk stroke. Nationell arbetsgrupp (NAG) Stroke</w:t>
      </w:r>
      <w:r w:rsidR="000F2A7B">
        <w:rPr>
          <w:rStyle w:val="Hyperlnk"/>
          <w:color w:val="auto"/>
          <w:u w:val="none"/>
        </w:rPr>
        <w:t>. Sveriges regioner i samverkan (</w:t>
      </w:r>
      <w:r w:rsidR="000F2A7B" w:rsidRPr="000F2A7B">
        <w:rPr>
          <w:rStyle w:val="Hyperlnk"/>
          <w:color w:val="auto"/>
          <w:u w:val="none"/>
        </w:rPr>
        <w:t>2024-02-27</w:t>
      </w:r>
      <w:r w:rsidR="000F2A7B">
        <w:rPr>
          <w:rStyle w:val="Hyperlnk"/>
          <w:color w:val="auto"/>
          <w:u w:val="none"/>
        </w:rPr>
        <w:t>)</w:t>
      </w:r>
      <w:r w:rsidR="00A75CD5">
        <w:br/>
      </w:r>
      <w:hyperlink r:id="rId14">
        <w:r w:rsidR="0BEF9C22" w:rsidRPr="4A4B948F">
          <w:rPr>
            <w:rStyle w:val="Hyperlnk"/>
          </w:rPr>
          <w:t>www.nationelltklinisktkunskapsstod.se/globalassets/nkk/nationell/media/dokument/kunskapsstod/vardriktlinjer/riktlinje-for-handlaggning-av-reperfusionsbehandling-vid-ischemisk-stroke</w:t>
        </w:r>
        <w:r w:rsidR="00A75CD5">
          <w:br/>
        </w:r>
      </w:hyperlink>
    </w:p>
    <w:sectPr w:rsidR="00536A5A" w:rsidSect="00D65055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105729" w14:textId="77777777" w:rsidR="00727F0B" w:rsidRDefault="00727F0B">
      <w:r>
        <w:separator/>
      </w:r>
    </w:p>
  </w:endnote>
  <w:endnote w:type="continuationSeparator" w:id="0">
    <w:p w14:paraId="756F7B5C" w14:textId="77777777" w:rsidR="00727F0B" w:rsidRDefault="00727F0B">
      <w:r>
        <w:continuationSeparator/>
      </w:r>
    </w:p>
  </w:endnote>
  <w:endnote w:type="continuationNotice" w:id="1">
    <w:p w14:paraId="3140CF96" w14:textId="77777777" w:rsidR="00727F0B" w:rsidRDefault="00727F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E3284" w14:textId="77777777" w:rsidR="00727F0B" w:rsidRDefault="00727F0B"/>
  </w:footnote>
  <w:footnote w:type="continuationSeparator" w:id="0">
    <w:p w14:paraId="13420BF1" w14:textId="77777777" w:rsidR="00727F0B" w:rsidRDefault="00727F0B">
      <w:r>
        <w:continuationSeparator/>
      </w:r>
    </w:p>
  </w:footnote>
  <w:footnote w:type="continuationNotice" w:id="1">
    <w:p w14:paraId="5017363B" w14:textId="77777777" w:rsidR="00727F0B" w:rsidRDefault="00727F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8926F29C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7D4EFE"/>
    <w:multiLevelType w:val="hybridMultilevel"/>
    <w:tmpl w:val="6E6A6438"/>
    <w:lvl w:ilvl="0" w:tplc="06E28846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041E12"/>
    <w:multiLevelType w:val="hybridMultilevel"/>
    <w:tmpl w:val="0806427C"/>
    <w:lvl w:ilvl="0" w:tplc="E8801B4A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2BA63CA"/>
    <w:multiLevelType w:val="hybridMultilevel"/>
    <w:tmpl w:val="9B1E415A"/>
    <w:lvl w:ilvl="0" w:tplc="FFFFFFFF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8CF1BA6"/>
    <w:multiLevelType w:val="multilevel"/>
    <w:tmpl w:val="FFFFFFFF"/>
    <w:lvl w:ilvl="0">
      <w:start w:val="1"/>
      <w:numFmt w:val="decimal"/>
      <w:pStyle w:val="Liststyck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6DFD41DF"/>
    <w:multiLevelType w:val="multilevel"/>
    <w:tmpl w:val="8DC445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82620087">
    <w:abstractNumId w:val="1"/>
  </w:num>
  <w:num w:numId="2" w16cid:durableId="1126511377">
    <w:abstractNumId w:val="1"/>
    <w:lvlOverride w:ilvl="0">
      <w:startOverride w:val="1"/>
    </w:lvlOverride>
  </w:num>
  <w:num w:numId="3" w16cid:durableId="677660637">
    <w:abstractNumId w:val="16"/>
  </w:num>
  <w:num w:numId="4" w16cid:durableId="2010912473">
    <w:abstractNumId w:val="1"/>
    <w:lvlOverride w:ilvl="0">
      <w:startOverride w:val="1"/>
    </w:lvlOverride>
  </w:num>
  <w:num w:numId="5" w16cid:durableId="175728259">
    <w:abstractNumId w:val="20"/>
  </w:num>
  <w:num w:numId="6" w16cid:durableId="14208238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2068838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205679989">
    <w:abstractNumId w:val="19"/>
  </w:num>
  <w:num w:numId="9" w16cid:durableId="131734633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19092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28722895">
    <w:abstractNumId w:val="14"/>
  </w:num>
  <w:num w:numId="12" w16cid:durableId="837889340">
    <w:abstractNumId w:val="3"/>
  </w:num>
  <w:num w:numId="13" w16cid:durableId="918950397">
    <w:abstractNumId w:val="4"/>
  </w:num>
  <w:num w:numId="14" w16cid:durableId="1758280862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F98"/>
    <w:rsid w:val="00084024"/>
    <w:rsid w:val="0009062C"/>
    <w:rsid w:val="0009387C"/>
    <w:rsid w:val="00095368"/>
    <w:rsid w:val="000954C4"/>
    <w:rsid w:val="000A4C35"/>
    <w:rsid w:val="000A611A"/>
    <w:rsid w:val="000B12D9"/>
    <w:rsid w:val="000B4536"/>
    <w:rsid w:val="000B7715"/>
    <w:rsid w:val="000D1EE1"/>
    <w:rsid w:val="000E463B"/>
    <w:rsid w:val="000E5A7E"/>
    <w:rsid w:val="000E64AC"/>
    <w:rsid w:val="000F2A7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7BA"/>
    <w:rsid w:val="001377CB"/>
    <w:rsid w:val="00137B6D"/>
    <w:rsid w:val="0014070B"/>
    <w:rsid w:val="001421E9"/>
    <w:rsid w:val="001422C1"/>
    <w:rsid w:val="001522AE"/>
    <w:rsid w:val="00157D5B"/>
    <w:rsid w:val="00161FE6"/>
    <w:rsid w:val="001647EA"/>
    <w:rsid w:val="00164C3D"/>
    <w:rsid w:val="00166D3A"/>
    <w:rsid w:val="00172977"/>
    <w:rsid w:val="00181FDC"/>
    <w:rsid w:val="001860B9"/>
    <w:rsid w:val="00186F2B"/>
    <w:rsid w:val="001874D6"/>
    <w:rsid w:val="0019632A"/>
    <w:rsid w:val="001A4E7C"/>
    <w:rsid w:val="001B1C58"/>
    <w:rsid w:val="001B762C"/>
    <w:rsid w:val="001C4D0A"/>
    <w:rsid w:val="001C5FEF"/>
    <w:rsid w:val="001F09F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1B6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0BB"/>
    <w:rsid w:val="002E263F"/>
    <w:rsid w:val="002E6F81"/>
    <w:rsid w:val="002F08BA"/>
    <w:rsid w:val="002F2CFF"/>
    <w:rsid w:val="002F568B"/>
    <w:rsid w:val="002F765B"/>
    <w:rsid w:val="002F7818"/>
    <w:rsid w:val="0030636B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081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881"/>
    <w:rsid w:val="00421FAB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152"/>
    <w:rsid w:val="004876F6"/>
    <w:rsid w:val="0049236A"/>
    <w:rsid w:val="00492718"/>
    <w:rsid w:val="004A355D"/>
    <w:rsid w:val="004A4970"/>
    <w:rsid w:val="004A7535"/>
    <w:rsid w:val="004B2183"/>
    <w:rsid w:val="004B2A01"/>
    <w:rsid w:val="004C2559"/>
    <w:rsid w:val="004D126D"/>
    <w:rsid w:val="004D7BA3"/>
    <w:rsid w:val="004F4518"/>
    <w:rsid w:val="004F4C62"/>
    <w:rsid w:val="00501433"/>
    <w:rsid w:val="00505D78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1D09"/>
    <w:rsid w:val="00582490"/>
    <w:rsid w:val="005826FA"/>
    <w:rsid w:val="0059605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A5B"/>
    <w:rsid w:val="0060596B"/>
    <w:rsid w:val="00606D97"/>
    <w:rsid w:val="00614E64"/>
    <w:rsid w:val="00617710"/>
    <w:rsid w:val="00617D06"/>
    <w:rsid w:val="00617EE6"/>
    <w:rsid w:val="0062184C"/>
    <w:rsid w:val="00621EC6"/>
    <w:rsid w:val="00623724"/>
    <w:rsid w:val="00627BEA"/>
    <w:rsid w:val="006319DB"/>
    <w:rsid w:val="00632CCA"/>
    <w:rsid w:val="00633E2B"/>
    <w:rsid w:val="00642F22"/>
    <w:rsid w:val="00645CC7"/>
    <w:rsid w:val="0065595B"/>
    <w:rsid w:val="00655BCF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B8B"/>
    <w:rsid w:val="00710B77"/>
    <w:rsid w:val="0071710C"/>
    <w:rsid w:val="0072075B"/>
    <w:rsid w:val="007221C2"/>
    <w:rsid w:val="00725816"/>
    <w:rsid w:val="00727F0B"/>
    <w:rsid w:val="00730955"/>
    <w:rsid w:val="00733A9C"/>
    <w:rsid w:val="00736574"/>
    <w:rsid w:val="007367E0"/>
    <w:rsid w:val="00736BCE"/>
    <w:rsid w:val="00737215"/>
    <w:rsid w:val="0075001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3B6B"/>
    <w:rsid w:val="007D4241"/>
    <w:rsid w:val="007D4317"/>
    <w:rsid w:val="007D4EA3"/>
    <w:rsid w:val="007D5BA3"/>
    <w:rsid w:val="007F1CFF"/>
    <w:rsid w:val="007F5DD5"/>
    <w:rsid w:val="00821A1B"/>
    <w:rsid w:val="008262E9"/>
    <w:rsid w:val="00827E69"/>
    <w:rsid w:val="00835C4D"/>
    <w:rsid w:val="00843F48"/>
    <w:rsid w:val="00851423"/>
    <w:rsid w:val="00851C9D"/>
    <w:rsid w:val="00857848"/>
    <w:rsid w:val="008654B6"/>
    <w:rsid w:val="00867C3C"/>
    <w:rsid w:val="0087139C"/>
    <w:rsid w:val="00880E83"/>
    <w:rsid w:val="00892F28"/>
    <w:rsid w:val="008A0C5F"/>
    <w:rsid w:val="008A3DEA"/>
    <w:rsid w:val="008A45A0"/>
    <w:rsid w:val="008A4EB9"/>
    <w:rsid w:val="008A74C0"/>
    <w:rsid w:val="008B1694"/>
    <w:rsid w:val="008C4B27"/>
    <w:rsid w:val="008C7F2A"/>
    <w:rsid w:val="008D2E0A"/>
    <w:rsid w:val="008D434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7E1"/>
    <w:rsid w:val="00921F47"/>
    <w:rsid w:val="009228AB"/>
    <w:rsid w:val="00923A84"/>
    <w:rsid w:val="0093085B"/>
    <w:rsid w:val="00931C57"/>
    <w:rsid w:val="009347A5"/>
    <w:rsid w:val="00936A1A"/>
    <w:rsid w:val="00942257"/>
    <w:rsid w:val="009461CC"/>
    <w:rsid w:val="009471BF"/>
    <w:rsid w:val="00950E4E"/>
    <w:rsid w:val="009529BD"/>
    <w:rsid w:val="009533B4"/>
    <w:rsid w:val="00971D93"/>
    <w:rsid w:val="00976CD2"/>
    <w:rsid w:val="009B1F6B"/>
    <w:rsid w:val="009C0D12"/>
    <w:rsid w:val="009C192E"/>
    <w:rsid w:val="009C71A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F2A"/>
    <w:rsid w:val="00A264BE"/>
    <w:rsid w:val="00A272CA"/>
    <w:rsid w:val="00A33051"/>
    <w:rsid w:val="00A366EF"/>
    <w:rsid w:val="00A407AD"/>
    <w:rsid w:val="00A40923"/>
    <w:rsid w:val="00A41C05"/>
    <w:rsid w:val="00A42426"/>
    <w:rsid w:val="00A514B7"/>
    <w:rsid w:val="00A54A0B"/>
    <w:rsid w:val="00A578B9"/>
    <w:rsid w:val="00A65FD4"/>
    <w:rsid w:val="00A75CD5"/>
    <w:rsid w:val="00A81198"/>
    <w:rsid w:val="00A81E48"/>
    <w:rsid w:val="00A82035"/>
    <w:rsid w:val="00A86D20"/>
    <w:rsid w:val="00A90D77"/>
    <w:rsid w:val="00A92E07"/>
    <w:rsid w:val="00AA0B3A"/>
    <w:rsid w:val="00AA46E5"/>
    <w:rsid w:val="00AA6EB4"/>
    <w:rsid w:val="00AA767D"/>
    <w:rsid w:val="00AB0CC9"/>
    <w:rsid w:val="00AB6855"/>
    <w:rsid w:val="00AC3FF6"/>
    <w:rsid w:val="00AD73EC"/>
    <w:rsid w:val="00AE5BC7"/>
    <w:rsid w:val="00AF5AAF"/>
    <w:rsid w:val="00B046D8"/>
    <w:rsid w:val="00B04D20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05C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6DB"/>
    <w:rsid w:val="00BB456F"/>
    <w:rsid w:val="00BB69DB"/>
    <w:rsid w:val="00BC322E"/>
    <w:rsid w:val="00BC44CD"/>
    <w:rsid w:val="00BC48A6"/>
    <w:rsid w:val="00BD4F3F"/>
    <w:rsid w:val="00BE7978"/>
    <w:rsid w:val="00BE7FA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65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055"/>
    <w:rsid w:val="00D85218"/>
    <w:rsid w:val="00D915B1"/>
    <w:rsid w:val="00DA299D"/>
    <w:rsid w:val="00DA65C4"/>
    <w:rsid w:val="00DB21EE"/>
    <w:rsid w:val="00DD2BE0"/>
    <w:rsid w:val="00DE4447"/>
    <w:rsid w:val="00DE5DA2"/>
    <w:rsid w:val="00DF0033"/>
    <w:rsid w:val="00E026BF"/>
    <w:rsid w:val="00E07B1B"/>
    <w:rsid w:val="00E11853"/>
    <w:rsid w:val="00E43466"/>
    <w:rsid w:val="00E464F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FD5"/>
    <w:rsid w:val="00F22264"/>
    <w:rsid w:val="00F2564D"/>
    <w:rsid w:val="00F355AE"/>
    <w:rsid w:val="00F35B05"/>
    <w:rsid w:val="00F413D9"/>
    <w:rsid w:val="00F4322B"/>
    <w:rsid w:val="00F5135F"/>
    <w:rsid w:val="00F51F78"/>
    <w:rsid w:val="00F86F47"/>
    <w:rsid w:val="00F87A70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0B910"/>
    <w:rsid w:val="0156956A"/>
    <w:rsid w:val="024801E3"/>
    <w:rsid w:val="02FD3DD2"/>
    <w:rsid w:val="030224FE"/>
    <w:rsid w:val="03F07826"/>
    <w:rsid w:val="04FC5783"/>
    <w:rsid w:val="05E10327"/>
    <w:rsid w:val="06400591"/>
    <w:rsid w:val="09439FB2"/>
    <w:rsid w:val="0ADD76DA"/>
    <w:rsid w:val="0AF355D9"/>
    <w:rsid w:val="0BEF9C22"/>
    <w:rsid w:val="11835DAB"/>
    <w:rsid w:val="11A6B18F"/>
    <w:rsid w:val="130A86C7"/>
    <w:rsid w:val="18F15236"/>
    <w:rsid w:val="18FD6C76"/>
    <w:rsid w:val="1A4B8D36"/>
    <w:rsid w:val="1B3E2139"/>
    <w:rsid w:val="1BEF666E"/>
    <w:rsid w:val="1E95F156"/>
    <w:rsid w:val="21EAF50D"/>
    <w:rsid w:val="21FE2982"/>
    <w:rsid w:val="221A3877"/>
    <w:rsid w:val="23CB05B6"/>
    <w:rsid w:val="24B9021C"/>
    <w:rsid w:val="2704CD71"/>
    <w:rsid w:val="277496D3"/>
    <w:rsid w:val="29B0D444"/>
    <w:rsid w:val="2A96C361"/>
    <w:rsid w:val="2B12B5B8"/>
    <w:rsid w:val="2C6F5F4D"/>
    <w:rsid w:val="30FD59C5"/>
    <w:rsid w:val="32970AAD"/>
    <w:rsid w:val="340DF01B"/>
    <w:rsid w:val="3429886A"/>
    <w:rsid w:val="374590DD"/>
    <w:rsid w:val="38039F7A"/>
    <w:rsid w:val="3C1166BD"/>
    <w:rsid w:val="4A4B948F"/>
    <w:rsid w:val="4C3AE455"/>
    <w:rsid w:val="4DFEE514"/>
    <w:rsid w:val="4F6EB412"/>
    <w:rsid w:val="50B8F665"/>
    <w:rsid w:val="50BC9301"/>
    <w:rsid w:val="59BA7C98"/>
    <w:rsid w:val="60B30368"/>
    <w:rsid w:val="63971334"/>
    <w:rsid w:val="63C31497"/>
    <w:rsid w:val="63E303EB"/>
    <w:rsid w:val="647B2B65"/>
    <w:rsid w:val="66A181EA"/>
    <w:rsid w:val="69C1964F"/>
    <w:rsid w:val="6AC46355"/>
    <w:rsid w:val="6B2CF8ED"/>
    <w:rsid w:val="6BDEA7F4"/>
    <w:rsid w:val="6CDC1747"/>
    <w:rsid w:val="72587493"/>
    <w:rsid w:val="72DAF4D2"/>
    <w:rsid w:val="72DE6250"/>
    <w:rsid w:val="7789BE00"/>
    <w:rsid w:val="7E5AB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D65055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33E2B"/>
    <w:pPr>
      <w:keepNext/>
      <w:spacing w:before="1500" w:after="20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6505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6505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33E2B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tabs>
        <w:tab w:val="num" w:pos="3036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0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073F98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73F98"/>
    <w:pPr>
      <w:numPr>
        <w:numId w:val="11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D6505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D6505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D65055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D65055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rsid w:val="0071710C"/>
    <w:pPr>
      <w:numPr>
        <w:numId w:val="12"/>
      </w:numPr>
      <w:tabs>
        <w:tab w:val="left" w:pos="1349"/>
      </w:tabs>
      <w:spacing w:after="60" w:line="288" w:lineRule="auto"/>
      <w:ind w:left="1349" w:right="868" w:hanging="357"/>
    </w:pPr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8D2E0A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F765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2F765B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2F765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F765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F765B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2F76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internetmedicin.se/neurologi/hjarninfarkt-trombolys-och-trombektomi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14-1097948292-84/SURROGATE/R%c3%a4dda%20hj%c3%a4rnan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://www.nationelltklinisktkunskapsstod.se/globalassets/nkk/nationell/media/dokument/kunskapsstod/vardriktlinjer/riktlinje-for-handlaggning-av-reperfusionsbehandling-vid-ischemisk-stroke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515</Words>
  <Characters>4575</Characters>
  <Application>Microsoft Office Word</Application>
  <DocSecurity>0</DocSecurity>
  <Lines>38</Lines>
  <Paragraphs>10</Paragraphs>
  <ScaleCrop>false</ScaleCrop>
  <Manager/>
  <Company/>
  <LinksUpToDate>false</LinksUpToDate>
  <CharactersWithSpaces>5080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- Handläggning vid komplikationer</dc:title>
  <dc:subject/>
  <dc:creator>patrik.jens.johansson@vgregion.se</dc:creator>
  <keywords/>
  <lastModifiedBy>Karin Åhlin</lastModifiedBy>
  <revision>75</revision>
  <lastPrinted>2016-03-31T10:56:00.0000000Z</lastPrinted>
  <dcterms:created xsi:type="dcterms:W3CDTF">2022-03-24T06:48:00.0000000Z</dcterms:created>
  <dcterms:modified xsi:type="dcterms:W3CDTF">2024-04-03T14:08:00.0000000Z</dcterms:modified>
</coreProperties>
</file>