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618CA" w:rsidP="00F35B05" w:rsidRDefault="007618CA" w14:paraId="69C7891D" w14:textId="77777777">
      <w:pPr>
        <w:pStyle w:val="Rubrik2"/>
        <w:sectPr w:rsidR="007618CA" w:rsidSect="007618C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7618CA" w:rsidR="007618CA" w:rsidP="00362275" w:rsidRDefault="007618CA" w14:paraId="26E400D1" w14:textId="77777777">
      <w:pPr>
        <w:pStyle w:val="Rubrik1"/>
      </w:pPr>
      <w:bookmarkStart w:name="_Toc169686209" w:id="1"/>
      <w:bookmarkStart w:name="_Toc169686713" w:id="2"/>
      <w:bookmarkStart w:name="_Toc182366123" w:id="3"/>
      <w:bookmarkEnd w:id="1"/>
      <w:bookmarkEnd w:id="2"/>
      <w:bookmarkEnd w:id="3"/>
      <w:r w:rsidRPr="007618CA">
        <w:t>Insulinbehandling på diabetesmottagning</w:t>
      </w:r>
    </w:p>
    <w:p w:rsidRPr="007618CA" w:rsidR="007618CA" w:rsidP="00DA59B1" w:rsidRDefault="007618CA" w14:paraId="14001F41" w14:textId="77777777">
      <w:pPr>
        <w:pStyle w:val="Rubrik2"/>
      </w:pPr>
      <w:bookmarkStart w:name="_Toc419879662" w:id="4"/>
      <w:bookmarkStart w:name="_Toc473621359" w:id="5"/>
      <w:bookmarkStart w:name="_Toc474317144" w:id="6"/>
      <w:bookmarkStart w:name="_Toc256000000" w:id="7"/>
      <w:bookmarkStart w:name="_Toc256000009" w:id="8"/>
      <w:bookmarkStart w:name="_Toc491173553" w:id="9"/>
      <w:bookmarkStart w:name="_Toc256000018" w:id="10"/>
      <w:bookmarkStart w:name="_Toc256000027" w:id="11"/>
      <w:bookmarkStart w:name="_Toc256000036" w:id="12"/>
      <w:bookmarkStart w:name="_Toc256000045" w:id="13"/>
      <w:bookmarkStart w:name="_Toc256000054" w:id="14"/>
      <w:bookmarkStart w:name="_Toc256000063" w:id="15"/>
      <w:bookmarkStart w:name="_Toc256000072" w:id="16"/>
      <w:bookmarkStart w:name="_Toc256000081" w:id="17"/>
      <w:r w:rsidRPr="007618CA">
        <w:t>Sammanfattning</w:t>
      </w:r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p>
    <w:p w:rsidRPr="007618CA" w:rsidR="007618CA" w:rsidP="00DA59B1" w:rsidRDefault="007618CA" w14:paraId="63BBC578" w14:textId="77777777">
      <w:r w:rsidRPr="007618CA">
        <w:t>Rekommendation för behandling av vuxna med insulin på diabetesmottagning.</w:t>
      </w:r>
    </w:p>
    <w:p w:rsidR="007618CA" w:rsidP="00DA59B1" w:rsidRDefault="00C71F71" w14:paraId="22969170" w14:textId="5EE0AA23">
      <w:pPr>
        <w:pStyle w:val="Rubrik2"/>
      </w:pPr>
      <w:r>
        <w:t>Förändringar sedan föregående version</w:t>
      </w:r>
    </w:p>
    <w:p w:rsidRPr="00C71F71" w:rsidR="00C71F71" w:rsidP="00C71F71" w:rsidRDefault="00C71F71" w14:paraId="56248481" w14:textId="77777777"/>
    <w:p w:rsidRPr="007618CA" w:rsidR="007618CA" w:rsidP="00C71F71" w:rsidRDefault="007618CA" w14:paraId="05563D06" w14:textId="77777777">
      <w:pPr>
        <w:pStyle w:val="Rubrik2"/>
      </w:pPr>
      <w:bookmarkStart w:name="_Toc474317145" w:id="18"/>
      <w:bookmarkStart w:name="_Toc256000001" w:id="19"/>
      <w:bookmarkStart w:name="_Toc256000010" w:id="20"/>
      <w:bookmarkStart w:name="_Toc491173554" w:id="21"/>
      <w:bookmarkStart w:name="_Toc256000019" w:id="22"/>
      <w:bookmarkStart w:name="_Toc256000028" w:id="23"/>
      <w:bookmarkStart w:name="_Toc256000037" w:id="24"/>
      <w:bookmarkStart w:name="_Toc256000046" w:id="25"/>
      <w:bookmarkStart w:name="_Toc256000055" w:id="26"/>
      <w:bookmarkStart w:name="_Toc256000064" w:id="27"/>
      <w:bookmarkStart w:name="_Toc256000073" w:id="28"/>
      <w:bookmarkStart w:name="_Toc256000082" w:id="29"/>
      <w:r w:rsidRPr="007618CA">
        <w:t>Förutsättningar</w:t>
      </w:r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</w:p>
    <w:p w:rsidRPr="007618CA" w:rsidR="007618CA" w:rsidP="00C71F71" w:rsidRDefault="007618CA" w14:paraId="586FBFA8" w14:textId="77777777">
      <w:r w:rsidRPr="007618CA">
        <w:t>Rekommendation för behandling med insulin till diabetespatienter som har typ 1 eller typ 2.</w:t>
      </w:r>
    </w:p>
    <w:p w:rsidRPr="007618CA" w:rsidR="007618CA" w:rsidP="00C71F71" w:rsidRDefault="007618CA" w14:paraId="52187DE0" w14:textId="77777777">
      <w:pPr>
        <w:pStyle w:val="Rubrik2"/>
      </w:pPr>
      <w:bookmarkStart w:name="_Toc419879665" w:id="30"/>
      <w:bookmarkStart w:name="_Toc473621360" w:id="31"/>
      <w:bookmarkStart w:name="_Toc474317146" w:id="32"/>
      <w:bookmarkStart w:name="_Toc256000002" w:id="33"/>
      <w:bookmarkStart w:name="_Toc256000011" w:id="34"/>
      <w:bookmarkStart w:name="_Toc491173555" w:id="35"/>
      <w:bookmarkStart w:name="_Toc256000020" w:id="36"/>
      <w:bookmarkStart w:name="_Toc256000029" w:id="37"/>
      <w:bookmarkStart w:name="_Toc256000038" w:id="38"/>
      <w:bookmarkStart w:name="_Toc256000047" w:id="39"/>
      <w:bookmarkStart w:name="_Toc256000056" w:id="40"/>
      <w:bookmarkStart w:name="_Toc256000065" w:id="41"/>
      <w:bookmarkStart w:name="_Toc256000074" w:id="42"/>
      <w:bookmarkStart w:name="_Toc256000083" w:id="43"/>
      <w:r w:rsidRPr="007618CA">
        <w:t>Genomförande</w:t>
      </w:r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</w:p>
    <w:p w:rsidRPr="007618CA" w:rsidR="007618CA" w:rsidP="00C71F71" w:rsidRDefault="007618CA" w14:paraId="10A1DF28" w14:textId="77777777">
      <w:pPr>
        <w:pStyle w:val="Rubrik3"/>
        <w:rPr>
          <w:rFonts w:eastAsia="Arial Unicode MS"/>
        </w:rPr>
      </w:pPr>
      <w:bookmarkStart w:name="_Toc473621361" w:id="44"/>
      <w:bookmarkStart w:name="_Toc474317147" w:id="45"/>
      <w:bookmarkStart w:name="_Toc256000003" w:id="46"/>
      <w:bookmarkStart w:name="_Toc256000012" w:id="47"/>
      <w:bookmarkStart w:name="_Toc491173556" w:id="48"/>
      <w:bookmarkStart w:name="_Toc256000021" w:id="49"/>
      <w:bookmarkStart w:name="_Toc256000030" w:id="50"/>
      <w:bookmarkStart w:name="_Toc256000039" w:id="51"/>
      <w:bookmarkStart w:name="_Toc256000048" w:id="52"/>
      <w:bookmarkStart w:name="_Toc256000057" w:id="53"/>
      <w:bookmarkStart w:name="_Toc256000066" w:id="54"/>
      <w:bookmarkStart w:name="_Toc256000075" w:id="55"/>
      <w:bookmarkStart w:name="_Toc256000084" w:id="56"/>
      <w:r w:rsidRPr="007618CA">
        <w:t>Basinsulin</w:t>
      </w:r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</w:p>
    <w:p w:rsidRPr="007618CA" w:rsidR="007618CA" w:rsidP="00C71F71" w:rsidRDefault="007618CA" w14:paraId="2CFAC0C6" w14:textId="48A536BB">
      <w:r w:rsidR="007618CA">
        <w:rPr/>
        <w:t xml:space="preserve">I första hand väljs NPH-insulin. Vid ny insulininsättning rekommenderas: Flergångspenna: </w:t>
      </w:r>
      <w:r w:rsidR="007618CA">
        <w:rPr/>
        <w:t>Humulin</w:t>
      </w:r>
      <w:r w:rsidR="007618CA">
        <w:rPr/>
        <w:t xml:space="preserve"> NPH </w:t>
      </w:r>
      <w:r w:rsidR="007618CA">
        <w:rPr/>
        <w:t xml:space="preserve">ampull </w:t>
      </w:r>
      <w:r w:rsidR="007618CA">
        <w:rPr/>
        <w:t>.</w:t>
      </w:r>
      <w:r w:rsidR="007618CA">
        <w:rPr/>
        <w:t xml:space="preserve"> Engångspenna: </w:t>
      </w:r>
      <w:r w:rsidR="007618CA">
        <w:rPr/>
        <w:t>Humulin</w:t>
      </w:r>
      <w:r w:rsidR="007618CA">
        <w:rPr/>
        <w:t xml:space="preserve"> NPH </w:t>
      </w:r>
      <w:r w:rsidR="007618CA">
        <w:rPr/>
        <w:t>KwikPen</w:t>
      </w:r>
      <w:r w:rsidR="007618CA">
        <w:rPr/>
        <w:t xml:space="preserve"> som basinsulin. I andra hand väljs </w:t>
      </w:r>
      <w:r w:rsidR="007618CA">
        <w:rPr/>
        <w:t>Abasaglar</w:t>
      </w:r>
      <w:r w:rsidR="007618CA">
        <w:rPr/>
        <w:t>.</w:t>
      </w:r>
    </w:p>
    <w:p w:rsidRPr="007618CA" w:rsidR="007618CA" w:rsidP="36EF3DAD" w:rsidRDefault="007618CA" w14:paraId="2AC22B19" w14:textId="7142D038">
      <w:pPr>
        <w:pStyle w:val="Normal"/>
        <w:rPr>
          <w:rFonts w:eastAsia="Arial Unicode MS"/>
        </w:rPr>
      </w:pPr>
      <w:r w:rsidR="007618CA">
        <w:rPr/>
        <w:t xml:space="preserve">För patienter som redan står på </w:t>
      </w:r>
      <w:r w:rsidR="007618CA">
        <w:rPr/>
        <w:t>Lantus</w:t>
      </w:r>
      <w:r w:rsidR="007618CA">
        <w:rPr/>
        <w:t xml:space="preserve"> </w:t>
      </w:r>
      <w:r w:rsidR="007618CA">
        <w:rPr/>
        <w:t xml:space="preserve">som basinsulin ska byte till </w:t>
      </w:r>
      <w:r w:rsidR="007618CA">
        <w:rPr/>
        <w:t>Abasaglar</w:t>
      </w:r>
      <w:r w:rsidR="007618CA">
        <w:rPr/>
        <w:t xml:space="preserve"> </w:t>
      </w:r>
      <w:r w:rsidR="338FFD84">
        <w:rPr/>
        <w:t xml:space="preserve">eller </w:t>
      </w:r>
      <w:r w:rsidR="338FFD84">
        <w:rPr/>
        <w:t>Toujeo</w:t>
      </w:r>
      <w:r w:rsidR="338FFD84">
        <w:rPr/>
        <w:t xml:space="preserve"> </w:t>
      </w:r>
      <w:r w:rsidR="007618CA">
        <w:rPr/>
        <w:t>genomföras.</w:t>
      </w:r>
    </w:p>
    <w:p w:rsidRPr="007618CA" w:rsidR="007618CA" w:rsidP="00C16811" w:rsidRDefault="007618CA" w14:paraId="75FC1646" w14:textId="77777777">
      <w:pPr>
        <w:pStyle w:val="Rubrik3"/>
        <w:rPr>
          <w:rFonts w:eastAsia="Arial Unicode MS"/>
        </w:rPr>
      </w:pPr>
      <w:bookmarkStart w:name="_Toc473621362" w:id="57"/>
      <w:bookmarkStart w:name="_Toc474317148" w:id="58"/>
      <w:bookmarkStart w:name="_Toc256000004" w:id="59"/>
      <w:bookmarkStart w:name="_Toc256000013" w:id="60"/>
      <w:bookmarkStart w:name="_Toc491173557" w:id="61"/>
      <w:bookmarkStart w:name="_Toc256000022" w:id="62"/>
      <w:bookmarkStart w:name="_Toc256000031" w:id="63"/>
      <w:bookmarkStart w:name="_Toc256000040" w:id="64"/>
      <w:bookmarkStart w:name="_Toc256000049" w:id="65"/>
      <w:bookmarkStart w:name="_Toc256000058" w:id="66"/>
      <w:bookmarkStart w:name="_Toc256000067" w:id="67"/>
      <w:bookmarkStart w:name="_Toc256000076" w:id="68"/>
      <w:bookmarkStart w:name="_Toc256000085" w:id="69"/>
      <w:proofErr w:type="spellStart"/>
      <w:r w:rsidRPr="007618CA">
        <w:t>Snabbinsuliner</w:t>
      </w:r>
      <w:proofErr w:type="spellEnd"/>
      <w:r w:rsidRPr="007618CA">
        <w:t xml:space="preserve"> (direktverkande)</w:t>
      </w:r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</w:p>
    <w:p w:rsidRPr="007618CA" w:rsidR="007618CA" w:rsidP="00C16811" w:rsidRDefault="007618CA" w14:paraId="62EF8479" w14:textId="4E5AC952">
      <w:r>
        <w:t xml:space="preserve">Vid insulininställning där måltidsinsulin behövs rekommenderas Insulin </w:t>
      </w:r>
      <w:proofErr w:type="spellStart"/>
      <w:r w:rsidR="30CF0098">
        <w:t>L</w:t>
      </w:r>
      <w:r>
        <w:t>ispro</w:t>
      </w:r>
      <w:proofErr w:type="spellEnd"/>
      <w:r w:rsidR="02F17397">
        <w:t xml:space="preserve"> ampuller</w:t>
      </w:r>
      <w:r>
        <w:t xml:space="preserve"> </w:t>
      </w:r>
      <w:r w:rsidR="02E91C81">
        <w:t xml:space="preserve">respektive Insulin </w:t>
      </w:r>
      <w:proofErr w:type="spellStart"/>
      <w:r w:rsidR="02E91C81">
        <w:t>Aspart</w:t>
      </w:r>
      <w:proofErr w:type="spellEnd"/>
      <w:r w:rsidR="02E91C81">
        <w:t xml:space="preserve"> </w:t>
      </w:r>
      <w:r>
        <w:t xml:space="preserve">ampuller i flergångspenna. Om patienten önskar engångspenna används Insulin </w:t>
      </w:r>
      <w:proofErr w:type="spellStart"/>
      <w:r>
        <w:t>lispro</w:t>
      </w:r>
      <w:proofErr w:type="spellEnd"/>
      <w:r>
        <w:t xml:space="preserve"> </w:t>
      </w:r>
      <w:r w:rsidR="5ADF5577">
        <w:t xml:space="preserve">respektive Insulin </w:t>
      </w:r>
      <w:proofErr w:type="spellStart"/>
      <w:r w:rsidR="5ADF5577">
        <w:t>Aspart</w:t>
      </w:r>
      <w:proofErr w:type="spellEnd"/>
      <w:r w:rsidR="5ADF5577">
        <w:t xml:space="preserve"> </w:t>
      </w:r>
      <w:r>
        <w:t xml:space="preserve">i </w:t>
      </w:r>
      <w:proofErr w:type="spellStart"/>
      <w:r>
        <w:t>förfylld</w:t>
      </w:r>
      <w:proofErr w:type="spellEnd"/>
      <w:r>
        <w:t xml:space="preserve"> penna. </w:t>
      </w:r>
    </w:p>
    <w:p w:rsidRPr="007618CA" w:rsidR="007618CA" w:rsidP="00C16811" w:rsidRDefault="007618CA" w14:paraId="19B9F857" w14:textId="5F548230">
      <w:r w:rsidR="007618CA">
        <w:rPr/>
        <w:t xml:space="preserve">Vid förhöjda </w:t>
      </w:r>
      <w:r w:rsidR="007618CA">
        <w:rPr/>
        <w:t>postprandiala</w:t>
      </w:r>
      <w:r w:rsidR="007618CA">
        <w:rPr/>
        <w:t xml:space="preserve"> värden används </w:t>
      </w:r>
      <w:r w:rsidR="007618CA">
        <w:rPr/>
        <w:t>Fiasp</w:t>
      </w:r>
      <w:r w:rsidR="007618CA">
        <w:rPr/>
        <w:t xml:space="preserve"> (insulin </w:t>
      </w:r>
      <w:r w:rsidR="007618CA">
        <w:rPr/>
        <w:t>Aspart</w:t>
      </w:r>
      <w:r w:rsidR="007618CA">
        <w:rPr/>
        <w:t>).</w:t>
      </w:r>
      <w:r w:rsidR="2AFCD3CB">
        <w:rPr/>
        <w:t xml:space="preserve"> OBS! Finns enbart i ampull</w:t>
      </w:r>
      <w:r w:rsidR="790FDEA7">
        <w:rPr/>
        <w:t xml:space="preserve">form. </w:t>
      </w:r>
      <w:r w:rsidR="790FDEA7">
        <w:rPr/>
        <w:t>Novopen</w:t>
      </w:r>
      <w:r w:rsidR="790FDEA7">
        <w:rPr/>
        <w:t xml:space="preserve"> får ordineras.</w:t>
      </w:r>
    </w:p>
    <w:p w:rsidRPr="007618CA" w:rsidR="007618CA" w:rsidP="00C16811" w:rsidRDefault="007618CA" w14:paraId="0E78E80B" w14:textId="77777777">
      <w:pPr>
        <w:pStyle w:val="Rubrik3"/>
      </w:pPr>
      <w:bookmarkStart w:name="_Toc473621363" w:id="70"/>
      <w:bookmarkStart w:name="_Toc474317149" w:id="71"/>
      <w:bookmarkStart w:name="_Toc256000005" w:id="72"/>
      <w:bookmarkStart w:name="_Toc256000014" w:id="73"/>
      <w:bookmarkStart w:name="_Toc491173558" w:id="74"/>
      <w:bookmarkStart w:name="_Toc256000023" w:id="75"/>
      <w:bookmarkStart w:name="_Toc256000032" w:id="76"/>
      <w:bookmarkStart w:name="_Toc256000041" w:id="77"/>
      <w:bookmarkStart w:name="_Toc256000050" w:id="78"/>
      <w:bookmarkStart w:name="_Toc256000059" w:id="79"/>
      <w:bookmarkStart w:name="_Toc256000068" w:id="80"/>
      <w:bookmarkStart w:name="_Toc256000077" w:id="81"/>
      <w:bookmarkStart w:name="_Toc256000086" w:id="82"/>
      <w:r w:rsidRPr="007618CA">
        <w:t>Långverkande insulinanaloger</w:t>
      </w:r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</w:p>
    <w:p w:rsidRPr="007618CA" w:rsidR="007618CA" w:rsidP="00C16811" w:rsidRDefault="007618CA" w14:paraId="4F6A9795" w14:textId="57B548D7">
      <w:r w:rsidR="007618CA">
        <w:rPr/>
        <w:t xml:space="preserve">Använd </w:t>
      </w:r>
      <w:r w:rsidR="007618CA">
        <w:rPr/>
        <w:t>Tresiba</w:t>
      </w:r>
      <w:r w:rsidR="007618CA">
        <w:rPr/>
        <w:t xml:space="preserve"> ampuller i flergångspenna i första hand annars engångspenna</w:t>
      </w:r>
      <w:r w:rsidR="27A24E5B">
        <w:rPr/>
        <w:t xml:space="preserve"> </w:t>
      </w:r>
      <w:r w:rsidR="27A24E5B">
        <w:rPr/>
        <w:t>Tresiba</w:t>
      </w:r>
      <w:r w:rsidR="27A24E5B">
        <w:rPr/>
        <w:t xml:space="preserve"> </w:t>
      </w:r>
      <w:r w:rsidR="27A24E5B">
        <w:rPr/>
        <w:t>Felxtouch</w:t>
      </w:r>
      <w:r w:rsidR="27A24E5B">
        <w:rPr/>
        <w:t xml:space="preserve">  200E/ml som alternativ</w:t>
      </w:r>
      <w:r w:rsidR="007618CA">
        <w:rPr/>
        <w:t xml:space="preserve">. </w:t>
      </w:r>
      <w:r w:rsidR="007618CA">
        <w:rPr/>
        <w:t>Toujeo</w:t>
      </w:r>
      <w:r w:rsidR="007618CA">
        <w:rPr/>
        <w:t xml:space="preserve"> är andrahandsvalet vid problem.</w:t>
      </w:r>
    </w:p>
    <w:p w:rsidRPr="007618CA" w:rsidR="007618CA" w:rsidP="00C16811" w:rsidRDefault="007618CA" w14:paraId="474601B3" w14:textId="77777777">
      <w:r w:rsidRPr="007618CA">
        <w:rPr>
          <w:bCs/>
          <w:szCs w:val="26"/>
        </w:rPr>
        <w:t>Långverkande insulinanaloger</w:t>
      </w:r>
      <w:r w:rsidRPr="007618CA">
        <w:t xml:space="preserve"> används på följande indikationer:</w:t>
      </w:r>
    </w:p>
    <w:p w:rsidRPr="007618CA" w:rsidR="007618CA" w:rsidP="00C16811" w:rsidRDefault="007618CA" w14:paraId="63BC104F" w14:textId="3382FAB2">
      <w:r w:rsidRPr="2C26A019">
        <w:rPr>
          <w:b/>
          <w:bCs/>
        </w:rPr>
        <w:t>Typ 1</w:t>
      </w:r>
      <w:r>
        <w:t xml:space="preserve">: När man inte nått behandlingsmålen med NPH-insulin eller </w:t>
      </w:r>
      <w:proofErr w:type="spellStart"/>
      <w:r>
        <w:t>Abasaglar</w:t>
      </w:r>
      <w:proofErr w:type="spellEnd"/>
      <w:r w:rsidR="2B5B6500">
        <w:t>/</w:t>
      </w:r>
      <w:proofErr w:type="spellStart"/>
      <w:r w:rsidR="2B5B6500">
        <w:t>Toujeo</w:t>
      </w:r>
      <w:proofErr w:type="spellEnd"/>
      <w:r>
        <w:t xml:space="preserve"> vid nattliga känningar, svängande blodsocker. För att kunna täcka hela dygnet utan besvärande känningar och motverka gryningseffekten. </w:t>
      </w:r>
    </w:p>
    <w:p w:rsidRPr="007618CA" w:rsidR="007618CA" w:rsidP="00935405" w:rsidRDefault="007618CA" w14:paraId="40CA9033" w14:textId="77777777">
      <w:r w:rsidRPr="007618CA">
        <w:t xml:space="preserve">Lågt insulinbehov med utpräglad insulinkänslighet.  </w:t>
      </w:r>
    </w:p>
    <w:p w:rsidRPr="007618CA" w:rsidR="007618CA" w:rsidP="00935405" w:rsidRDefault="007618CA" w14:paraId="360AC4C7" w14:textId="77777777">
      <w:r w:rsidRPr="007618CA">
        <w:rPr>
          <w:b/>
          <w:bCs/>
        </w:rPr>
        <w:t xml:space="preserve">Typ 2: </w:t>
      </w:r>
      <w:r w:rsidRPr="007618CA">
        <w:t>Vid ofta förekommande känningar (speciellt nattliga). Svängande blodsocker. Lågt insulinbehov med utpräglad insulinkänslighet.</w:t>
      </w:r>
    </w:p>
    <w:p w:rsidRPr="007618CA" w:rsidR="007618CA" w:rsidP="00935405" w:rsidRDefault="007618CA" w14:paraId="562BCE5F" w14:textId="77777777">
      <w:pPr>
        <w:pStyle w:val="Rubrik3"/>
        <w:rPr>
          <w:rFonts w:eastAsia="Arial Unicode MS"/>
        </w:rPr>
      </w:pPr>
      <w:bookmarkStart w:name="_Toc473621364" w:id="83"/>
      <w:bookmarkStart w:name="_Toc474317150" w:id="84"/>
      <w:bookmarkStart w:name="_Toc256000006" w:id="85"/>
      <w:bookmarkStart w:name="_Toc256000015" w:id="86"/>
      <w:bookmarkStart w:name="_Toc491173559" w:id="87"/>
      <w:bookmarkStart w:name="_Toc256000024" w:id="88"/>
      <w:bookmarkStart w:name="_Toc256000033" w:id="89"/>
      <w:bookmarkStart w:name="_Toc256000042" w:id="90"/>
      <w:bookmarkStart w:name="_Toc256000051" w:id="91"/>
      <w:bookmarkStart w:name="_Toc256000060" w:id="92"/>
      <w:bookmarkStart w:name="_Toc256000069" w:id="93"/>
      <w:bookmarkStart w:name="_Toc256000078" w:id="94"/>
      <w:bookmarkStart w:name="_Toc256000087" w:id="95"/>
      <w:r w:rsidRPr="007618CA">
        <w:t>Mixinsulin</w:t>
      </w:r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</w:p>
    <w:p w:rsidRPr="007618CA" w:rsidR="007618CA" w:rsidP="00935405" w:rsidRDefault="007618CA" w14:paraId="699908AC" w14:textId="77777777">
      <w:pPr>
        <w:rPr>
          <w:rFonts w:ascii="Arial" w:hAnsi="Arial" w:cs="Arial"/>
          <w:sz w:val="22"/>
        </w:rPr>
      </w:pPr>
      <w:r w:rsidRPr="007618CA">
        <w:t>När inte fyrdosbehandling är möjlig får sammansättningen av mixinsulinet (25, 30, 50 %) naturligtvis beaktas</w:t>
      </w:r>
      <w:r w:rsidRPr="007618CA">
        <w:rPr>
          <w:rFonts w:ascii="Arial" w:hAnsi="Arial" w:cs="Arial"/>
          <w:sz w:val="22"/>
        </w:rPr>
        <w:t>.</w:t>
      </w:r>
    </w:p>
    <w:p w:rsidRPr="007618CA" w:rsidR="007618CA" w:rsidP="00935405" w:rsidRDefault="007618CA" w14:paraId="2EEE997C" w14:textId="77777777">
      <w:pPr>
        <w:pStyle w:val="Rubrik3"/>
      </w:pPr>
      <w:bookmarkStart w:name="_Toc473621365" w:id="96"/>
      <w:bookmarkStart w:name="_Toc474317151" w:id="97"/>
      <w:bookmarkStart w:name="_Toc256000007" w:id="98"/>
      <w:bookmarkStart w:name="_Toc256000016" w:id="99"/>
      <w:bookmarkStart w:name="_Toc491173560" w:id="100"/>
      <w:bookmarkStart w:name="_Toc256000025" w:id="101"/>
      <w:bookmarkStart w:name="_Toc256000034" w:id="102"/>
      <w:bookmarkStart w:name="_Toc256000043" w:id="103"/>
      <w:bookmarkStart w:name="_Toc256000052" w:id="104"/>
      <w:bookmarkStart w:name="_Toc256000061" w:id="105"/>
      <w:bookmarkStart w:name="_Toc256000070" w:id="106"/>
      <w:bookmarkStart w:name="_Toc256000079" w:id="107"/>
      <w:bookmarkStart w:name="_Toc256000088" w:id="108"/>
      <w:r w:rsidRPr="007618CA">
        <w:t>Insulinpump-behandling</w:t>
      </w:r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</w:p>
    <w:p w:rsidRPr="007618CA" w:rsidR="007618CA" w:rsidP="00935405" w:rsidRDefault="007618CA" w14:paraId="1282EC36" w14:textId="77777777">
      <w:r w:rsidRPr="007618CA">
        <w:t xml:space="preserve">Vid pumpbehandling väljs i första hand 10 ml ampuller p.g.a. kostnad (halva priset). I första hand </w:t>
      </w:r>
      <w:proofErr w:type="spellStart"/>
      <w:r w:rsidRPr="007618CA">
        <w:t>Humalog</w:t>
      </w:r>
      <w:proofErr w:type="spellEnd"/>
      <w:r w:rsidRPr="007618CA">
        <w:t xml:space="preserve"> eller </w:t>
      </w:r>
      <w:proofErr w:type="spellStart"/>
      <w:r w:rsidRPr="007618CA">
        <w:t>NovoRapid</w:t>
      </w:r>
      <w:proofErr w:type="spellEnd"/>
      <w:r w:rsidRPr="007618CA">
        <w:t xml:space="preserve"> p.g.a. längre erfarenhet i pump. Som reservbehandling används samma insulinsort i ampull som patienten har haft innan pumpbehandling.  </w:t>
      </w:r>
    </w:p>
    <w:p w:rsidRPr="007618CA" w:rsidR="007618CA" w:rsidP="00935405" w:rsidRDefault="007618CA" w14:paraId="43AC9601" w14:textId="77777777">
      <w:r w:rsidRPr="007618CA">
        <w:t xml:space="preserve">Patienten utrustas med flergångspennor som passar (engångskostnad). Kostnadseffektivare än att slänga </w:t>
      </w:r>
      <w:proofErr w:type="spellStart"/>
      <w:r w:rsidRPr="007618CA">
        <w:t>förfyllda</w:t>
      </w:r>
      <w:proofErr w:type="spellEnd"/>
      <w:r w:rsidRPr="007618CA">
        <w:t xml:space="preserve"> pennor. </w:t>
      </w:r>
    </w:p>
    <w:p w:rsidRPr="007618CA" w:rsidR="007618CA" w:rsidP="00935405" w:rsidRDefault="007618CA" w14:paraId="4F037BA7" w14:textId="77777777">
      <w:r w:rsidRPr="007618CA">
        <w:t>TIPS: Överväg att använda samma ”penna-familj” på snabb- och basinsulin (</w:t>
      </w:r>
      <w:proofErr w:type="gramStart"/>
      <w:r w:rsidRPr="007618CA">
        <w:t>t.ex.</w:t>
      </w:r>
      <w:proofErr w:type="gramEnd"/>
      <w:r w:rsidRPr="007618CA">
        <w:t xml:space="preserve"> </w:t>
      </w:r>
      <w:proofErr w:type="spellStart"/>
      <w:r w:rsidRPr="007618CA">
        <w:t>SoloStar</w:t>
      </w:r>
      <w:proofErr w:type="spellEnd"/>
      <w:r w:rsidRPr="007618CA">
        <w:t xml:space="preserve"> eller </w:t>
      </w:r>
      <w:proofErr w:type="spellStart"/>
      <w:r w:rsidRPr="007618CA">
        <w:t>KwikPen</w:t>
      </w:r>
      <w:proofErr w:type="spellEnd"/>
      <w:r w:rsidRPr="007618CA">
        <w:t>).</w:t>
      </w:r>
    </w:p>
    <w:p w:rsidRPr="007618CA" w:rsidR="007618CA" w:rsidP="007618CA" w:rsidRDefault="007618CA" w14:paraId="53ABA6F5" w14:textId="77777777">
      <w:pPr>
        <w:spacing w:after="160" w:line="240" w:lineRule="auto"/>
        <w:ind w:left="2676" w:right="0"/>
        <w:rPr>
          <w:szCs w:val="20"/>
        </w:rPr>
      </w:pPr>
    </w:p>
    <w:bookmarkEnd w:id="0"/>
    <w:p w:rsidRPr="007618CA" w:rsidR="007618CA" w:rsidP="007618CA" w:rsidRDefault="007618CA" w14:paraId="7B30F76B" w14:textId="77777777">
      <w:pPr>
        <w:spacing w:after="160" w:line="240" w:lineRule="auto"/>
        <w:ind w:left="2676" w:right="0"/>
        <w:rPr>
          <w:szCs w:val="20"/>
        </w:rPr>
      </w:pPr>
    </w:p>
    <w:sectPr w:rsidRPr="007618CA" w:rsidR="007618CA" w:rsidSect="00362275">
      <w:type w:val="continuous"/>
      <w:pgSz w:w="11900" w:h="16840" w:orient="portrait"/>
      <w:pgMar w:top="1418" w:right="1977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819B4" w:rsidRDefault="003819B4" w14:paraId="328A049F" w14:textId="77777777">
      <w:r>
        <w:separator/>
      </w:r>
    </w:p>
  </w:endnote>
  <w:endnote w:type="continuationSeparator" w:id="0">
    <w:p w:rsidR="003819B4" w:rsidRDefault="003819B4" w14:paraId="777BDC40" w14:textId="77777777">
      <w:r>
        <w:continuationSeparator/>
      </w:r>
    </w:p>
  </w:endnote>
  <w:endnote w:type="continuationNotice" w:id="1">
    <w:p w:rsidR="003819B4" w:rsidRDefault="003819B4" w14:paraId="339F3CE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819B4" w:rsidRDefault="003819B4" w14:paraId="3DE9A61C" w14:textId="77777777"/>
  </w:footnote>
  <w:footnote w:type="continuationSeparator" w:id="0">
    <w:p w:rsidR="003819B4" w:rsidRDefault="003819B4" w14:paraId="6EA32FC7" w14:textId="77777777">
      <w:r>
        <w:continuationSeparator/>
      </w:r>
    </w:p>
  </w:footnote>
  <w:footnote w:type="continuationNotice" w:id="1">
    <w:p w:rsidR="003819B4" w:rsidRDefault="003819B4" w14:paraId="390140A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53129986">
    <w:abstractNumId w:val="17"/>
  </w:num>
  <w:num w:numId="2" w16cid:durableId="2057003971">
    <w:abstractNumId w:val="14"/>
  </w:num>
  <w:num w:numId="3" w16cid:durableId="564416844">
    <w:abstractNumId w:val="0"/>
  </w:num>
  <w:num w:numId="4" w16cid:durableId="915477490">
    <w:abstractNumId w:val="6"/>
  </w:num>
  <w:num w:numId="5" w16cid:durableId="149106390">
    <w:abstractNumId w:val="15"/>
  </w:num>
  <w:num w:numId="6" w16cid:durableId="1803036925">
    <w:abstractNumId w:val="2"/>
  </w:num>
  <w:num w:numId="7" w16cid:durableId="356852707">
    <w:abstractNumId w:val="11"/>
  </w:num>
  <w:num w:numId="8" w16cid:durableId="1091777539">
    <w:abstractNumId w:val="8"/>
  </w:num>
  <w:num w:numId="9" w16cid:durableId="231427932">
    <w:abstractNumId w:val="1"/>
  </w:num>
  <w:num w:numId="10" w16cid:durableId="1359113579">
    <w:abstractNumId w:val="1"/>
  </w:num>
  <w:num w:numId="11" w16cid:durableId="1043409277">
    <w:abstractNumId w:val="3"/>
  </w:num>
  <w:num w:numId="12" w16cid:durableId="200826334">
    <w:abstractNumId w:val="4"/>
  </w:num>
  <w:num w:numId="13" w16cid:durableId="269624069">
    <w:abstractNumId w:val="13"/>
  </w:num>
  <w:num w:numId="14" w16cid:durableId="1972710642">
    <w:abstractNumId w:val="9"/>
  </w:num>
  <w:num w:numId="15" w16cid:durableId="1860393965">
    <w:abstractNumId w:val="7"/>
  </w:num>
  <w:num w:numId="16" w16cid:durableId="2017492266">
    <w:abstractNumId w:val="12"/>
  </w:num>
  <w:num w:numId="17" w16cid:durableId="841042835">
    <w:abstractNumId w:val="5"/>
  </w:num>
  <w:num w:numId="18" w16cid:durableId="102189544">
    <w:abstractNumId w:val="10"/>
  </w:num>
  <w:num w:numId="19" w16cid:durableId="56147890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2275"/>
    <w:rsid w:val="0036357D"/>
    <w:rsid w:val="00363B23"/>
    <w:rsid w:val="0036594C"/>
    <w:rsid w:val="00367D19"/>
    <w:rsid w:val="00371BED"/>
    <w:rsid w:val="003819B4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18CA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540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6811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F71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59B1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E91C81"/>
    <w:rsid w:val="02F17397"/>
    <w:rsid w:val="115C42EB"/>
    <w:rsid w:val="13FD7CE4"/>
    <w:rsid w:val="1A686FE3"/>
    <w:rsid w:val="24E2A052"/>
    <w:rsid w:val="27A24E5B"/>
    <w:rsid w:val="27B23497"/>
    <w:rsid w:val="2AFCD3CB"/>
    <w:rsid w:val="2B5B6500"/>
    <w:rsid w:val="2C26A019"/>
    <w:rsid w:val="2E07F54E"/>
    <w:rsid w:val="30CF0098"/>
    <w:rsid w:val="338FFD84"/>
    <w:rsid w:val="36EF3DAD"/>
    <w:rsid w:val="4231E50C"/>
    <w:rsid w:val="45873FFF"/>
    <w:rsid w:val="4B73EA49"/>
    <w:rsid w:val="5114E82E"/>
    <w:rsid w:val="5ADF5577"/>
    <w:rsid w:val="631427AE"/>
    <w:rsid w:val="647B2B65"/>
    <w:rsid w:val="6A54B63D"/>
    <w:rsid w:val="6B2CF8ED"/>
    <w:rsid w:val="790FDEA7"/>
    <w:rsid w:val="7965D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7618CA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7618CA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7618CA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7618CA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7618CA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7618CA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Insulinbehandling på diabetesmottagning</dc:title>
  <dc:subject/>
  <dc:creator>patrik.jens.johansson@vgregion.se</dc:creator>
  <keywords/>
  <lastModifiedBy>Detlef Hess</lastModifiedBy>
  <revision>9</revision>
  <lastPrinted>2016-03-31T10:56:00.0000000Z</lastPrinted>
  <dcterms:created xsi:type="dcterms:W3CDTF">2022-03-24T06:41:00.0000000Z</dcterms:created>
  <dcterms:modified xsi:type="dcterms:W3CDTF">2024-11-29T09:32:42.0000000Z</dcterms:modified>
</coreProperties>
</file>