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009F51" w14:textId="77777777" w:rsidR="00653250" w:rsidRDefault="00653250" w:rsidP="00F35B05">
      <w:pPr>
        <w:pStyle w:val="Rubrik2"/>
        <w:sectPr w:rsidR="00653250" w:rsidSect="00653250">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61ECD3D2" w14:textId="398BDFF6" w:rsidR="00653250" w:rsidRPr="00653250" w:rsidRDefault="00653250" w:rsidP="00006693">
      <w:pPr>
        <w:pStyle w:val="Rubrik1"/>
        <w:spacing w:after="120"/>
      </w:pPr>
      <w:bookmarkStart w:id="1" w:name="_Toc314219769"/>
      <w:r w:rsidRPr="00653250">
        <w:t>Läkemedelstillförsel via naso</w:t>
      </w:r>
      <w:r w:rsidR="0096475B">
        <w:t>-</w:t>
      </w:r>
      <w:r w:rsidRPr="00653250">
        <w:t>gastrisk sond eller gastrisk sond (PEG)</w:t>
      </w:r>
    </w:p>
    <w:p w14:paraId="5587009F" w14:textId="77777777" w:rsidR="00653250" w:rsidRPr="00653250" w:rsidRDefault="00653250" w:rsidP="00006693">
      <w:pPr>
        <w:pStyle w:val="Rubrik2"/>
      </w:pPr>
      <w:r w:rsidRPr="00653250">
        <w:t>Sammanfattning</w:t>
      </w:r>
      <w:bookmarkEnd w:id="1"/>
    </w:p>
    <w:p w14:paraId="372FABBA" w14:textId="08C50EDB" w:rsidR="00653250" w:rsidRDefault="00653250" w:rsidP="00006693">
      <w:r w:rsidRPr="00653250">
        <w:t xml:space="preserve">Rutin för läkemedelstillförsel via nasogastrisk sond eller gastrisk sond (PEG). </w:t>
      </w:r>
    </w:p>
    <w:p w14:paraId="0AD7A408" w14:textId="1108EE6C" w:rsidR="00006693" w:rsidRPr="00653250" w:rsidRDefault="00006693" w:rsidP="00006693">
      <w:pPr>
        <w:pStyle w:val="Rubrik2"/>
      </w:pPr>
      <w:r>
        <w:t>Förändringar sedan föregående version</w:t>
      </w:r>
    </w:p>
    <w:p w14:paraId="3ADBE1DA" w14:textId="6F0F33C5" w:rsidR="00653250" w:rsidRPr="00653250" w:rsidRDefault="00F32D18" w:rsidP="00006693">
      <w:pPr>
        <w:spacing w:after="160" w:line="240" w:lineRule="auto"/>
        <w:ind w:right="0"/>
        <w:rPr>
          <w:szCs w:val="20"/>
        </w:rPr>
      </w:pPr>
      <w:r>
        <w:rPr>
          <w:szCs w:val="20"/>
        </w:rPr>
        <w:t>Inga ändringar i denna version</w:t>
      </w:r>
      <w:r w:rsidR="00006693">
        <w:rPr>
          <w:szCs w:val="20"/>
        </w:rPr>
        <w:t>.</w:t>
      </w:r>
    </w:p>
    <w:p w14:paraId="20743586" w14:textId="77777777" w:rsidR="00653250" w:rsidRPr="00653250" w:rsidRDefault="00653250" w:rsidP="00006693">
      <w:pPr>
        <w:pStyle w:val="Rubrik2"/>
      </w:pPr>
      <w:r w:rsidRPr="00653250">
        <w:t>Förutsättningar</w:t>
      </w:r>
    </w:p>
    <w:p w14:paraId="27A4F734" w14:textId="463BF698" w:rsidR="00653250" w:rsidRPr="00653250" w:rsidRDefault="00653250" w:rsidP="00006693">
      <w:pPr>
        <w:rPr>
          <w:szCs w:val="20"/>
        </w:rPr>
      </w:pPr>
      <w:r w:rsidRPr="00653250">
        <w:t xml:space="preserve">Allvarliga avvikelser har rapporterats där sjuksköterskor vid administrering av läkemedel </w:t>
      </w:r>
      <w:r w:rsidRPr="00653250">
        <w:rPr>
          <w:color w:val="000000"/>
        </w:rPr>
        <w:t>via nasogastrisk sond av</w:t>
      </w:r>
      <w:r w:rsidRPr="00653250">
        <w:t xml:space="preserve"> misstag givit dessa läkemedel via central venkateter. Denna rutin ska följas för att undvika detta. </w:t>
      </w:r>
      <w:bookmarkStart w:id="2" w:name="_Toc314219771"/>
    </w:p>
    <w:p w14:paraId="7EAC3BE9" w14:textId="77777777" w:rsidR="00653250" w:rsidRPr="00653250" w:rsidRDefault="00653250" w:rsidP="00006693">
      <w:pPr>
        <w:pStyle w:val="Rubrik2"/>
      </w:pPr>
      <w:r w:rsidRPr="00653250">
        <w:t>Genomförande</w:t>
      </w:r>
      <w:bookmarkEnd w:id="2"/>
    </w:p>
    <w:p w14:paraId="3083586D" w14:textId="77777777" w:rsidR="00653250" w:rsidRPr="00653250" w:rsidRDefault="00653250" w:rsidP="00006693">
      <w:pPr>
        <w:rPr>
          <w:szCs w:val="20"/>
        </w:rPr>
      </w:pPr>
      <w:r w:rsidRPr="00653250">
        <w:rPr>
          <w:szCs w:val="20"/>
        </w:rPr>
        <w:t xml:space="preserve">Se även regional rutin </w:t>
      </w:r>
      <w:hyperlink r:id="rId17" w:history="1">
        <w:r w:rsidRPr="00653250">
          <w:rPr>
            <w:color w:val="0000FF"/>
            <w:szCs w:val="20"/>
            <w:u w:val="single"/>
          </w:rPr>
          <w:t>Läkeme</w:t>
        </w:r>
        <w:r w:rsidRPr="00653250">
          <w:rPr>
            <w:color w:val="0000FF"/>
            <w:szCs w:val="20"/>
            <w:u w:val="single"/>
          </w:rPr>
          <w:t>d</w:t>
        </w:r>
        <w:r w:rsidRPr="00653250">
          <w:rPr>
            <w:color w:val="0000FF"/>
            <w:szCs w:val="20"/>
            <w:u w:val="single"/>
          </w:rPr>
          <w:t>elshantering i Västra götalandsregionen</w:t>
        </w:r>
      </w:hyperlink>
      <w:r w:rsidRPr="00653250">
        <w:rPr>
          <w:szCs w:val="20"/>
        </w:rPr>
        <w:t xml:space="preserve"> (</w:t>
      </w:r>
      <w:r w:rsidRPr="00653250">
        <w:rPr>
          <w:color w:val="000000"/>
          <w:szCs w:val="20"/>
        </w:rPr>
        <w:t xml:space="preserve">6.8.3 Läkemedel via sond) </w:t>
      </w:r>
      <w:r w:rsidRPr="00653250">
        <w:rPr>
          <w:szCs w:val="20"/>
        </w:rPr>
        <w:t xml:space="preserve">samt </w:t>
      </w:r>
      <w:hyperlink r:id="rId18" w:history="1">
        <w:r w:rsidRPr="00653250">
          <w:rPr>
            <w:color w:val="0000FF"/>
            <w:szCs w:val="20"/>
            <w:u w:val="single"/>
          </w:rPr>
          <w:t>Vårdha</w:t>
        </w:r>
        <w:r w:rsidRPr="00653250">
          <w:rPr>
            <w:color w:val="0000FF"/>
            <w:szCs w:val="20"/>
            <w:u w:val="single"/>
          </w:rPr>
          <w:t>n</w:t>
        </w:r>
        <w:r w:rsidRPr="00653250">
          <w:rPr>
            <w:color w:val="0000FF"/>
            <w:szCs w:val="20"/>
            <w:u w:val="single"/>
          </w:rPr>
          <w:t>dboken</w:t>
        </w:r>
      </w:hyperlink>
      <w:r w:rsidRPr="00653250">
        <w:rPr>
          <w:szCs w:val="20"/>
        </w:rPr>
        <w:t xml:space="preserve"> (avsnitt Nutrition, enteral/Läkemedelstillförsel).</w:t>
      </w:r>
    </w:p>
    <w:p w14:paraId="39E40DF6" w14:textId="77777777" w:rsidR="00653250" w:rsidRPr="00653250" w:rsidRDefault="00653250" w:rsidP="00006693">
      <w:pPr>
        <w:rPr>
          <w:szCs w:val="20"/>
        </w:rPr>
      </w:pPr>
      <w:r w:rsidRPr="00653250">
        <w:rPr>
          <w:szCs w:val="20"/>
        </w:rPr>
        <w:t xml:space="preserve">Vid läkemedelstillförsel via </w:t>
      </w:r>
      <w:r w:rsidRPr="00653250">
        <w:rPr>
          <w:color w:val="000000"/>
          <w:szCs w:val="20"/>
        </w:rPr>
        <w:t>nasogastrisk sond eller via gastrisk sond (PEG)</w:t>
      </w:r>
      <w:r w:rsidRPr="00653250">
        <w:rPr>
          <w:szCs w:val="20"/>
        </w:rPr>
        <w:t xml:space="preserve"> ska endast sprutor tillverkade för enteralt bruk användas. Dessa sprutor går inte att koppla till venösa infarter eller epiduralkateter. Dessa sprutor har också en avvikande färg jämfört med de sprutor som är avsedda för venöst eller epiduralt bruk.</w:t>
      </w:r>
    </w:p>
    <w:p w14:paraId="7CF87154" w14:textId="77777777" w:rsidR="00653250" w:rsidRPr="00653250" w:rsidRDefault="00653250" w:rsidP="00006693">
      <w:pPr>
        <w:rPr>
          <w:color w:val="000000"/>
          <w:szCs w:val="20"/>
        </w:rPr>
      </w:pPr>
      <w:r w:rsidRPr="00653250">
        <w:rPr>
          <w:szCs w:val="20"/>
        </w:rPr>
        <w:t xml:space="preserve">Extra </w:t>
      </w:r>
      <w:r w:rsidRPr="00653250">
        <w:rPr>
          <w:color w:val="000000"/>
          <w:szCs w:val="20"/>
        </w:rPr>
        <w:t>noggranna rutiner ska iakttags när patienten har både nasogastrisk sond eller gastrisk sond (PEG) och intravasal kateter eller epiduralkateter.</w:t>
      </w:r>
    </w:p>
    <w:p w14:paraId="622090FC" w14:textId="27E41904" w:rsidR="00653250" w:rsidRDefault="00653250" w:rsidP="00006693">
      <w:pPr>
        <w:rPr>
          <w:color w:val="000000"/>
          <w:szCs w:val="20"/>
        </w:rPr>
      </w:pPr>
      <w:r w:rsidRPr="00653250">
        <w:rPr>
          <w:color w:val="000000"/>
          <w:szCs w:val="20"/>
        </w:rPr>
        <w:t>Läkemedel som ska administreras via nasogastrisk sond eller gastrisk sond (PEG) får aldrig iordningställas eller administreras vid samma tillfälle som läkemedel som ska administreras intravenöst eller epiduralt.</w:t>
      </w:r>
    </w:p>
    <w:p w14:paraId="1666FBED" w14:textId="52A6FFC3" w:rsidR="00653250" w:rsidRPr="00653250" w:rsidRDefault="00006693" w:rsidP="00006693">
      <w:pPr>
        <w:rPr>
          <w:szCs w:val="20"/>
        </w:rPr>
      </w:pPr>
      <w:r>
        <w:rPr>
          <w:color w:val="000000"/>
          <w:szCs w:val="20"/>
        </w:rPr>
        <w:t xml:space="preserve">Använd i första hand flytande beredningsform av läkemedel. Om det inte finns flytande beredningar, var noggrann med att ta reda på om läkemedlet kan lösas upp i vatten. </w:t>
      </w:r>
      <w:bookmarkStart w:id="3" w:name="_Toc182366122"/>
      <w:bookmarkStart w:id="4" w:name="_Toc314219773"/>
    </w:p>
    <w:p w14:paraId="07DB678D" w14:textId="77777777" w:rsidR="00653250" w:rsidRPr="00653250" w:rsidRDefault="00653250" w:rsidP="00006693">
      <w:pPr>
        <w:pStyle w:val="Rubrik2"/>
      </w:pPr>
      <w:r w:rsidRPr="00653250">
        <w:t>Dokumentinformation</w:t>
      </w:r>
      <w:bookmarkEnd w:id="3"/>
      <w:bookmarkEnd w:id="4"/>
    </w:p>
    <w:p w14:paraId="0AC32196" w14:textId="77777777" w:rsidR="00653250" w:rsidRPr="00006693" w:rsidRDefault="00653250" w:rsidP="00006693">
      <w:pPr>
        <w:spacing w:after="40" w:line="240" w:lineRule="auto"/>
        <w:rPr>
          <w:rFonts w:ascii="Arial" w:hAnsi="Arial" w:cs="Arial"/>
          <w:sz w:val="20"/>
          <w:szCs w:val="20"/>
        </w:rPr>
      </w:pPr>
      <w:r w:rsidRPr="00006693">
        <w:rPr>
          <w:rFonts w:ascii="Arial" w:hAnsi="Arial" w:cs="Arial"/>
          <w:sz w:val="20"/>
          <w:szCs w:val="20"/>
        </w:rPr>
        <w:t>Nyckelord</w:t>
      </w:r>
    </w:p>
    <w:p w14:paraId="504D885F" w14:textId="014D884C" w:rsidR="00653250" w:rsidRPr="00653250" w:rsidRDefault="00653250" w:rsidP="00006693">
      <w:pPr>
        <w:rPr>
          <w:szCs w:val="20"/>
        </w:rPr>
      </w:pPr>
      <w:r w:rsidRPr="00653250">
        <w:t>Läkemedel, läkemedelstillförsel, sond, enteralt, PEG</w:t>
      </w:r>
    </w:p>
    <w:p w14:paraId="4975768F" w14:textId="32CDFBC2" w:rsidR="00653250" w:rsidRPr="00653250" w:rsidRDefault="00006693" w:rsidP="00006693">
      <w:pPr>
        <w:pStyle w:val="Rubrik2"/>
      </w:pPr>
      <w:r>
        <w:t>Relaterade dokument</w:t>
      </w:r>
    </w:p>
    <w:p w14:paraId="3A5221D1" w14:textId="310DBB73" w:rsidR="00653250" w:rsidRPr="00653250" w:rsidRDefault="00653250" w:rsidP="00006693">
      <w:pPr>
        <w:pStyle w:val="Punktlista"/>
        <w:numPr>
          <w:ilvl w:val="0"/>
          <w:numId w:val="20"/>
        </w:numPr>
        <w:ind w:left="1395" w:hanging="357"/>
      </w:pPr>
      <w:r w:rsidRPr="00653250">
        <w:t>Läkemedelshanteringen Västra Götalandsregionen, Regional rutin Västra Götalandsregionen</w:t>
      </w:r>
      <w:r w:rsidR="007D737F">
        <w:t xml:space="preserve"> </w:t>
      </w:r>
      <w:r w:rsidRPr="00653250">
        <w:t>Vårdgivarwebben</w:t>
      </w:r>
      <w:r w:rsidR="007D737F">
        <w:t>. A</w:t>
      </w:r>
      <w:r w:rsidRPr="00653250">
        <w:t>vsnitt riktlinjer/läkemedel/läkemedelshantering.</w:t>
      </w:r>
      <w:r w:rsidR="0096475B">
        <w:br/>
      </w:r>
      <w:hyperlink r:id="rId19" w:history="1">
        <w:r w:rsidR="0096475B" w:rsidRPr="00F96308">
          <w:rPr>
            <w:rStyle w:val="Hyperlnk"/>
          </w:rPr>
          <w:t>https://www.vgregion.se/halsa-och-vard/vardgivarwebben/vardriktlinjer/lakemedel/lakemedelshantering/</w:t>
        </w:r>
      </w:hyperlink>
      <w:r w:rsidR="0096475B">
        <w:t xml:space="preserve"> </w:t>
      </w:r>
      <w:r w:rsidRPr="00653250">
        <w:br/>
        <w:t xml:space="preserve">  </w:t>
      </w:r>
    </w:p>
    <w:p w14:paraId="7BE82EE8" w14:textId="0B4F9A6C" w:rsidR="00653250" w:rsidRPr="00653250" w:rsidRDefault="00653250" w:rsidP="00006693">
      <w:pPr>
        <w:pStyle w:val="Punktlista"/>
        <w:numPr>
          <w:ilvl w:val="0"/>
          <w:numId w:val="20"/>
        </w:numPr>
        <w:ind w:left="1395" w:hanging="357"/>
      </w:pPr>
      <w:r w:rsidRPr="00653250">
        <w:t>Information om läkemedelstillförsel, Vårdhandboken</w:t>
      </w:r>
      <w:r w:rsidRPr="00653250">
        <w:br/>
        <w:t xml:space="preserve">Avsnitt vård och behandling/nutrition/nutrition, </w:t>
      </w:r>
      <w:r w:rsidR="00DE05BC">
        <w:t xml:space="preserve">närings-tillförsel </w:t>
      </w:r>
      <w:r w:rsidRPr="00653250">
        <w:t>enteral/läkemedelstillförsel.</w:t>
      </w:r>
      <w:r w:rsidR="00DE05BC">
        <w:br/>
      </w:r>
      <w:hyperlink r:id="rId20" w:history="1">
        <w:r w:rsidR="00DE05BC" w:rsidRPr="00F96308">
          <w:rPr>
            <w:rStyle w:val="Hyperlnk"/>
          </w:rPr>
          <w:t>https://www.vardhandboken.se/vard-och-behandling/nutrition/naringstillforsel-enteral/lakemedelstillforsel/</w:t>
        </w:r>
      </w:hyperlink>
      <w:r w:rsidR="00DE05BC">
        <w:t xml:space="preserve"> </w:t>
      </w:r>
      <w:r w:rsidRPr="00653250">
        <w:br/>
      </w:r>
    </w:p>
    <w:p w14:paraId="155C6E46" w14:textId="77777777" w:rsidR="00653250" w:rsidRPr="00653250" w:rsidRDefault="00653250" w:rsidP="00653250">
      <w:pPr>
        <w:tabs>
          <w:tab w:val="left" w:pos="8431"/>
        </w:tabs>
        <w:overflowPunct w:val="0"/>
        <w:autoSpaceDE w:val="0"/>
        <w:autoSpaceDN w:val="0"/>
        <w:adjustRightInd w:val="0"/>
        <w:spacing w:after="160" w:line="240" w:lineRule="auto"/>
        <w:ind w:left="2676" w:right="0"/>
        <w:textAlignment w:val="baseline"/>
        <w:rPr>
          <w:szCs w:val="20"/>
        </w:rPr>
      </w:pPr>
      <w:r w:rsidRPr="00653250">
        <w:rPr>
          <w:szCs w:val="20"/>
        </w:rPr>
        <w:tab/>
      </w:r>
    </w:p>
    <w:bookmarkEnd w:id="0"/>
    <w:p w14:paraId="76B9F95B" w14:textId="24513497" w:rsidR="00536A5A" w:rsidRPr="00536A5A" w:rsidRDefault="00536A5A" w:rsidP="00536A5A">
      <w:pPr>
        <w:spacing w:after="0" w:line="240" w:lineRule="auto"/>
        <w:ind w:left="0" w:right="0"/>
      </w:pPr>
    </w:p>
    <w:sectPr w:rsidR="00536A5A" w:rsidRPr="00536A5A" w:rsidSect="00653250">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22E35D66" w:rsidR="00660269" w:rsidRDefault="001E3C8D" w:rsidP="00FB2F0F">
    <w:pPr>
      <w:pStyle w:val="Sidfot"/>
      <w:ind w:left="6237" w:hanging="141"/>
      <w:jc w:val="left"/>
    </w:pPr>
    <w:r>
      <w:rPr>
        <w:noProof/>
      </w:rPr>
      <w:drawing>
        <wp:anchor distT="0" distB="0" distL="114300" distR="114300" simplePos="0" relativeHeight="251673601" behindDoc="1" locked="0" layoutInCell="1" allowOverlap="1" wp14:anchorId="5966B10C" wp14:editId="3D6D90F0">
          <wp:simplePos x="0" y="0"/>
          <wp:positionH relativeFrom="column">
            <wp:posOffset>4267890</wp:posOffset>
          </wp:positionH>
          <wp:positionV relativeFrom="paragraph">
            <wp:posOffset>23026</wp:posOffset>
          </wp:positionV>
          <wp:extent cx="1950889" cy="347502"/>
          <wp:effectExtent l="0" t="0" r="0" b="0"/>
          <wp:wrapNone/>
          <wp:docPr id="839228785" name="Bildobjekt 11">
            <a:extLst xmlns:a="http://schemas.openxmlformats.org/drawingml/2006/main">
              <a:ext uri="{FF2B5EF4-FFF2-40B4-BE49-F238E27FC236}">
                <a16:creationId xmlns:a16="http://schemas.microsoft.com/office/drawing/2014/main" id="{5AF4F08B-75D5-A012-75B2-81FB576CFC4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1">
                    <a:extLst>
                      <a:ext uri="{FF2B5EF4-FFF2-40B4-BE49-F238E27FC236}">
                        <a16:creationId xmlns:a16="http://schemas.microsoft.com/office/drawing/2014/main" id="{5AF4F08B-75D5-A012-75B2-81FB576CFC4A}"/>
                      </a:ext>
                    </a:extLst>
                  </pic:cNvPr>
                  <pic:cNvPicPr>
                    <a:picLocks noChangeAspect="1"/>
                  </pic:cNvPicPr>
                </pic:nvPicPr>
                <pic:blipFill>
                  <a:blip r:embed="rId1"/>
                  <a:stretch>
                    <a:fillRect/>
                  </a:stretch>
                </pic:blipFill>
                <pic:spPr>
                  <a:xfrm>
                    <a:off x="0" y="0"/>
                    <a:ext cx="1950889" cy="347502"/>
                  </a:xfrm>
                  <a:prstGeom prst="rect">
                    <a:avLst/>
                  </a:prstGeom>
                </pic:spPr>
              </pic:pic>
            </a:graphicData>
          </a:graphic>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2402AC9A" w:rsidR="00DA65C4" w:rsidRDefault="00DA65C4" w:rsidP="00DA65C4">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2402AC9A" w:rsidR="00DA65C4" w:rsidRDefault="00DA65C4" w:rsidP="00DA65C4">
                    <w:pPr>
                      <w:ind w:left="0"/>
                    </w:pP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611141F2" w:rsidR="00413A60" w:rsidRDefault="00413A60">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611141F2" w:rsidR="00413A60" w:rsidRDefault="00413A60">
                    <w:pPr>
                      <w:ind w:left="0"/>
                    </w:pP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658694777"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15F2423"/>
    <w:multiLevelType w:val="hybridMultilevel"/>
    <w:tmpl w:val="273EF554"/>
    <w:lvl w:ilvl="0" w:tplc="041D0005">
      <w:start w:val="1"/>
      <w:numFmt w:val="bullet"/>
      <w:lvlText w:val=""/>
      <w:lvlJc w:val="left"/>
      <w:pPr>
        <w:ind w:left="1077" w:hanging="360"/>
      </w:pPr>
      <w:rPr>
        <w:rFonts w:ascii="Wingdings" w:hAnsi="Wingdings"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647437878">
    <w:abstractNumId w:val="18"/>
  </w:num>
  <w:num w:numId="2" w16cid:durableId="1307857393">
    <w:abstractNumId w:val="15"/>
  </w:num>
  <w:num w:numId="3" w16cid:durableId="934749432">
    <w:abstractNumId w:val="0"/>
  </w:num>
  <w:num w:numId="4" w16cid:durableId="707872819">
    <w:abstractNumId w:val="7"/>
  </w:num>
  <w:num w:numId="5" w16cid:durableId="804272235">
    <w:abstractNumId w:val="16"/>
  </w:num>
  <w:num w:numId="6" w16cid:durableId="1192962105">
    <w:abstractNumId w:val="2"/>
  </w:num>
  <w:num w:numId="7" w16cid:durableId="1947227799">
    <w:abstractNumId w:val="12"/>
  </w:num>
  <w:num w:numId="8" w16cid:durableId="485517575">
    <w:abstractNumId w:val="9"/>
  </w:num>
  <w:num w:numId="9" w16cid:durableId="2109932818">
    <w:abstractNumId w:val="1"/>
  </w:num>
  <w:num w:numId="10" w16cid:durableId="2100712276">
    <w:abstractNumId w:val="1"/>
  </w:num>
  <w:num w:numId="11" w16cid:durableId="2054035634">
    <w:abstractNumId w:val="3"/>
  </w:num>
  <w:num w:numId="12" w16cid:durableId="320281403">
    <w:abstractNumId w:val="5"/>
  </w:num>
  <w:num w:numId="13" w16cid:durableId="1422599901">
    <w:abstractNumId w:val="14"/>
  </w:num>
  <w:num w:numId="14" w16cid:durableId="360012384">
    <w:abstractNumId w:val="10"/>
  </w:num>
  <w:num w:numId="15" w16cid:durableId="627204157">
    <w:abstractNumId w:val="8"/>
  </w:num>
  <w:num w:numId="16" w16cid:durableId="1901019581">
    <w:abstractNumId w:val="13"/>
  </w:num>
  <w:num w:numId="17" w16cid:durableId="584069259">
    <w:abstractNumId w:val="6"/>
  </w:num>
  <w:num w:numId="18" w16cid:durableId="2005358908">
    <w:abstractNumId w:val="11"/>
  </w:num>
  <w:num w:numId="19" w16cid:durableId="1598907508">
    <w:abstractNumId w:val="17"/>
  </w:num>
  <w:num w:numId="20" w16cid:durableId="4217982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0241"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693"/>
    <w:rsid w:val="00006D2A"/>
    <w:rsid w:val="00010D47"/>
    <w:rsid w:val="00016CF0"/>
    <w:rsid w:val="0002435C"/>
    <w:rsid w:val="00030DDD"/>
    <w:rsid w:val="000313BB"/>
    <w:rsid w:val="00033ED5"/>
    <w:rsid w:val="00050500"/>
    <w:rsid w:val="000538F2"/>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E3C8D"/>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57C1A"/>
    <w:rsid w:val="00360E0D"/>
    <w:rsid w:val="0036357D"/>
    <w:rsid w:val="00363B23"/>
    <w:rsid w:val="0036594C"/>
    <w:rsid w:val="00367D19"/>
    <w:rsid w:val="00371BED"/>
    <w:rsid w:val="00384019"/>
    <w:rsid w:val="003854F1"/>
    <w:rsid w:val="0039118E"/>
    <w:rsid w:val="00397F54"/>
    <w:rsid w:val="003A0D43"/>
    <w:rsid w:val="003B2A4B"/>
    <w:rsid w:val="003B3C70"/>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17D3"/>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3250"/>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D737F"/>
    <w:rsid w:val="007F1CFF"/>
    <w:rsid w:val="007F5DD5"/>
    <w:rsid w:val="00821A1B"/>
    <w:rsid w:val="0082406A"/>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6475B"/>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47D89"/>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05BC"/>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EF759E"/>
    <w:rsid w:val="00F22264"/>
    <w:rsid w:val="00F2564D"/>
    <w:rsid w:val="00F32D18"/>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32D18"/>
    <w:pPr>
      <w:spacing w:after="120" w:line="288" w:lineRule="auto"/>
      <w:ind w:left="992" w:right="868"/>
    </w:pPr>
    <w:rPr>
      <w:rFonts w:ascii="Georgia" w:hAnsi="Georgia"/>
      <w:sz w:val="24"/>
      <w:szCs w:val="24"/>
    </w:rPr>
  </w:style>
  <w:style w:type="paragraph" w:styleId="Rubrik1">
    <w:name w:val="heading 1"/>
    <w:aliases w:val="Rubrik VGR"/>
    <w:next w:val="Normal"/>
    <w:link w:val="Rubrik1Char"/>
    <w:qFormat/>
    <w:rsid w:val="00F32D18"/>
    <w:pPr>
      <w:keepNext/>
      <w:spacing w:after="240"/>
      <w:ind w:left="992"/>
      <w:contextualSpacing/>
      <w:outlineLvl w:val="0"/>
    </w:pPr>
    <w:rPr>
      <w:rFonts w:ascii="Verdana" w:eastAsia="MS Gothic" w:hAnsi="Verdana"/>
      <w:bCs/>
      <w:kern w:val="32"/>
      <w:sz w:val="44"/>
      <w:szCs w:val="32"/>
    </w:rPr>
  </w:style>
  <w:style w:type="paragraph" w:styleId="Rubrik2">
    <w:name w:val="heading 2"/>
    <w:aliases w:val="Rubrik 2 VGR"/>
    <w:basedOn w:val="Normal"/>
    <w:next w:val="Normal"/>
    <w:link w:val="Rubrik2Char"/>
    <w:uiPriority w:val="3"/>
    <w:unhideWhenUsed/>
    <w:qFormat/>
    <w:rsid w:val="00F32D18"/>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653250"/>
    <w:pPr>
      <w:keepNext/>
      <w:keepLines/>
      <w:spacing w:before="40" w:after="0"/>
      <w:outlineLvl w:val="5"/>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653250"/>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32D18"/>
    <w:rPr>
      <w:rFonts w:ascii="Verdana" w:eastAsia="MS Gothic" w:hAnsi="Verdana"/>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F32D18"/>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653250"/>
    <w:rPr>
      <w:rFonts w:asciiTheme="majorHAnsi" w:eastAsiaTheme="majorEastAsia" w:hAnsiTheme="majorHAnsi" w:cstheme="majorBidi"/>
      <w:color w:val="00304B" w:themeColor="accent1" w:themeShade="7F"/>
      <w:sz w:val="24"/>
      <w:szCs w:val="24"/>
    </w:rPr>
  </w:style>
  <w:style w:type="character" w:customStyle="1" w:styleId="Rubrik9Char">
    <w:name w:val="Rubrik 9 Char"/>
    <w:basedOn w:val="Standardstycketeckensnitt"/>
    <w:link w:val="Rubrik9"/>
    <w:uiPriority w:val="9"/>
    <w:semiHidden/>
    <w:rsid w:val="00653250"/>
    <w:rPr>
      <w:rFonts w:asciiTheme="majorHAnsi" w:eastAsiaTheme="majorEastAsia" w:hAnsiTheme="majorHAnsi" w:cstheme="majorBidi"/>
      <w:i/>
      <w:iCs/>
      <w:color w:val="272727" w:themeColor="text1" w:themeTint="D8"/>
      <w:sz w:val="21"/>
      <w:szCs w:val="21"/>
    </w:rPr>
  </w:style>
  <w:style w:type="character" w:styleId="Olstomnmnande">
    <w:name w:val="Unresolved Mention"/>
    <w:basedOn w:val="Standardstycketeckensnitt"/>
    <w:uiPriority w:val="99"/>
    <w:semiHidden/>
    <w:unhideWhenUsed/>
    <w:rsid w:val="0096475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barium.vgregion.se/barium/interfaces/vgr/" TargetMode="External" Id="rId18" /><Relationship Type="http://schemas.openxmlformats.org/officeDocument/2006/relationships/fontTable" Target="fontTable.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alfresco.vgregion.se/alfresco/service/vgr/storage/node/content/workspace/SpacesStore/f4b1c152-8aad-437c-950d-b9658205ce04/Regional%20rutin%20l&#228;kemedelshantering%20i%20VGR_2020-04.pdf?a=false&amp;guest=true&amp;native=true" TargetMode="External" Id="rId17" /><Relationship Type="http://schemas.openxmlformats.org/officeDocument/2006/relationships/footer" Target="footer3.xml" Id="rId16" /><Relationship Type="http://schemas.openxmlformats.org/officeDocument/2006/relationships/hyperlink" Target="https://www.vardhandboken.se/vard-och-behandling/nutrition/naringstillforsel-enteral/lakemedelstillforsel/"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hyperlink" Target="https://www.vgregion.se/halsa-och-vard/vardgivarwebben/vardriktlinjer/lakemedel/lakemedelshantering/"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theme" Target="theme/theme1.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79</TotalTime>
  <Pages>2</Pages>
  <Words>232</Words>
  <Characters>2437</Characters>
  <Application>Microsoft Office Word</Application>
  <DocSecurity>0</DocSecurity>
  <Lines>20</Lines>
  <Paragraphs>5</Paragraphs>
  <ScaleCrop>false</ScaleCrop>
  <HeadingPairs>
    <vt:vector size="2" baseType="variant">
      <vt:variant>
        <vt:lpstr>Rubrik</vt:lpstr>
      </vt:variant>
      <vt:variant>
        <vt:i4>1</vt:i4>
      </vt:variant>
    </vt:vector>
  </HeadingPairs>
  <TitlesOfParts>
    <vt:vector size="1" baseType="lpstr">
      <vt:lpstr>Läkemedelstillförsel via nasogastrisk sond eller gastrisk sond (PEG)</vt:lpstr>
    </vt:vector>
  </TitlesOfParts>
  <Manager/>
  <Company/>
  <LinksUpToDate>false</LinksUpToDate>
  <CharactersWithSpaces>2664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Läkemedelstillförsel via nasogastrisk sond eller gastrisk sond (PEG)</dc:title>
  <dc:subject/>
  <dc:creator>patrik.jens.johansson@vgregion.se</dc:creator>
  <keywords/>
  <lastModifiedBy>Kristina Svensson</lastModifiedBy>
  <revision>12</revision>
  <lastPrinted>2016-03-31T10:56:00.0000000Z</lastPrinted>
  <dcterms:created xsi:type="dcterms:W3CDTF">2022-01-17T06:28:00.0000000Z</dcterms:created>
  <dcterms:modified xsi:type="dcterms:W3CDTF">2025-06-09T06:45:00.0000000Z</dcterms:modified>
</coreProperties>
</file>