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9F2D63" w14:textId="77777777" w:rsidR="00EF0F7B" w:rsidRDefault="00EF0F7B" w:rsidP="00F35B05">
      <w:pPr>
        <w:pStyle w:val="Rubrik2"/>
        <w:sectPr w:rsidR="00EF0F7B" w:rsidSect="00EF0F7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89D20B5" w14:textId="77777777" w:rsidR="00EF0F7B" w:rsidRPr="005D457E" w:rsidRDefault="00EF0F7B" w:rsidP="005D457E">
      <w:pPr>
        <w:rPr>
          <w:rFonts w:asciiTheme="majorHAnsi" w:hAnsiTheme="majorHAnsi" w:cstheme="majorHAnsi"/>
          <w:sz w:val="48"/>
          <w:szCs w:val="48"/>
        </w:rPr>
      </w:pPr>
      <w:r w:rsidRPr="005D457E">
        <w:rPr>
          <w:rFonts w:asciiTheme="majorHAnsi" w:hAnsiTheme="majorHAnsi" w:cstheme="majorHAnsi"/>
          <w:sz w:val="48"/>
          <w:szCs w:val="48"/>
        </w:rPr>
        <w:t xml:space="preserve">Epilepsi hos barn och ungdomar - behandling </w:t>
      </w:r>
    </w:p>
    <w:p w14:paraId="2EFC8F41" w14:textId="77777777" w:rsidR="00EF0F7B" w:rsidRPr="00EF0F7B" w:rsidRDefault="00EF0F7B" w:rsidP="005D457E">
      <w:pPr>
        <w:pStyle w:val="Rubrik2"/>
      </w:pPr>
      <w:bookmarkStart w:id="1" w:name="_Toc55550542"/>
      <w:bookmarkStart w:id="2" w:name="_Toc256000000"/>
      <w:bookmarkStart w:id="3" w:name="_Toc256000026"/>
      <w:bookmarkStart w:id="4" w:name="_Toc256000052"/>
      <w:bookmarkStart w:id="5" w:name="_Toc256000078"/>
      <w:bookmarkStart w:id="6" w:name="_Toc57882058"/>
      <w:bookmarkStart w:id="7" w:name="_Toc256000098"/>
      <w:bookmarkStart w:id="8" w:name="_Toc183764619"/>
      <w:r w:rsidRPr="00EF0F7B">
        <w:t>Sammanfattning</w:t>
      </w:r>
      <w:bookmarkEnd w:id="1"/>
      <w:bookmarkEnd w:id="2"/>
      <w:bookmarkEnd w:id="3"/>
      <w:bookmarkEnd w:id="4"/>
      <w:bookmarkEnd w:id="5"/>
      <w:bookmarkEnd w:id="6"/>
      <w:bookmarkEnd w:id="7"/>
      <w:bookmarkEnd w:id="8"/>
    </w:p>
    <w:p w14:paraId="2A107FBD" w14:textId="77777777" w:rsidR="00EF0F7B" w:rsidRDefault="00EF0F7B" w:rsidP="005D457E">
      <w:r w:rsidRPr="00EF0F7B">
        <w:t xml:space="preserve">Behandling vid epilepsi hos barn och ungdomar. </w:t>
      </w:r>
    </w:p>
    <w:p w14:paraId="5048E738" w14:textId="04B1EABF" w:rsidR="00B337D7" w:rsidRDefault="00627380" w:rsidP="00627380">
      <w:pPr>
        <w:pStyle w:val="Rubrik2"/>
      </w:pPr>
      <w:bookmarkStart w:id="9" w:name="_Toc183764620"/>
      <w:r>
        <w:t>Förändring sedan föregående version</w:t>
      </w:r>
      <w:bookmarkEnd w:id="9"/>
    </w:p>
    <w:p w14:paraId="3A1D3BFA" w14:textId="2DE93AC4" w:rsidR="00627380" w:rsidRPr="00627380" w:rsidRDefault="00627380" w:rsidP="00627380">
      <w:r>
        <w:t xml:space="preserve">I denna version </w:t>
      </w:r>
      <w:r w:rsidR="00861229">
        <w:t xml:space="preserve">är </w:t>
      </w:r>
      <w:r w:rsidR="00CD35DD">
        <w:t>länk</w:t>
      </w:r>
      <w:r w:rsidR="000F6F0A">
        <w:t xml:space="preserve"> till</w:t>
      </w:r>
      <w:r w:rsidR="008F526B">
        <w:t xml:space="preserve"> dokumentet</w:t>
      </w:r>
      <w:r w:rsidR="00CD35DD">
        <w:t xml:space="preserve"> </w:t>
      </w:r>
      <w:r w:rsidR="0046717B" w:rsidRPr="00735789">
        <w:rPr>
          <w:i/>
          <w:iCs/>
        </w:rPr>
        <w:t xml:space="preserve">Läkemedelsbehandling av epilepsi </w:t>
      </w:r>
      <w:r w:rsidR="00735789" w:rsidRPr="00735789">
        <w:rPr>
          <w:i/>
          <w:iCs/>
        </w:rPr>
        <w:t>–</w:t>
      </w:r>
      <w:r w:rsidR="0046717B" w:rsidRPr="00735789">
        <w:rPr>
          <w:i/>
          <w:iCs/>
        </w:rPr>
        <w:t xml:space="preserve"> behandlingsrekommendation</w:t>
      </w:r>
      <w:r w:rsidR="00735789" w:rsidRPr="00735789">
        <w:rPr>
          <w:i/>
          <w:iCs/>
        </w:rPr>
        <w:t xml:space="preserve"> </w:t>
      </w:r>
      <w:r w:rsidR="00735789">
        <w:t>från Barnläkarföreningen tillagd</w:t>
      </w:r>
      <w:r w:rsidR="004405F4">
        <w:t>.</w:t>
      </w:r>
      <w:r w:rsidR="00735789">
        <w:t xml:space="preserve"> </w:t>
      </w:r>
    </w:p>
    <w:p w14:paraId="5601484E" w14:textId="77777777" w:rsidR="00EF0F7B" w:rsidRPr="00EF0F7B" w:rsidRDefault="00EF0F7B" w:rsidP="002D184A">
      <w:pPr>
        <w:spacing w:before="240" w:after="60" w:line="240" w:lineRule="auto"/>
        <w:ind w:right="0"/>
        <w:outlineLvl w:val="6"/>
        <w:rPr>
          <w:rFonts w:ascii="Arial" w:hAnsi="Arial"/>
          <w:sz w:val="26"/>
        </w:rPr>
      </w:pPr>
      <w:r w:rsidRPr="00EF0F7B">
        <w:rPr>
          <w:rFonts w:ascii="Arial" w:hAnsi="Arial"/>
          <w:sz w:val="26"/>
        </w:rPr>
        <w:t>Innehållsförteckning</w:t>
      </w:r>
    </w:p>
    <w:p w14:paraId="56C6D3BD" w14:textId="53BDBE50" w:rsidR="00822C88" w:rsidRDefault="00EF0F7B">
      <w:pPr>
        <w:pStyle w:val="Innehll2"/>
        <w:rPr>
          <w:rFonts w:asciiTheme="minorHAnsi" w:eastAsiaTheme="minorEastAsia" w:hAnsiTheme="minorHAnsi" w:cstheme="minorBidi"/>
          <w:noProof/>
          <w:kern w:val="2"/>
          <w:sz w:val="22"/>
          <w:szCs w:val="22"/>
          <w14:ligatures w14:val="standardContextual"/>
        </w:rPr>
      </w:pPr>
      <w:r w:rsidRPr="00EF0F7B">
        <w:rPr>
          <w:rFonts w:ascii="Arial" w:hAnsi="Arial"/>
          <w:noProof/>
          <w:color w:val="0000FF"/>
          <w:sz w:val="22"/>
          <w:szCs w:val="32"/>
          <w:u w:val="single"/>
        </w:rPr>
        <w:fldChar w:fldCharType="begin"/>
      </w:r>
      <w:r w:rsidRPr="00EF0F7B">
        <w:rPr>
          <w:rFonts w:ascii="Arial" w:hAnsi="Arial"/>
          <w:noProof/>
          <w:color w:val="0000FF"/>
          <w:sz w:val="22"/>
          <w:szCs w:val="32"/>
          <w:u w:val="single"/>
        </w:rPr>
        <w:instrText xml:space="preserve"> TOC \o "1-3" \h \z </w:instrText>
      </w:r>
      <w:r w:rsidRPr="00EF0F7B">
        <w:rPr>
          <w:rFonts w:ascii="Arial" w:hAnsi="Arial"/>
          <w:noProof/>
          <w:color w:val="0000FF"/>
          <w:sz w:val="22"/>
          <w:szCs w:val="32"/>
          <w:u w:val="single"/>
        </w:rPr>
        <w:fldChar w:fldCharType="separate"/>
      </w:r>
      <w:hyperlink w:anchor="_Toc183764619" w:history="1">
        <w:r w:rsidR="00822C88" w:rsidRPr="00B01540">
          <w:rPr>
            <w:rStyle w:val="Hyperlnk"/>
            <w:rFonts w:eastAsia="MS Gothic"/>
            <w:noProof/>
          </w:rPr>
          <w:t>Sammanfattning</w:t>
        </w:r>
        <w:r w:rsidR="00822C88">
          <w:rPr>
            <w:noProof/>
            <w:webHidden/>
          </w:rPr>
          <w:tab/>
        </w:r>
        <w:r w:rsidR="00822C88">
          <w:rPr>
            <w:noProof/>
            <w:webHidden/>
          </w:rPr>
          <w:fldChar w:fldCharType="begin"/>
        </w:r>
        <w:r w:rsidR="00822C88">
          <w:rPr>
            <w:noProof/>
            <w:webHidden/>
          </w:rPr>
          <w:instrText xml:space="preserve"> PAGEREF _Toc183764619 \h </w:instrText>
        </w:r>
        <w:r w:rsidR="00822C88">
          <w:rPr>
            <w:noProof/>
            <w:webHidden/>
          </w:rPr>
        </w:r>
        <w:r w:rsidR="00822C88">
          <w:rPr>
            <w:noProof/>
            <w:webHidden/>
          </w:rPr>
          <w:fldChar w:fldCharType="separate"/>
        </w:r>
        <w:r w:rsidR="00822C88">
          <w:rPr>
            <w:noProof/>
            <w:webHidden/>
          </w:rPr>
          <w:t>1</w:t>
        </w:r>
        <w:r w:rsidR="00822C88">
          <w:rPr>
            <w:noProof/>
            <w:webHidden/>
          </w:rPr>
          <w:fldChar w:fldCharType="end"/>
        </w:r>
      </w:hyperlink>
    </w:p>
    <w:p w14:paraId="24B5D29A" w14:textId="5F0EE9D2" w:rsidR="00822C88" w:rsidRDefault="00822C88">
      <w:pPr>
        <w:pStyle w:val="Innehll2"/>
        <w:rPr>
          <w:rFonts w:asciiTheme="minorHAnsi" w:eastAsiaTheme="minorEastAsia" w:hAnsiTheme="minorHAnsi" w:cstheme="minorBidi"/>
          <w:noProof/>
          <w:kern w:val="2"/>
          <w:sz w:val="22"/>
          <w:szCs w:val="22"/>
          <w14:ligatures w14:val="standardContextual"/>
        </w:rPr>
      </w:pPr>
      <w:hyperlink w:anchor="_Toc183764620" w:history="1">
        <w:r w:rsidRPr="00B01540">
          <w:rPr>
            <w:rStyle w:val="Hyperlnk"/>
            <w:rFonts w:eastAsia="MS Gothic"/>
            <w:noProof/>
          </w:rPr>
          <w:t>Förändring sedan föregående version</w:t>
        </w:r>
        <w:r>
          <w:rPr>
            <w:noProof/>
            <w:webHidden/>
          </w:rPr>
          <w:tab/>
        </w:r>
        <w:r>
          <w:rPr>
            <w:noProof/>
            <w:webHidden/>
          </w:rPr>
          <w:fldChar w:fldCharType="begin"/>
        </w:r>
        <w:r>
          <w:rPr>
            <w:noProof/>
            <w:webHidden/>
          </w:rPr>
          <w:instrText xml:space="preserve"> PAGEREF _Toc183764620 \h </w:instrText>
        </w:r>
        <w:r>
          <w:rPr>
            <w:noProof/>
            <w:webHidden/>
          </w:rPr>
        </w:r>
        <w:r>
          <w:rPr>
            <w:noProof/>
            <w:webHidden/>
          </w:rPr>
          <w:fldChar w:fldCharType="separate"/>
        </w:r>
        <w:r>
          <w:rPr>
            <w:noProof/>
            <w:webHidden/>
          </w:rPr>
          <w:t>1</w:t>
        </w:r>
        <w:r>
          <w:rPr>
            <w:noProof/>
            <w:webHidden/>
          </w:rPr>
          <w:fldChar w:fldCharType="end"/>
        </w:r>
      </w:hyperlink>
    </w:p>
    <w:p w14:paraId="6E5D28B9" w14:textId="244780A5" w:rsidR="00822C88" w:rsidRDefault="00822C88">
      <w:pPr>
        <w:pStyle w:val="Innehll2"/>
        <w:rPr>
          <w:rFonts w:asciiTheme="minorHAnsi" w:eastAsiaTheme="minorEastAsia" w:hAnsiTheme="minorHAnsi" w:cstheme="minorBidi"/>
          <w:noProof/>
          <w:kern w:val="2"/>
          <w:sz w:val="22"/>
          <w:szCs w:val="22"/>
          <w14:ligatures w14:val="standardContextual"/>
        </w:rPr>
      </w:pPr>
      <w:hyperlink w:anchor="_Toc183764621" w:history="1">
        <w:r w:rsidRPr="00B01540">
          <w:rPr>
            <w:rStyle w:val="Hyperlnk"/>
            <w:rFonts w:eastAsia="MS Gothic"/>
            <w:noProof/>
          </w:rPr>
          <w:t>Förutsättningar</w:t>
        </w:r>
        <w:r>
          <w:rPr>
            <w:noProof/>
            <w:webHidden/>
          </w:rPr>
          <w:tab/>
        </w:r>
        <w:r>
          <w:rPr>
            <w:noProof/>
            <w:webHidden/>
          </w:rPr>
          <w:fldChar w:fldCharType="begin"/>
        </w:r>
        <w:r>
          <w:rPr>
            <w:noProof/>
            <w:webHidden/>
          </w:rPr>
          <w:instrText xml:space="preserve"> PAGEREF _Toc183764621 \h </w:instrText>
        </w:r>
        <w:r>
          <w:rPr>
            <w:noProof/>
            <w:webHidden/>
          </w:rPr>
        </w:r>
        <w:r>
          <w:rPr>
            <w:noProof/>
            <w:webHidden/>
          </w:rPr>
          <w:fldChar w:fldCharType="separate"/>
        </w:r>
        <w:r>
          <w:rPr>
            <w:noProof/>
            <w:webHidden/>
          </w:rPr>
          <w:t>2</w:t>
        </w:r>
        <w:r>
          <w:rPr>
            <w:noProof/>
            <w:webHidden/>
          </w:rPr>
          <w:fldChar w:fldCharType="end"/>
        </w:r>
      </w:hyperlink>
    </w:p>
    <w:p w14:paraId="06F025B1" w14:textId="10794514" w:rsidR="00822C88" w:rsidRDefault="00822C88">
      <w:pPr>
        <w:pStyle w:val="Innehll2"/>
        <w:rPr>
          <w:rFonts w:asciiTheme="minorHAnsi" w:eastAsiaTheme="minorEastAsia" w:hAnsiTheme="minorHAnsi" w:cstheme="minorBidi"/>
          <w:noProof/>
          <w:kern w:val="2"/>
          <w:sz w:val="22"/>
          <w:szCs w:val="22"/>
          <w14:ligatures w14:val="standardContextual"/>
        </w:rPr>
      </w:pPr>
      <w:hyperlink w:anchor="_Toc183764622" w:history="1">
        <w:r w:rsidRPr="00B01540">
          <w:rPr>
            <w:rStyle w:val="Hyperlnk"/>
            <w:rFonts w:eastAsia="MS Gothic"/>
            <w:noProof/>
          </w:rPr>
          <w:t>Genomförande</w:t>
        </w:r>
        <w:r>
          <w:rPr>
            <w:noProof/>
            <w:webHidden/>
          </w:rPr>
          <w:tab/>
        </w:r>
        <w:r>
          <w:rPr>
            <w:noProof/>
            <w:webHidden/>
          </w:rPr>
          <w:fldChar w:fldCharType="begin"/>
        </w:r>
        <w:r>
          <w:rPr>
            <w:noProof/>
            <w:webHidden/>
          </w:rPr>
          <w:instrText xml:space="preserve"> PAGEREF _Toc183764622 \h </w:instrText>
        </w:r>
        <w:r>
          <w:rPr>
            <w:noProof/>
            <w:webHidden/>
          </w:rPr>
        </w:r>
        <w:r>
          <w:rPr>
            <w:noProof/>
            <w:webHidden/>
          </w:rPr>
          <w:fldChar w:fldCharType="separate"/>
        </w:r>
        <w:r>
          <w:rPr>
            <w:noProof/>
            <w:webHidden/>
          </w:rPr>
          <w:t>2</w:t>
        </w:r>
        <w:r>
          <w:rPr>
            <w:noProof/>
            <w:webHidden/>
          </w:rPr>
          <w:fldChar w:fldCharType="end"/>
        </w:r>
      </w:hyperlink>
    </w:p>
    <w:p w14:paraId="45E29ABE" w14:textId="2771D6DD"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3" w:history="1">
        <w:r w:rsidRPr="00B01540">
          <w:rPr>
            <w:rStyle w:val="Hyperlnk"/>
            <w:rFonts w:eastAsia="MS Gothic"/>
            <w:noProof/>
          </w:rPr>
          <w:t>Klassifikation</w:t>
        </w:r>
        <w:r>
          <w:rPr>
            <w:noProof/>
            <w:webHidden/>
          </w:rPr>
          <w:tab/>
        </w:r>
        <w:r>
          <w:rPr>
            <w:noProof/>
            <w:webHidden/>
          </w:rPr>
          <w:fldChar w:fldCharType="begin"/>
        </w:r>
        <w:r>
          <w:rPr>
            <w:noProof/>
            <w:webHidden/>
          </w:rPr>
          <w:instrText xml:space="preserve"> PAGEREF _Toc183764623 \h </w:instrText>
        </w:r>
        <w:r>
          <w:rPr>
            <w:noProof/>
            <w:webHidden/>
          </w:rPr>
        </w:r>
        <w:r>
          <w:rPr>
            <w:noProof/>
            <w:webHidden/>
          </w:rPr>
          <w:fldChar w:fldCharType="separate"/>
        </w:r>
        <w:r>
          <w:rPr>
            <w:noProof/>
            <w:webHidden/>
          </w:rPr>
          <w:t>2</w:t>
        </w:r>
        <w:r>
          <w:rPr>
            <w:noProof/>
            <w:webHidden/>
          </w:rPr>
          <w:fldChar w:fldCharType="end"/>
        </w:r>
      </w:hyperlink>
    </w:p>
    <w:p w14:paraId="215741A5" w14:textId="1F0F7A03"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4" w:history="1">
        <w:r w:rsidRPr="00B01540">
          <w:rPr>
            <w:rStyle w:val="Hyperlnk"/>
            <w:rFonts w:eastAsia="MS Gothic"/>
            <w:noProof/>
          </w:rPr>
          <w:t>Farmakologisk behandling</w:t>
        </w:r>
        <w:r>
          <w:rPr>
            <w:noProof/>
            <w:webHidden/>
          </w:rPr>
          <w:tab/>
        </w:r>
        <w:r>
          <w:rPr>
            <w:noProof/>
            <w:webHidden/>
          </w:rPr>
          <w:fldChar w:fldCharType="begin"/>
        </w:r>
        <w:r>
          <w:rPr>
            <w:noProof/>
            <w:webHidden/>
          </w:rPr>
          <w:instrText xml:space="preserve"> PAGEREF _Toc183764624 \h </w:instrText>
        </w:r>
        <w:r>
          <w:rPr>
            <w:noProof/>
            <w:webHidden/>
          </w:rPr>
        </w:r>
        <w:r>
          <w:rPr>
            <w:noProof/>
            <w:webHidden/>
          </w:rPr>
          <w:fldChar w:fldCharType="separate"/>
        </w:r>
        <w:r>
          <w:rPr>
            <w:noProof/>
            <w:webHidden/>
          </w:rPr>
          <w:t>2</w:t>
        </w:r>
        <w:r>
          <w:rPr>
            <w:noProof/>
            <w:webHidden/>
          </w:rPr>
          <w:fldChar w:fldCharType="end"/>
        </w:r>
      </w:hyperlink>
    </w:p>
    <w:p w14:paraId="2B7E0985" w14:textId="30531089"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5" w:history="1">
        <w:r w:rsidRPr="00B01540">
          <w:rPr>
            <w:rStyle w:val="Hyperlnk"/>
            <w:rFonts w:eastAsia="MS Gothic"/>
            <w:noProof/>
          </w:rPr>
          <w:t>Terapival vid nydebuterad epilepsi</w:t>
        </w:r>
        <w:r>
          <w:rPr>
            <w:noProof/>
            <w:webHidden/>
          </w:rPr>
          <w:tab/>
        </w:r>
        <w:r>
          <w:rPr>
            <w:noProof/>
            <w:webHidden/>
          </w:rPr>
          <w:fldChar w:fldCharType="begin"/>
        </w:r>
        <w:r>
          <w:rPr>
            <w:noProof/>
            <w:webHidden/>
          </w:rPr>
          <w:instrText xml:space="preserve"> PAGEREF _Toc183764625 \h </w:instrText>
        </w:r>
        <w:r>
          <w:rPr>
            <w:noProof/>
            <w:webHidden/>
          </w:rPr>
        </w:r>
        <w:r>
          <w:rPr>
            <w:noProof/>
            <w:webHidden/>
          </w:rPr>
          <w:fldChar w:fldCharType="separate"/>
        </w:r>
        <w:r>
          <w:rPr>
            <w:noProof/>
            <w:webHidden/>
          </w:rPr>
          <w:t>3</w:t>
        </w:r>
        <w:r>
          <w:rPr>
            <w:noProof/>
            <w:webHidden/>
          </w:rPr>
          <w:fldChar w:fldCharType="end"/>
        </w:r>
      </w:hyperlink>
    </w:p>
    <w:p w14:paraId="1D3FFE19" w14:textId="24788F70"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6" w:history="1">
        <w:r w:rsidRPr="00B01540">
          <w:rPr>
            <w:rStyle w:val="Hyperlnk"/>
            <w:rFonts w:eastAsia="MS Gothic"/>
            <w:noProof/>
          </w:rPr>
          <w:t>Behandling av vissa epilepsisyndrom</w:t>
        </w:r>
        <w:r>
          <w:rPr>
            <w:noProof/>
            <w:webHidden/>
          </w:rPr>
          <w:tab/>
        </w:r>
        <w:r>
          <w:rPr>
            <w:noProof/>
            <w:webHidden/>
          </w:rPr>
          <w:fldChar w:fldCharType="begin"/>
        </w:r>
        <w:r>
          <w:rPr>
            <w:noProof/>
            <w:webHidden/>
          </w:rPr>
          <w:instrText xml:space="preserve"> PAGEREF _Toc183764626 \h </w:instrText>
        </w:r>
        <w:r>
          <w:rPr>
            <w:noProof/>
            <w:webHidden/>
          </w:rPr>
        </w:r>
        <w:r>
          <w:rPr>
            <w:noProof/>
            <w:webHidden/>
          </w:rPr>
          <w:fldChar w:fldCharType="separate"/>
        </w:r>
        <w:r>
          <w:rPr>
            <w:noProof/>
            <w:webHidden/>
          </w:rPr>
          <w:t>4</w:t>
        </w:r>
        <w:r>
          <w:rPr>
            <w:noProof/>
            <w:webHidden/>
          </w:rPr>
          <w:fldChar w:fldCharType="end"/>
        </w:r>
      </w:hyperlink>
    </w:p>
    <w:p w14:paraId="3B03C333" w14:textId="6D96C0B6"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7" w:history="1">
        <w:r w:rsidRPr="00B01540">
          <w:rPr>
            <w:rStyle w:val="Hyperlnk"/>
            <w:rFonts w:eastAsia="MS Gothic"/>
            <w:noProof/>
          </w:rPr>
          <w:t>Epilepsi och P-piller</w:t>
        </w:r>
        <w:r>
          <w:rPr>
            <w:noProof/>
            <w:webHidden/>
          </w:rPr>
          <w:tab/>
        </w:r>
        <w:r>
          <w:rPr>
            <w:noProof/>
            <w:webHidden/>
          </w:rPr>
          <w:fldChar w:fldCharType="begin"/>
        </w:r>
        <w:r>
          <w:rPr>
            <w:noProof/>
            <w:webHidden/>
          </w:rPr>
          <w:instrText xml:space="preserve"> PAGEREF _Toc183764627 \h </w:instrText>
        </w:r>
        <w:r>
          <w:rPr>
            <w:noProof/>
            <w:webHidden/>
          </w:rPr>
        </w:r>
        <w:r>
          <w:rPr>
            <w:noProof/>
            <w:webHidden/>
          </w:rPr>
          <w:fldChar w:fldCharType="separate"/>
        </w:r>
        <w:r>
          <w:rPr>
            <w:noProof/>
            <w:webHidden/>
          </w:rPr>
          <w:t>4</w:t>
        </w:r>
        <w:r>
          <w:rPr>
            <w:noProof/>
            <w:webHidden/>
          </w:rPr>
          <w:fldChar w:fldCharType="end"/>
        </w:r>
      </w:hyperlink>
    </w:p>
    <w:p w14:paraId="1A644542" w14:textId="60B2995F"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8" w:history="1">
        <w:r w:rsidRPr="00B01540">
          <w:rPr>
            <w:rStyle w:val="Hyperlnk"/>
            <w:rFonts w:eastAsia="MS Gothic"/>
            <w:noProof/>
          </w:rPr>
          <w:t>Epilepsi och graviditet</w:t>
        </w:r>
        <w:r>
          <w:rPr>
            <w:noProof/>
            <w:webHidden/>
          </w:rPr>
          <w:tab/>
        </w:r>
        <w:r>
          <w:rPr>
            <w:noProof/>
            <w:webHidden/>
          </w:rPr>
          <w:fldChar w:fldCharType="begin"/>
        </w:r>
        <w:r>
          <w:rPr>
            <w:noProof/>
            <w:webHidden/>
          </w:rPr>
          <w:instrText xml:space="preserve"> PAGEREF _Toc183764628 \h </w:instrText>
        </w:r>
        <w:r>
          <w:rPr>
            <w:noProof/>
            <w:webHidden/>
          </w:rPr>
        </w:r>
        <w:r>
          <w:rPr>
            <w:noProof/>
            <w:webHidden/>
          </w:rPr>
          <w:fldChar w:fldCharType="separate"/>
        </w:r>
        <w:r>
          <w:rPr>
            <w:noProof/>
            <w:webHidden/>
          </w:rPr>
          <w:t>5</w:t>
        </w:r>
        <w:r>
          <w:rPr>
            <w:noProof/>
            <w:webHidden/>
          </w:rPr>
          <w:fldChar w:fldCharType="end"/>
        </w:r>
      </w:hyperlink>
    </w:p>
    <w:p w14:paraId="13C1C4A1" w14:textId="7CA198C3" w:rsidR="00822C88" w:rsidRDefault="00822C88">
      <w:pPr>
        <w:pStyle w:val="Innehll3"/>
        <w:rPr>
          <w:rFonts w:asciiTheme="minorHAnsi" w:eastAsiaTheme="minorEastAsia" w:hAnsiTheme="minorHAnsi" w:cstheme="minorBidi"/>
          <w:noProof/>
          <w:kern w:val="2"/>
          <w:sz w:val="22"/>
          <w:szCs w:val="22"/>
          <w14:ligatures w14:val="standardContextual"/>
        </w:rPr>
      </w:pPr>
      <w:hyperlink w:anchor="_Toc183764629" w:history="1">
        <w:r w:rsidRPr="00B01540">
          <w:rPr>
            <w:rStyle w:val="Hyperlnk"/>
            <w:rFonts w:eastAsia="MS Gothic"/>
            <w:noProof/>
          </w:rPr>
          <w:t>Specifika läkemedel</w:t>
        </w:r>
        <w:r>
          <w:rPr>
            <w:noProof/>
            <w:webHidden/>
          </w:rPr>
          <w:tab/>
        </w:r>
        <w:r>
          <w:rPr>
            <w:noProof/>
            <w:webHidden/>
          </w:rPr>
          <w:fldChar w:fldCharType="begin"/>
        </w:r>
        <w:r>
          <w:rPr>
            <w:noProof/>
            <w:webHidden/>
          </w:rPr>
          <w:instrText xml:space="preserve"> PAGEREF _Toc183764629 \h </w:instrText>
        </w:r>
        <w:r>
          <w:rPr>
            <w:noProof/>
            <w:webHidden/>
          </w:rPr>
        </w:r>
        <w:r>
          <w:rPr>
            <w:noProof/>
            <w:webHidden/>
          </w:rPr>
          <w:fldChar w:fldCharType="separate"/>
        </w:r>
        <w:r>
          <w:rPr>
            <w:noProof/>
            <w:webHidden/>
          </w:rPr>
          <w:t>5</w:t>
        </w:r>
        <w:r>
          <w:rPr>
            <w:noProof/>
            <w:webHidden/>
          </w:rPr>
          <w:fldChar w:fldCharType="end"/>
        </w:r>
      </w:hyperlink>
    </w:p>
    <w:p w14:paraId="0BA10B31" w14:textId="4542D14D" w:rsidR="00822C88" w:rsidRDefault="00822C88">
      <w:pPr>
        <w:pStyle w:val="Innehll2"/>
        <w:rPr>
          <w:rFonts w:asciiTheme="minorHAnsi" w:eastAsiaTheme="minorEastAsia" w:hAnsiTheme="minorHAnsi" w:cstheme="minorBidi"/>
          <w:noProof/>
          <w:kern w:val="2"/>
          <w:sz w:val="22"/>
          <w:szCs w:val="22"/>
          <w14:ligatures w14:val="standardContextual"/>
        </w:rPr>
      </w:pPr>
      <w:hyperlink w:anchor="_Toc183764630" w:history="1">
        <w:r w:rsidRPr="00B01540">
          <w:rPr>
            <w:rStyle w:val="Hyperlnk"/>
            <w:rFonts w:eastAsia="MS Gothic"/>
            <w:noProof/>
          </w:rPr>
          <w:t>Dokumentinformation</w:t>
        </w:r>
        <w:r>
          <w:rPr>
            <w:noProof/>
            <w:webHidden/>
          </w:rPr>
          <w:tab/>
        </w:r>
        <w:r>
          <w:rPr>
            <w:noProof/>
            <w:webHidden/>
          </w:rPr>
          <w:fldChar w:fldCharType="begin"/>
        </w:r>
        <w:r>
          <w:rPr>
            <w:noProof/>
            <w:webHidden/>
          </w:rPr>
          <w:instrText xml:space="preserve"> PAGEREF _Toc183764630 \h </w:instrText>
        </w:r>
        <w:r>
          <w:rPr>
            <w:noProof/>
            <w:webHidden/>
          </w:rPr>
        </w:r>
        <w:r>
          <w:rPr>
            <w:noProof/>
            <w:webHidden/>
          </w:rPr>
          <w:fldChar w:fldCharType="separate"/>
        </w:r>
        <w:r>
          <w:rPr>
            <w:noProof/>
            <w:webHidden/>
          </w:rPr>
          <w:t>7</w:t>
        </w:r>
        <w:r>
          <w:rPr>
            <w:noProof/>
            <w:webHidden/>
          </w:rPr>
          <w:fldChar w:fldCharType="end"/>
        </w:r>
      </w:hyperlink>
    </w:p>
    <w:p w14:paraId="3C36FAD8" w14:textId="4EB42769" w:rsidR="00822C88" w:rsidRDefault="00822C88">
      <w:pPr>
        <w:pStyle w:val="Innehll2"/>
        <w:rPr>
          <w:rFonts w:asciiTheme="minorHAnsi" w:eastAsiaTheme="minorEastAsia" w:hAnsiTheme="minorHAnsi" w:cstheme="minorBidi"/>
          <w:noProof/>
          <w:kern w:val="2"/>
          <w:sz w:val="22"/>
          <w:szCs w:val="22"/>
          <w14:ligatures w14:val="standardContextual"/>
        </w:rPr>
      </w:pPr>
      <w:hyperlink w:anchor="_Toc183764631" w:history="1">
        <w:r w:rsidRPr="00B01540">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_Toc183764631 \h </w:instrText>
        </w:r>
        <w:r>
          <w:rPr>
            <w:noProof/>
            <w:webHidden/>
          </w:rPr>
        </w:r>
        <w:r>
          <w:rPr>
            <w:noProof/>
            <w:webHidden/>
          </w:rPr>
          <w:fldChar w:fldCharType="separate"/>
        </w:r>
        <w:r>
          <w:rPr>
            <w:noProof/>
            <w:webHidden/>
          </w:rPr>
          <w:t>7</w:t>
        </w:r>
        <w:r>
          <w:rPr>
            <w:noProof/>
            <w:webHidden/>
          </w:rPr>
          <w:fldChar w:fldCharType="end"/>
        </w:r>
      </w:hyperlink>
    </w:p>
    <w:p w14:paraId="76B47908" w14:textId="2441F21C" w:rsidR="00EF0F7B" w:rsidRPr="00EF0F7B" w:rsidRDefault="00EF0F7B" w:rsidP="00D13B25">
      <w:pPr>
        <w:spacing w:after="160" w:line="240" w:lineRule="auto"/>
        <w:ind w:right="0"/>
        <w:rPr>
          <w:color w:val="0000FF"/>
          <w:szCs w:val="20"/>
          <w:u w:val="single"/>
        </w:rPr>
      </w:pPr>
      <w:r w:rsidRPr="00EF0F7B">
        <w:rPr>
          <w:color w:val="0000FF"/>
          <w:szCs w:val="20"/>
          <w:u w:val="single"/>
        </w:rPr>
        <w:fldChar w:fldCharType="end"/>
      </w:r>
    </w:p>
    <w:p w14:paraId="40A8DBE2" w14:textId="77777777" w:rsidR="00EF0F7B" w:rsidRPr="00EF0F7B" w:rsidRDefault="00EF0F7B" w:rsidP="005D457E">
      <w:pPr>
        <w:pStyle w:val="Rubrik2"/>
      </w:pPr>
      <w:bookmarkStart w:id="10" w:name="_Toc55550543"/>
      <w:bookmarkStart w:id="11" w:name="_Toc256000001"/>
      <w:bookmarkStart w:id="12" w:name="_Toc256000027"/>
      <w:bookmarkStart w:id="13" w:name="_Toc256000053"/>
      <w:bookmarkStart w:id="14" w:name="_Toc256000079"/>
      <w:bookmarkStart w:id="15" w:name="_Toc57882059"/>
      <w:bookmarkStart w:id="16" w:name="_Toc256000099"/>
      <w:bookmarkStart w:id="17" w:name="_Toc183764621"/>
      <w:r w:rsidRPr="00EF0F7B">
        <w:lastRenderedPageBreak/>
        <w:t>Förutsättningar</w:t>
      </w:r>
      <w:bookmarkEnd w:id="10"/>
      <w:bookmarkEnd w:id="11"/>
      <w:bookmarkEnd w:id="12"/>
      <w:bookmarkEnd w:id="13"/>
      <w:bookmarkEnd w:id="14"/>
      <w:bookmarkEnd w:id="15"/>
      <w:bookmarkEnd w:id="16"/>
      <w:bookmarkEnd w:id="17"/>
    </w:p>
    <w:p w14:paraId="29083A21" w14:textId="77777777" w:rsidR="00EF0F7B" w:rsidRPr="00EF0F7B" w:rsidRDefault="00EF0F7B" w:rsidP="005D457E">
      <w:r w:rsidRPr="00EF0F7B">
        <w:t>Epilepsi innebär förekomst av upprepade anfall som är oprovocerade och inte symptom på akut sjukdom eller skada.</w:t>
      </w:r>
    </w:p>
    <w:p w14:paraId="237A71CC" w14:textId="0A411A86" w:rsidR="00EF0F7B" w:rsidRPr="00592363" w:rsidRDefault="00EF0F7B" w:rsidP="00592363">
      <w:r w:rsidRPr="00EF0F7B">
        <w:t>I praktiken ges en person diagnosen epilepsi efter två oprovocerade anfall, men ett oprovocerat anfall är tillräckligt om risken för ytterligare oprovocerade anfall är stor. Risken att få fler kramper efter förstagångs kramp är 40 % men detta stiger till 70 % vid andra anfallet.</w:t>
      </w:r>
    </w:p>
    <w:p w14:paraId="2B6C53A3" w14:textId="77777777" w:rsidR="00EF0F7B" w:rsidRPr="00EF0F7B" w:rsidRDefault="00EF0F7B" w:rsidP="005D457E">
      <w:pPr>
        <w:pStyle w:val="Rubrik2"/>
      </w:pPr>
      <w:bookmarkStart w:id="18" w:name="_Toc55550544"/>
      <w:bookmarkStart w:id="19" w:name="_Toc256000002"/>
      <w:bookmarkStart w:id="20" w:name="_Toc256000028"/>
      <w:bookmarkStart w:id="21" w:name="_Toc256000054"/>
      <w:bookmarkStart w:id="22" w:name="_Toc256000080"/>
      <w:bookmarkStart w:id="23" w:name="_Toc57882060"/>
      <w:bookmarkStart w:id="24" w:name="_Toc256000100"/>
      <w:bookmarkStart w:id="25" w:name="_Toc183764622"/>
      <w:r w:rsidRPr="00EF0F7B">
        <w:t>Genomförande</w:t>
      </w:r>
      <w:bookmarkEnd w:id="18"/>
      <w:bookmarkEnd w:id="19"/>
      <w:bookmarkEnd w:id="20"/>
      <w:bookmarkEnd w:id="21"/>
      <w:bookmarkEnd w:id="22"/>
      <w:bookmarkEnd w:id="23"/>
      <w:bookmarkEnd w:id="24"/>
      <w:bookmarkEnd w:id="25"/>
    </w:p>
    <w:p w14:paraId="75D1545A" w14:textId="77777777" w:rsidR="00EF0F7B" w:rsidRPr="00EF0F7B" w:rsidRDefault="00EF0F7B" w:rsidP="005D457E">
      <w:pPr>
        <w:pStyle w:val="Rubrik3"/>
      </w:pPr>
      <w:bookmarkStart w:id="26" w:name="_Toc55550545"/>
      <w:bookmarkStart w:id="27" w:name="_Toc256000003"/>
      <w:bookmarkStart w:id="28" w:name="_Toc256000029"/>
      <w:bookmarkStart w:id="29" w:name="_Toc256000055"/>
      <w:bookmarkStart w:id="30" w:name="_Toc256000081"/>
      <w:bookmarkStart w:id="31" w:name="_Toc57882061"/>
      <w:bookmarkStart w:id="32" w:name="_Toc256000101"/>
      <w:bookmarkStart w:id="33" w:name="_Toc183764623"/>
      <w:r w:rsidRPr="00EF0F7B">
        <w:t>Klassifikation</w:t>
      </w:r>
      <w:bookmarkEnd w:id="26"/>
      <w:bookmarkEnd w:id="27"/>
      <w:bookmarkEnd w:id="28"/>
      <w:bookmarkEnd w:id="29"/>
      <w:bookmarkEnd w:id="30"/>
      <w:bookmarkEnd w:id="31"/>
      <w:bookmarkEnd w:id="32"/>
      <w:bookmarkEnd w:id="33"/>
    </w:p>
    <w:p w14:paraId="7A9DED1D" w14:textId="77777777" w:rsidR="00EF0F7B" w:rsidRPr="00EF0F7B" w:rsidRDefault="00EF0F7B" w:rsidP="005D457E">
      <w:r w:rsidRPr="00EF0F7B">
        <w:t xml:space="preserve">Behandling av epilepsi beror på anfallstyp och EEG-bilden. </w:t>
      </w:r>
    </w:p>
    <w:p w14:paraId="179E6B72" w14:textId="77777777" w:rsidR="00EF0F7B" w:rsidRPr="00EF0F7B" w:rsidRDefault="00EF0F7B" w:rsidP="005D457E">
      <w:r w:rsidRPr="00EF0F7B">
        <w:rPr>
          <w:b/>
          <w:bCs/>
        </w:rPr>
        <w:t>Generaliserade anfall</w:t>
      </w:r>
      <w:r w:rsidRPr="00EF0F7B">
        <w:t xml:space="preserve"> startar i hjärnans bilaterala nätverk och leder till en snabb spridning i båda hemisfärerna. Hela eller stora delar av hjärnbarken engageras. Tonisk-klonisk, absenser, myoclona, kloniska, toniska och atoniska anfall ingår i gruppen.</w:t>
      </w:r>
    </w:p>
    <w:p w14:paraId="338CBC45" w14:textId="3BF35065" w:rsidR="00EF0F7B" w:rsidRPr="00EF0F7B" w:rsidRDefault="00EF0F7B" w:rsidP="005D457E">
      <w:r w:rsidRPr="00EF0F7B">
        <w:rPr>
          <w:b/>
          <w:bCs/>
        </w:rPr>
        <w:t>Fokala anfall</w:t>
      </w:r>
      <w:r w:rsidRPr="00EF0F7B">
        <w:t xml:space="preserve"> startar i ett neuralt nätverk som är begränsad till ena hjärnhalvan. Anfallsaktiviteten kan vara begränsad till ett litet område eller vara mera spridd i hemisfären. Medvetandepåverkan kan förekomma när anfallsaktiviteten sprider sig.</w:t>
      </w:r>
    </w:p>
    <w:p w14:paraId="391F8453" w14:textId="77777777" w:rsidR="00EF0F7B" w:rsidRPr="00EF0F7B" w:rsidRDefault="00EF0F7B" w:rsidP="005D457E">
      <w:r w:rsidRPr="00EF0F7B">
        <w:rPr>
          <w:b/>
          <w:bCs/>
        </w:rPr>
        <w:t>Okänt om fokala eller generaliserade anfall.</w:t>
      </w:r>
      <w:r w:rsidRPr="00EF0F7B">
        <w:t xml:space="preserve"> I denna grupp hamnar infantila spasmer och andra anfallstyper där oklarhet råder om anfallen är fokala, generaliserade eller både och.</w:t>
      </w:r>
    </w:p>
    <w:p w14:paraId="09243527" w14:textId="77777777" w:rsidR="00EF0F7B" w:rsidRPr="00EF0F7B" w:rsidRDefault="00EF0F7B" w:rsidP="005D457E">
      <w:r w:rsidRPr="00EF0F7B">
        <w:t>Epilepsi kan klassificeras efter orsak</w:t>
      </w:r>
    </w:p>
    <w:p w14:paraId="4D17DA35" w14:textId="7CB152E6" w:rsidR="00EF0F7B" w:rsidRPr="00EF0F7B" w:rsidRDefault="00D91A2F" w:rsidP="005D457E">
      <w:pPr>
        <w:pStyle w:val="Punktlista"/>
        <w:ind w:left="1349"/>
      </w:pPr>
      <w:r>
        <w:t>g</w:t>
      </w:r>
      <w:r w:rsidR="00EF0F7B" w:rsidRPr="00EF0F7B">
        <w:t>enetisk epilepsi</w:t>
      </w:r>
    </w:p>
    <w:p w14:paraId="271AF035" w14:textId="045D007B" w:rsidR="00EF0F7B" w:rsidRPr="00EF0F7B" w:rsidRDefault="00D91A2F" w:rsidP="005D457E">
      <w:pPr>
        <w:pStyle w:val="Punktlista"/>
        <w:ind w:left="1349"/>
      </w:pPr>
      <w:r>
        <w:t>s</w:t>
      </w:r>
      <w:r w:rsidR="00EF0F7B" w:rsidRPr="00EF0F7B">
        <w:t>trukturell/metabol epilepsi</w:t>
      </w:r>
    </w:p>
    <w:p w14:paraId="4F7DE9A2" w14:textId="6DD2FDBF" w:rsidR="00EF0F7B" w:rsidRPr="00EF0F7B" w:rsidRDefault="00D91A2F" w:rsidP="005D457E">
      <w:pPr>
        <w:pStyle w:val="Punktlista"/>
        <w:ind w:left="1349"/>
      </w:pPr>
      <w:r>
        <w:t>e</w:t>
      </w:r>
      <w:r w:rsidR="00EF0F7B" w:rsidRPr="00EF0F7B">
        <w:t>pilepsi av okänd orsak</w:t>
      </w:r>
      <w:r>
        <w:t>.</w:t>
      </w:r>
    </w:p>
    <w:p w14:paraId="2C78D786" w14:textId="77777777" w:rsidR="00EF0F7B" w:rsidRPr="00EF0F7B" w:rsidRDefault="00EF0F7B" w:rsidP="005D457E">
      <w:pPr>
        <w:pStyle w:val="Rubrik3"/>
      </w:pPr>
      <w:bookmarkStart w:id="34" w:name="_Toc55550546"/>
      <w:bookmarkStart w:id="35" w:name="_Toc256000004"/>
      <w:bookmarkStart w:id="36" w:name="_Toc256000030"/>
      <w:bookmarkStart w:id="37" w:name="_Toc256000056"/>
      <w:bookmarkStart w:id="38" w:name="_Toc256000082"/>
      <w:bookmarkStart w:id="39" w:name="_Toc57882062"/>
      <w:bookmarkStart w:id="40" w:name="_Toc256000102"/>
      <w:bookmarkStart w:id="41" w:name="_Toc183764624"/>
      <w:r w:rsidRPr="00EF0F7B">
        <w:t>Farmakologisk behandling</w:t>
      </w:r>
      <w:bookmarkEnd w:id="34"/>
      <w:bookmarkEnd w:id="35"/>
      <w:bookmarkEnd w:id="36"/>
      <w:bookmarkEnd w:id="37"/>
      <w:bookmarkEnd w:id="38"/>
      <w:bookmarkEnd w:id="39"/>
      <w:bookmarkEnd w:id="40"/>
      <w:bookmarkEnd w:id="41"/>
    </w:p>
    <w:p w14:paraId="32F10A32" w14:textId="77777777" w:rsidR="00EF0F7B" w:rsidRPr="00EF0F7B" w:rsidRDefault="00EF0F7B" w:rsidP="005D457E">
      <w:pPr>
        <w:pStyle w:val="MellanrubrikVGR"/>
      </w:pPr>
      <w:bookmarkStart w:id="42" w:name="_Toc55550547"/>
      <w:bookmarkStart w:id="43" w:name="_Toc256000005"/>
      <w:bookmarkStart w:id="44" w:name="_Toc256000031"/>
      <w:bookmarkStart w:id="45" w:name="_Toc256000057"/>
      <w:bookmarkStart w:id="46" w:name="_Toc256000083"/>
      <w:bookmarkStart w:id="47" w:name="_Toc57882063"/>
      <w:bookmarkStart w:id="48" w:name="_Toc256000103"/>
      <w:r w:rsidRPr="00EF0F7B">
        <w:t>Inför behandlingen</w:t>
      </w:r>
      <w:bookmarkEnd w:id="42"/>
      <w:bookmarkEnd w:id="43"/>
      <w:bookmarkEnd w:id="44"/>
      <w:bookmarkEnd w:id="45"/>
      <w:bookmarkEnd w:id="46"/>
      <w:bookmarkEnd w:id="47"/>
      <w:bookmarkEnd w:id="48"/>
    </w:p>
    <w:p w14:paraId="6420E3D3" w14:textId="77777777" w:rsidR="00EF0F7B" w:rsidRPr="00EF0F7B" w:rsidRDefault="00EF0F7B" w:rsidP="005D457E">
      <w:r w:rsidRPr="00EF0F7B">
        <w:t>Indikation för behandling föreligger när nyttan av behandling förväntas överväga nackdelarna. Man behöver inte behandla barn som har haft ett enstaka epileptiskt anfall. Målet med behandling är att uppnå anfallsfrihet utan besvärande biverkningar. Val av läkemedel styrs av anfallstyp, epilepsisyndrom och etiologi. Av stor betydelse är också andra sjukdomar, kön, ålder, körkortsfrågor och annan medicinering</w:t>
      </w:r>
    </w:p>
    <w:p w14:paraId="5CD0F050" w14:textId="66C157E2" w:rsidR="00EF0F7B" w:rsidRPr="00EF0F7B" w:rsidRDefault="00EF0F7B" w:rsidP="005D457E">
      <w:r w:rsidRPr="00EF0F7B">
        <w:lastRenderedPageBreak/>
        <w:t>Samtalet om epilepsidiagnosen med familjen bör också täcka säkerhets</w:t>
      </w:r>
      <w:r w:rsidR="00D91A2F">
        <w:t>-</w:t>
      </w:r>
      <w:r w:rsidRPr="00EF0F7B">
        <w:t>aspekter av epilepsi (vatten och att bada, cykla, körkort, ljuskänslighet, sömn, alkohol och droger), akut behandling, planering inför graviditet och p-piller och yrkesval (om relevant).</w:t>
      </w:r>
    </w:p>
    <w:p w14:paraId="56A02506" w14:textId="77777777" w:rsidR="00EF0F7B" w:rsidRPr="00EF0F7B" w:rsidRDefault="00EF0F7B" w:rsidP="005D457E">
      <w:pPr>
        <w:pStyle w:val="MellanrubrikVGR"/>
      </w:pPr>
      <w:bookmarkStart w:id="49" w:name="_Toc55550548"/>
      <w:bookmarkStart w:id="50" w:name="_Toc256000006"/>
      <w:bookmarkStart w:id="51" w:name="_Toc256000032"/>
      <w:bookmarkStart w:id="52" w:name="_Toc256000058"/>
      <w:bookmarkStart w:id="53" w:name="_Toc256000084"/>
      <w:bookmarkStart w:id="54" w:name="_Toc57882064"/>
      <w:bookmarkStart w:id="55" w:name="_Toc256000104"/>
      <w:r w:rsidRPr="00EF0F7B">
        <w:t>Behandlingens genomförande</w:t>
      </w:r>
      <w:bookmarkEnd w:id="49"/>
      <w:bookmarkEnd w:id="50"/>
      <w:bookmarkEnd w:id="51"/>
      <w:bookmarkEnd w:id="52"/>
      <w:bookmarkEnd w:id="53"/>
      <w:bookmarkEnd w:id="54"/>
      <w:bookmarkEnd w:id="55"/>
    </w:p>
    <w:p w14:paraId="58B9299A" w14:textId="77777777" w:rsidR="00EF0F7B" w:rsidRPr="00EF0F7B" w:rsidRDefault="00EF0F7B" w:rsidP="005D457E">
      <w:r w:rsidRPr="00EF0F7B">
        <w:t>Behandling bör inledas med ett läkemedel (monoterapi) då majoriteten av patienterna blir anfallsfria med monoterapi.</w:t>
      </w:r>
    </w:p>
    <w:p w14:paraId="527DCB4A" w14:textId="4080C086" w:rsidR="00EF0F7B" w:rsidRPr="00EF0F7B" w:rsidRDefault="00EF0F7B" w:rsidP="005D457E">
      <w:r w:rsidRPr="00EF0F7B">
        <w:t>Det är viktigt att informera patienten och familjen om biverkningar. Regelbunden kontroll av laboratorieprover är inte motiverad men däremot bör relevanta (blodstatus, leverstatus och elektrolyter) prover kontrolleras före behandling och vid kliniska symptom av biverkningar. Serumkoncentrationer kan vara av värde vid terapisvikt, kompliance, interaktionsproblematik, misstanke om biverkningar och inför och under graviditet. Koncentrationer kan tas efter det att steady state nås och blodprov tas då före morgonmedicineringen.</w:t>
      </w:r>
    </w:p>
    <w:p w14:paraId="3EECC7A0" w14:textId="77777777" w:rsidR="00EF0F7B" w:rsidRPr="00EF0F7B" w:rsidRDefault="00EF0F7B" w:rsidP="005D457E">
      <w:pPr>
        <w:pStyle w:val="MellanrubrikVGR"/>
      </w:pPr>
      <w:bookmarkStart w:id="56" w:name="_Toc55550549"/>
      <w:bookmarkStart w:id="57" w:name="_Toc256000007"/>
      <w:bookmarkStart w:id="58" w:name="_Toc256000033"/>
      <w:bookmarkStart w:id="59" w:name="_Toc256000065"/>
      <w:bookmarkStart w:id="60" w:name="_Toc256000085"/>
      <w:bookmarkStart w:id="61" w:name="_Toc57882065"/>
      <w:bookmarkStart w:id="62" w:name="_Toc256000105"/>
      <w:r w:rsidRPr="00EF0F7B">
        <w:t>Avslutande av behandling</w:t>
      </w:r>
      <w:bookmarkEnd w:id="56"/>
      <w:bookmarkEnd w:id="57"/>
      <w:bookmarkEnd w:id="58"/>
      <w:bookmarkEnd w:id="59"/>
      <w:bookmarkEnd w:id="60"/>
      <w:bookmarkEnd w:id="61"/>
      <w:bookmarkEnd w:id="62"/>
    </w:p>
    <w:p w14:paraId="1CB314A0" w14:textId="26669A37" w:rsidR="00EF0F7B" w:rsidRPr="00EF0F7B" w:rsidRDefault="00EF0F7B" w:rsidP="005D457E">
      <w:r w:rsidRPr="00EF0F7B">
        <w:t>Efter ett till två års anfallsfrihet bör man överväga successiv utsättning av behandling. Särskilt hög risk av anfallsrecidiv föreligger vid vissa syndrom såsom juvenil absensepilepsi och juvenil myoklon epilepsi samt fokal epilepsi med strukturella orsaker. Körkort och andra individuella faktorer kan göra att man väljer att behålla behandling trots en längre tids anfallsfrihet.</w:t>
      </w:r>
    </w:p>
    <w:p w14:paraId="1D2B0D40" w14:textId="77777777" w:rsidR="00EF0F7B" w:rsidRPr="00EF0F7B" w:rsidRDefault="00EF0F7B" w:rsidP="005D457E">
      <w:pPr>
        <w:pStyle w:val="Rubrik3"/>
      </w:pPr>
      <w:bookmarkStart w:id="63" w:name="_Toc55550550"/>
      <w:bookmarkStart w:id="64" w:name="_Toc256000008"/>
      <w:bookmarkStart w:id="65" w:name="_Toc256000040"/>
      <w:bookmarkStart w:id="66" w:name="_Toc256000066"/>
      <w:bookmarkStart w:id="67" w:name="_Toc256000086"/>
      <w:bookmarkStart w:id="68" w:name="_Toc57882066"/>
      <w:bookmarkStart w:id="69" w:name="_Toc256000106"/>
      <w:bookmarkStart w:id="70" w:name="_Toc183764625"/>
      <w:r w:rsidRPr="00EF0F7B">
        <w:t>Terapival vid nydebuterad epilepsi</w:t>
      </w:r>
      <w:bookmarkEnd w:id="63"/>
      <w:bookmarkEnd w:id="64"/>
      <w:bookmarkEnd w:id="65"/>
      <w:bookmarkEnd w:id="66"/>
      <w:bookmarkEnd w:id="67"/>
      <w:bookmarkEnd w:id="68"/>
      <w:bookmarkEnd w:id="69"/>
      <w:bookmarkEnd w:id="70"/>
    </w:p>
    <w:p w14:paraId="17A822E6" w14:textId="77777777" w:rsidR="00EF0F7B" w:rsidRPr="00EF0F7B" w:rsidRDefault="00EF0F7B" w:rsidP="005D457E">
      <w:pPr>
        <w:pStyle w:val="MellanrubrikVGR"/>
      </w:pPr>
      <w:bookmarkStart w:id="71" w:name="_Toc429038359"/>
      <w:bookmarkStart w:id="72" w:name="_Toc256000009"/>
      <w:bookmarkStart w:id="73" w:name="_Toc256000034"/>
      <w:bookmarkStart w:id="74" w:name="_Toc256000059"/>
      <w:r w:rsidRPr="00EF0F7B">
        <w:t>Fokala anfall vid nydebuterad epilepsi</w:t>
      </w:r>
      <w:bookmarkEnd w:id="71"/>
      <w:bookmarkEnd w:id="72"/>
      <w:bookmarkEnd w:id="73"/>
      <w:bookmarkEnd w:id="74"/>
    </w:p>
    <w:p w14:paraId="284F9272" w14:textId="77777777" w:rsidR="00EF0F7B" w:rsidRPr="00EF0F7B" w:rsidRDefault="00EF0F7B" w:rsidP="005D457E">
      <w:r w:rsidRPr="00EF0F7B">
        <w:t>Karbamazepin (OBS! Risk för att personer med sydöstasiatiskt ursprung med viss HLA-typ att drabbas av Steven-Johnsons syndrom).</w:t>
      </w:r>
    </w:p>
    <w:p w14:paraId="0FB1DE6F" w14:textId="77777777" w:rsidR="00EF0F7B" w:rsidRPr="00EF0F7B" w:rsidRDefault="00EF0F7B" w:rsidP="005D457E">
      <w:r w:rsidRPr="00EF0F7B">
        <w:t>Lamotrigin</w:t>
      </w:r>
    </w:p>
    <w:p w14:paraId="35AEF296" w14:textId="77777777" w:rsidR="00EF0F7B" w:rsidRPr="00EF0F7B" w:rsidRDefault="00EF0F7B" w:rsidP="005D457E">
      <w:r w:rsidRPr="00EF0F7B">
        <w:t>Levetiracetam</w:t>
      </w:r>
    </w:p>
    <w:p w14:paraId="139D290E" w14:textId="77777777" w:rsidR="00EF0F7B" w:rsidRPr="00EF0F7B" w:rsidRDefault="00EF0F7B" w:rsidP="005D457E">
      <w:pPr>
        <w:pStyle w:val="MellanrubrikVGR"/>
      </w:pPr>
      <w:bookmarkStart w:id="75" w:name="_Toc429038360"/>
      <w:bookmarkStart w:id="76" w:name="_Toc256000010"/>
      <w:bookmarkStart w:id="77" w:name="_Toc256000035"/>
      <w:bookmarkStart w:id="78" w:name="_Toc256000060"/>
      <w:r w:rsidRPr="00EF0F7B">
        <w:t>Generaliserade anfall vid nydebuterad epilepsi</w:t>
      </w:r>
      <w:bookmarkEnd w:id="75"/>
      <w:bookmarkEnd w:id="76"/>
      <w:bookmarkEnd w:id="77"/>
      <w:bookmarkEnd w:id="78"/>
    </w:p>
    <w:p w14:paraId="0F3CB948" w14:textId="77777777" w:rsidR="00EF0F7B" w:rsidRPr="00EF0F7B" w:rsidRDefault="00EF0F7B" w:rsidP="005D457E">
      <w:r w:rsidRPr="00EF0F7B">
        <w:t>Lamotrigin</w:t>
      </w:r>
    </w:p>
    <w:p w14:paraId="279CC5AA" w14:textId="77777777" w:rsidR="00EF0F7B" w:rsidRPr="00EF0F7B" w:rsidRDefault="00EF0F7B" w:rsidP="005D457E">
      <w:r w:rsidRPr="00EF0F7B">
        <w:t>Levetiracetam</w:t>
      </w:r>
    </w:p>
    <w:p w14:paraId="4457E1AD" w14:textId="77777777" w:rsidR="00EF0F7B" w:rsidRPr="00EF0F7B" w:rsidRDefault="00EF0F7B" w:rsidP="005D457E">
      <w:r w:rsidRPr="00EF0F7B">
        <w:t>Valproat (inte till flickor &gt;10 år)</w:t>
      </w:r>
    </w:p>
    <w:p w14:paraId="7A79784B" w14:textId="77777777" w:rsidR="00EF0F7B" w:rsidRPr="00EF0F7B" w:rsidRDefault="00EF0F7B" w:rsidP="005D457E">
      <w:pPr>
        <w:pStyle w:val="MellanrubrikVGR"/>
      </w:pPr>
      <w:bookmarkStart w:id="79" w:name="_Toc429038361"/>
      <w:bookmarkStart w:id="80" w:name="_Toc256000011"/>
      <w:bookmarkStart w:id="81" w:name="_Toc256000036"/>
      <w:bookmarkStart w:id="82" w:name="_Toc256000061"/>
      <w:r w:rsidRPr="00EF0F7B">
        <w:lastRenderedPageBreak/>
        <w:t>Nydebuterad barnabsens</w:t>
      </w:r>
      <w:bookmarkEnd w:id="79"/>
      <w:bookmarkEnd w:id="80"/>
      <w:bookmarkEnd w:id="81"/>
      <w:bookmarkEnd w:id="82"/>
    </w:p>
    <w:p w14:paraId="2108DC45" w14:textId="77777777" w:rsidR="00EF0F7B" w:rsidRPr="00EF0F7B" w:rsidRDefault="00EF0F7B" w:rsidP="005D457E">
      <w:r w:rsidRPr="00EF0F7B">
        <w:t>Etosuximid (förstahandsval)</w:t>
      </w:r>
    </w:p>
    <w:p w14:paraId="6BF702D4" w14:textId="77777777" w:rsidR="00EF0F7B" w:rsidRPr="00EF0F7B" w:rsidRDefault="00EF0F7B" w:rsidP="005D457E">
      <w:r w:rsidRPr="00EF0F7B">
        <w:t>Lamotrigin</w:t>
      </w:r>
    </w:p>
    <w:p w14:paraId="7E346EF4" w14:textId="77777777" w:rsidR="00EF0F7B" w:rsidRPr="00EF0F7B" w:rsidRDefault="00EF0F7B" w:rsidP="005D457E">
      <w:bookmarkStart w:id="83" w:name="_Toc429038362"/>
      <w:bookmarkStart w:id="84" w:name="_Toc256000012"/>
      <w:bookmarkStart w:id="85" w:name="_Toc256000037"/>
      <w:bookmarkStart w:id="86" w:name="_Toc256000062"/>
      <w:r w:rsidRPr="00EF0F7B">
        <w:t>Valproat (inte till flickor &gt;10 år)</w:t>
      </w:r>
    </w:p>
    <w:p w14:paraId="3C91953B" w14:textId="77777777" w:rsidR="00EF0F7B" w:rsidRPr="00EF0F7B" w:rsidRDefault="00EF0F7B" w:rsidP="005D457E">
      <w:pPr>
        <w:pStyle w:val="MellanrubrikVGR"/>
      </w:pPr>
      <w:r w:rsidRPr="00EF0F7B">
        <w:t>Terapival vid behandlingsvikt</w:t>
      </w:r>
      <w:bookmarkEnd w:id="83"/>
      <w:bookmarkEnd w:id="84"/>
      <w:bookmarkEnd w:id="85"/>
      <w:bookmarkEnd w:id="86"/>
    </w:p>
    <w:p w14:paraId="3816C563" w14:textId="77777777" w:rsidR="00EF0F7B" w:rsidRPr="00EF0F7B" w:rsidRDefault="00EF0F7B" w:rsidP="005D457E">
      <w:r w:rsidRPr="00EF0F7B">
        <w:t xml:space="preserve">Vid behandlingsvikt på första valda monterapi provas i första hand alternativ monoterapi, i andra hand kombinationsbehandling. </w:t>
      </w:r>
      <w:r w:rsidRPr="00EF0F7B">
        <w:rPr>
          <w:b/>
          <w:bCs/>
        </w:rPr>
        <w:t>Diskutera med en barnneurolog.</w:t>
      </w:r>
    </w:p>
    <w:p w14:paraId="5C9F2F58" w14:textId="77777777" w:rsidR="00EF0F7B" w:rsidRPr="00EF0F7B" w:rsidRDefault="00EF0F7B" w:rsidP="005D457E">
      <w:pPr>
        <w:pStyle w:val="MellanrubrikVGR"/>
      </w:pPr>
      <w:bookmarkStart w:id="87" w:name="_Toc429038363"/>
      <w:bookmarkStart w:id="88" w:name="_Toc256000013"/>
      <w:bookmarkStart w:id="89" w:name="_Toc256000038"/>
      <w:bookmarkStart w:id="90" w:name="_Toc256000063"/>
      <w:r w:rsidRPr="00EF0F7B">
        <w:t>Alternativa läkemedel vid fokala anfall</w:t>
      </w:r>
      <w:bookmarkEnd w:id="87"/>
      <w:bookmarkEnd w:id="88"/>
      <w:bookmarkEnd w:id="89"/>
      <w:bookmarkEnd w:id="90"/>
    </w:p>
    <w:p w14:paraId="61E82EA4" w14:textId="77777777" w:rsidR="00EF0F7B" w:rsidRPr="00EF0F7B" w:rsidRDefault="00EF0F7B" w:rsidP="005D457E">
      <w:r w:rsidRPr="00EF0F7B">
        <w:t>Oxkarbazepin</w:t>
      </w:r>
    </w:p>
    <w:p w14:paraId="23522418" w14:textId="77777777" w:rsidR="00EF0F7B" w:rsidRPr="00EF0F7B" w:rsidRDefault="00EF0F7B" w:rsidP="005D457E">
      <w:r w:rsidRPr="00EF0F7B">
        <w:t>Topiramat</w:t>
      </w:r>
    </w:p>
    <w:p w14:paraId="213F7062" w14:textId="77777777" w:rsidR="00EF0F7B" w:rsidRPr="00EF0F7B" w:rsidRDefault="00EF0F7B" w:rsidP="005D457E">
      <w:r w:rsidRPr="00EF0F7B">
        <w:t>Valproat (inte till flickor &gt;10 år)</w:t>
      </w:r>
    </w:p>
    <w:p w14:paraId="19C713E7" w14:textId="77777777" w:rsidR="00EF0F7B" w:rsidRPr="00EF0F7B" w:rsidRDefault="00EF0F7B" w:rsidP="005D457E">
      <w:pPr>
        <w:pStyle w:val="MellanrubrikVGR"/>
      </w:pPr>
      <w:bookmarkStart w:id="91" w:name="_Toc429038364"/>
      <w:bookmarkStart w:id="92" w:name="_Toc256000014"/>
      <w:bookmarkStart w:id="93" w:name="_Toc256000039"/>
      <w:bookmarkStart w:id="94" w:name="_Toc256000064"/>
      <w:r w:rsidRPr="00EF0F7B">
        <w:t>Alternativa läkemedel vid generaliserade anfall</w:t>
      </w:r>
      <w:bookmarkEnd w:id="91"/>
      <w:bookmarkEnd w:id="92"/>
      <w:bookmarkEnd w:id="93"/>
      <w:bookmarkEnd w:id="94"/>
      <w:r w:rsidRPr="00EF0F7B">
        <w:t xml:space="preserve"> </w:t>
      </w:r>
    </w:p>
    <w:p w14:paraId="05535685" w14:textId="77777777" w:rsidR="00EF0F7B" w:rsidRPr="00EF0F7B" w:rsidRDefault="00EF0F7B" w:rsidP="005D457E">
      <w:bookmarkStart w:id="95" w:name="_Toc55550551"/>
      <w:bookmarkStart w:id="96" w:name="_Toc256000015"/>
      <w:bookmarkStart w:id="97" w:name="_Toc256000041"/>
      <w:bookmarkStart w:id="98" w:name="_Toc256000067"/>
      <w:bookmarkStart w:id="99" w:name="_Toc256000087"/>
      <w:r w:rsidRPr="00EF0F7B">
        <w:t>Topiramat</w:t>
      </w:r>
    </w:p>
    <w:p w14:paraId="692AD85F" w14:textId="77777777" w:rsidR="00EF0F7B" w:rsidRPr="00EF0F7B" w:rsidRDefault="00EF0F7B" w:rsidP="005D457E">
      <w:pPr>
        <w:pStyle w:val="Rubrik3"/>
      </w:pPr>
      <w:bookmarkStart w:id="100" w:name="_Toc57882067"/>
      <w:bookmarkStart w:id="101" w:name="_Toc256000107"/>
      <w:bookmarkStart w:id="102" w:name="_Toc183764626"/>
      <w:r w:rsidRPr="00EF0F7B">
        <w:t>Behandling av vissa epilepsisyndrom</w:t>
      </w:r>
      <w:bookmarkEnd w:id="95"/>
      <w:bookmarkEnd w:id="96"/>
      <w:bookmarkEnd w:id="97"/>
      <w:bookmarkEnd w:id="98"/>
      <w:bookmarkEnd w:id="99"/>
      <w:bookmarkEnd w:id="100"/>
      <w:bookmarkEnd w:id="101"/>
      <w:bookmarkEnd w:id="102"/>
    </w:p>
    <w:p w14:paraId="2BBBAD39" w14:textId="484AC6BE" w:rsidR="00EF0F7B" w:rsidRPr="00EF0F7B" w:rsidRDefault="00EF0F7B" w:rsidP="005D457E">
      <w:r w:rsidRPr="00EF0F7B">
        <w:rPr>
          <w:b/>
          <w:bCs/>
        </w:rPr>
        <w:t>Rolandisk epilepsi/ benign barnepilepsi med centrotemporala spikes;</w:t>
      </w:r>
      <w:r w:rsidRPr="00EF0F7B">
        <w:t xml:space="preserve"> avvakta med behandling i den typiska situationen med få anfall. Vid frekventa anfall kan oxkarbazepin, karbemazepin eller lamotrigin rekommenderas.</w:t>
      </w:r>
    </w:p>
    <w:p w14:paraId="59F12F15" w14:textId="570802A1" w:rsidR="00EF0F7B" w:rsidRPr="00EF0F7B" w:rsidRDefault="00EF0F7B" w:rsidP="005D457E">
      <w:r w:rsidRPr="00EF0F7B">
        <w:rPr>
          <w:b/>
          <w:bCs/>
        </w:rPr>
        <w:t>Absensepilepsi i barndomen (CAE);</w:t>
      </w:r>
      <w:r w:rsidRPr="00EF0F7B">
        <w:t xml:space="preserve"> Etosuximid har bättre biverkningsprofil än valproat men har ingen effekt på associerade generaliserade kramper. Vid terapisvikt kan valproat och etosuximid kombineras. Vissa antiepileptika (t.ex. fenytoin, karbamazepin och oxkarbazepin) kan förvärra anfallssituationen.</w:t>
      </w:r>
    </w:p>
    <w:p w14:paraId="14A82E7E" w14:textId="4EAAB8C0" w:rsidR="00EF0F7B" w:rsidRPr="00EF0F7B" w:rsidRDefault="00EF0F7B" w:rsidP="005D457E">
      <w:r w:rsidRPr="00EF0F7B">
        <w:rPr>
          <w:b/>
          <w:bCs/>
        </w:rPr>
        <w:t>Juvenil myoklon epilepsi;</w:t>
      </w:r>
      <w:r w:rsidRPr="00EF0F7B">
        <w:t xml:space="preserve"> valproate rekommenderas som förstahandsmedel. Valproats biverkningsprofil bör beaktas hos tonårsflickor. Alternativa läkemedel är lamotrigen, levetiracetam och topiramt. Vissa antiepileptika (fenytoin, karbamazepin och oxkarbazepin) kan provocera myoclonier och absenser.</w:t>
      </w:r>
    </w:p>
    <w:p w14:paraId="130C66E7" w14:textId="77777777" w:rsidR="00EF0F7B" w:rsidRPr="00EF0F7B" w:rsidRDefault="00EF0F7B" w:rsidP="005D457E">
      <w:pPr>
        <w:pStyle w:val="Rubrik3"/>
      </w:pPr>
      <w:bookmarkStart w:id="103" w:name="_Toc55550552"/>
      <w:bookmarkStart w:id="104" w:name="_Toc256000016"/>
      <w:bookmarkStart w:id="105" w:name="_Toc256000042"/>
      <w:bookmarkStart w:id="106" w:name="_Toc256000068"/>
      <w:bookmarkStart w:id="107" w:name="_Toc256000088"/>
      <w:bookmarkStart w:id="108" w:name="_Toc57882068"/>
      <w:bookmarkStart w:id="109" w:name="_Toc256000108"/>
      <w:bookmarkStart w:id="110" w:name="_Toc183764627"/>
      <w:r w:rsidRPr="00EF0F7B">
        <w:t>Epilepsi och P-piller</w:t>
      </w:r>
      <w:bookmarkEnd w:id="103"/>
      <w:bookmarkEnd w:id="104"/>
      <w:bookmarkEnd w:id="105"/>
      <w:bookmarkEnd w:id="106"/>
      <w:bookmarkEnd w:id="107"/>
      <w:bookmarkEnd w:id="108"/>
      <w:bookmarkEnd w:id="109"/>
      <w:bookmarkEnd w:id="110"/>
    </w:p>
    <w:p w14:paraId="5DD45833" w14:textId="77777777" w:rsidR="00EF0F7B" w:rsidRPr="00EF0F7B" w:rsidRDefault="00EF0F7B" w:rsidP="005D457E">
      <w:r w:rsidRPr="00EF0F7B">
        <w:t>Anti-epileptisk medicinering kan påverka effekten av antikonception (kombi-nationspiller, gestagenpiller och implantat). De har ingen effekt på hormonspiral, barriärmetoder eller depo-provera.</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3163"/>
      </w:tblGrid>
      <w:tr w:rsidR="00EF0F7B" w:rsidRPr="00EF0F7B" w14:paraId="357AED1C" w14:textId="77777777" w:rsidTr="00592363">
        <w:tc>
          <w:tcPr>
            <w:tcW w:w="2954" w:type="dxa"/>
            <w:shd w:val="clear" w:color="auto" w:fill="D9D9D9" w:themeFill="background1" w:themeFillShade="D9"/>
          </w:tcPr>
          <w:p w14:paraId="364883C8" w14:textId="77777777" w:rsidR="00EF0F7B" w:rsidRPr="00EF0F7B" w:rsidRDefault="00EF0F7B" w:rsidP="00EF0F7B">
            <w:pPr>
              <w:spacing w:after="160" w:line="240" w:lineRule="auto"/>
              <w:ind w:left="0" w:right="0"/>
              <w:rPr>
                <w:szCs w:val="20"/>
              </w:rPr>
            </w:pPr>
            <w:r w:rsidRPr="00EF0F7B">
              <w:rPr>
                <w:szCs w:val="20"/>
              </w:rPr>
              <w:lastRenderedPageBreak/>
              <w:t>Påverkar p-piller</w:t>
            </w:r>
          </w:p>
        </w:tc>
        <w:tc>
          <w:tcPr>
            <w:tcW w:w="3163" w:type="dxa"/>
            <w:shd w:val="clear" w:color="auto" w:fill="D9D9D9" w:themeFill="background1" w:themeFillShade="D9"/>
          </w:tcPr>
          <w:p w14:paraId="16F44EAC" w14:textId="77777777" w:rsidR="00EF0F7B" w:rsidRPr="00EF0F7B" w:rsidRDefault="00EF0F7B" w:rsidP="00EF0F7B">
            <w:pPr>
              <w:spacing w:after="160" w:line="240" w:lineRule="auto"/>
              <w:ind w:left="0" w:right="0"/>
              <w:rPr>
                <w:szCs w:val="20"/>
              </w:rPr>
            </w:pPr>
            <w:r w:rsidRPr="00EF0F7B">
              <w:rPr>
                <w:szCs w:val="20"/>
              </w:rPr>
              <w:t>Påverkar inte p-piller</w:t>
            </w:r>
          </w:p>
        </w:tc>
      </w:tr>
      <w:tr w:rsidR="00EF0F7B" w:rsidRPr="00EF0F7B" w14:paraId="4B6E4D7D" w14:textId="77777777" w:rsidTr="005D457E">
        <w:tc>
          <w:tcPr>
            <w:tcW w:w="2954" w:type="dxa"/>
            <w:shd w:val="clear" w:color="auto" w:fill="auto"/>
          </w:tcPr>
          <w:p w14:paraId="47E70FBB" w14:textId="77777777" w:rsidR="00EF0F7B" w:rsidRPr="00EF0F7B" w:rsidRDefault="00EF0F7B" w:rsidP="00EF0F7B">
            <w:pPr>
              <w:spacing w:after="160" w:line="240" w:lineRule="auto"/>
              <w:ind w:left="0" w:right="0"/>
              <w:rPr>
                <w:szCs w:val="20"/>
              </w:rPr>
            </w:pPr>
            <w:r w:rsidRPr="00EF0F7B">
              <w:rPr>
                <w:szCs w:val="20"/>
              </w:rPr>
              <w:t>Karbamazepin</w:t>
            </w:r>
          </w:p>
          <w:p w14:paraId="06535A7E" w14:textId="77777777" w:rsidR="00EF0F7B" w:rsidRPr="00EF0F7B" w:rsidRDefault="00EF0F7B" w:rsidP="00EF0F7B">
            <w:pPr>
              <w:spacing w:after="160" w:line="240" w:lineRule="auto"/>
              <w:ind w:left="0" w:right="0"/>
              <w:rPr>
                <w:szCs w:val="20"/>
              </w:rPr>
            </w:pPr>
            <w:r w:rsidRPr="00EF0F7B">
              <w:rPr>
                <w:szCs w:val="20"/>
              </w:rPr>
              <w:t>Fenytoin</w:t>
            </w:r>
          </w:p>
          <w:p w14:paraId="46C35A48" w14:textId="77777777" w:rsidR="00EF0F7B" w:rsidRPr="00EF0F7B" w:rsidRDefault="00EF0F7B" w:rsidP="00EF0F7B">
            <w:pPr>
              <w:spacing w:after="160" w:line="240" w:lineRule="auto"/>
              <w:ind w:left="0" w:right="0"/>
              <w:rPr>
                <w:szCs w:val="20"/>
              </w:rPr>
            </w:pPr>
            <w:r w:rsidRPr="00EF0F7B">
              <w:rPr>
                <w:szCs w:val="20"/>
              </w:rPr>
              <w:t>Oxkarbazepin</w:t>
            </w:r>
          </w:p>
          <w:p w14:paraId="4F6B5313" w14:textId="77777777" w:rsidR="00EF0F7B" w:rsidRPr="00EF0F7B" w:rsidRDefault="00EF0F7B" w:rsidP="00EF0F7B">
            <w:pPr>
              <w:spacing w:after="160" w:line="240" w:lineRule="auto"/>
              <w:ind w:left="0" w:right="0"/>
              <w:rPr>
                <w:szCs w:val="20"/>
              </w:rPr>
            </w:pPr>
            <w:r w:rsidRPr="00EF0F7B">
              <w:rPr>
                <w:szCs w:val="20"/>
              </w:rPr>
              <w:t>Topiramat</w:t>
            </w:r>
          </w:p>
        </w:tc>
        <w:tc>
          <w:tcPr>
            <w:tcW w:w="3163" w:type="dxa"/>
            <w:shd w:val="clear" w:color="auto" w:fill="auto"/>
          </w:tcPr>
          <w:p w14:paraId="635ECE5A" w14:textId="77777777" w:rsidR="00EF0F7B" w:rsidRPr="00EF0F7B" w:rsidRDefault="00EF0F7B" w:rsidP="00EF0F7B">
            <w:pPr>
              <w:spacing w:after="160" w:line="240" w:lineRule="auto"/>
              <w:ind w:left="0" w:right="0"/>
              <w:rPr>
                <w:szCs w:val="20"/>
              </w:rPr>
            </w:pPr>
            <w:r w:rsidRPr="00EF0F7B">
              <w:rPr>
                <w:szCs w:val="20"/>
              </w:rPr>
              <w:t>Valproat</w:t>
            </w:r>
          </w:p>
          <w:p w14:paraId="471F335A" w14:textId="77777777" w:rsidR="00EF0F7B" w:rsidRPr="00EF0F7B" w:rsidRDefault="00EF0F7B" w:rsidP="00EF0F7B">
            <w:pPr>
              <w:spacing w:after="160" w:line="240" w:lineRule="auto"/>
              <w:ind w:left="0" w:right="0"/>
              <w:rPr>
                <w:szCs w:val="20"/>
              </w:rPr>
            </w:pPr>
            <w:r w:rsidRPr="00EF0F7B">
              <w:rPr>
                <w:szCs w:val="20"/>
              </w:rPr>
              <w:t>Levetiracetam</w:t>
            </w:r>
          </w:p>
          <w:p w14:paraId="1301E9AD" w14:textId="77777777" w:rsidR="00EF0F7B" w:rsidRPr="00EF0F7B" w:rsidRDefault="00EF0F7B" w:rsidP="00EF0F7B">
            <w:pPr>
              <w:spacing w:after="160" w:line="240" w:lineRule="auto"/>
              <w:ind w:left="0" w:right="0"/>
              <w:rPr>
                <w:szCs w:val="20"/>
              </w:rPr>
            </w:pPr>
            <w:r w:rsidRPr="00EF0F7B">
              <w:rPr>
                <w:szCs w:val="20"/>
              </w:rPr>
              <w:t>Benzodiazepiner</w:t>
            </w:r>
          </w:p>
        </w:tc>
      </w:tr>
    </w:tbl>
    <w:p w14:paraId="619FA4BA" w14:textId="77777777" w:rsidR="00EF0F7B" w:rsidRPr="00EF0F7B" w:rsidRDefault="00EF0F7B" w:rsidP="00EF0F7B">
      <w:pPr>
        <w:spacing w:after="160" w:line="240" w:lineRule="auto"/>
        <w:ind w:left="2676" w:right="0"/>
        <w:rPr>
          <w:szCs w:val="20"/>
        </w:rPr>
      </w:pPr>
    </w:p>
    <w:p w14:paraId="447F5820" w14:textId="77777777" w:rsidR="00EF0F7B" w:rsidRPr="00EF0F7B" w:rsidRDefault="00EF0F7B" w:rsidP="005D457E">
      <w:r w:rsidRPr="00EF0F7B">
        <w:t>Estradiolinnehållande p-piller inducerar lamotrigin vars serumkoncentrationer kan sjunka upp till 50 %. Effekten sätter in och avtar snabbt och därför kan en p-pillerfri vecka orsaka förhöjda lamotriginnivåer. Cerazette (gestagen) är lika effektiv som kombinationspiller och tas kontinuerligt. Koncentrationen av lamotrigin kan tas innan och efter insättande för att värdera om dosökning behövs.</w:t>
      </w:r>
    </w:p>
    <w:p w14:paraId="64649452" w14:textId="77777777" w:rsidR="00EF0F7B" w:rsidRPr="00EF0F7B" w:rsidRDefault="00EF0F7B" w:rsidP="005D457E">
      <w:pPr>
        <w:pStyle w:val="Rubrik3"/>
      </w:pPr>
      <w:bookmarkStart w:id="111" w:name="_Toc55550553"/>
      <w:bookmarkStart w:id="112" w:name="_Toc256000017"/>
      <w:bookmarkStart w:id="113" w:name="_Toc256000043"/>
      <w:bookmarkStart w:id="114" w:name="_Toc256000069"/>
      <w:bookmarkStart w:id="115" w:name="_Toc256000089"/>
      <w:bookmarkStart w:id="116" w:name="_Toc57882069"/>
      <w:bookmarkStart w:id="117" w:name="_Toc256000109"/>
      <w:bookmarkStart w:id="118" w:name="_Toc183764628"/>
      <w:r w:rsidRPr="00EF0F7B">
        <w:t>Epilepsi och graviditet</w:t>
      </w:r>
      <w:bookmarkEnd w:id="111"/>
      <w:bookmarkEnd w:id="112"/>
      <w:bookmarkEnd w:id="113"/>
      <w:bookmarkEnd w:id="114"/>
      <w:bookmarkEnd w:id="115"/>
      <w:bookmarkEnd w:id="116"/>
      <w:bookmarkEnd w:id="117"/>
      <w:bookmarkEnd w:id="118"/>
    </w:p>
    <w:p w14:paraId="019AFFAF" w14:textId="067E738C" w:rsidR="00EF0F7B" w:rsidRPr="00EF0F7B" w:rsidRDefault="00EF0F7B" w:rsidP="005D457E">
      <w:r w:rsidRPr="00EF0F7B">
        <w:t>När man väljer preparat till en tonårig flicka bör hänsyn tas till eventuell framtida graviditet. Risken för missbildningar ökar med valproat och karmamazepin. Lamotrigin och levetiracetam bedöms vara mindre teratogena. Hög dos folatsyra rekommenderas inför planerad graviditet (evidens saknas för effekt).</w:t>
      </w:r>
    </w:p>
    <w:p w14:paraId="324F93A6" w14:textId="77777777" w:rsidR="00EF0F7B" w:rsidRPr="00EF0F7B" w:rsidRDefault="00EF0F7B" w:rsidP="005D457E">
      <w:pPr>
        <w:pStyle w:val="Rubrik3"/>
      </w:pPr>
      <w:bookmarkStart w:id="119" w:name="_Toc55550554"/>
      <w:bookmarkStart w:id="120" w:name="_Toc256000018"/>
      <w:bookmarkStart w:id="121" w:name="_Toc256000044"/>
      <w:bookmarkStart w:id="122" w:name="_Toc256000070"/>
      <w:bookmarkStart w:id="123" w:name="_Toc256000090"/>
      <w:bookmarkStart w:id="124" w:name="_Toc57882070"/>
      <w:bookmarkStart w:id="125" w:name="_Toc256000110"/>
      <w:bookmarkStart w:id="126" w:name="_Toc183764629"/>
      <w:r w:rsidRPr="00EF0F7B">
        <w:t>Specifika läkemedel</w:t>
      </w:r>
      <w:bookmarkEnd w:id="119"/>
      <w:bookmarkEnd w:id="120"/>
      <w:bookmarkEnd w:id="121"/>
      <w:bookmarkEnd w:id="122"/>
      <w:bookmarkEnd w:id="123"/>
      <w:bookmarkEnd w:id="124"/>
      <w:bookmarkEnd w:id="125"/>
      <w:bookmarkEnd w:id="126"/>
    </w:p>
    <w:p w14:paraId="31E00E30" w14:textId="77777777" w:rsidR="00EF0F7B" w:rsidRPr="00EF0F7B" w:rsidRDefault="00EF0F7B" w:rsidP="005D457E">
      <w:r w:rsidRPr="00EF0F7B">
        <w:t xml:space="preserve">Se </w:t>
      </w:r>
      <w:hyperlink r:id="rId17" w:history="1">
        <w:r w:rsidRPr="00EF0F7B">
          <w:rPr>
            <w:color w:val="0000FF"/>
            <w:u w:val="single"/>
          </w:rPr>
          <w:t>www.fass.se</w:t>
        </w:r>
      </w:hyperlink>
      <w:r w:rsidRPr="00EF0F7B">
        <w:t xml:space="preserve"> för doseringsanvisning och biverkningsprofil.</w:t>
      </w:r>
    </w:p>
    <w:p w14:paraId="7B8D2655" w14:textId="77777777" w:rsidR="00EF0F7B" w:rsidRPr="00EF0F7B" w:rsidRDefault="00EF0F7B" w:rsidP="005D457E">
      <w:pPr>
        <w:pStyle w:val="MellanrubrikVGR"/>
      </w:pPr>
      <w:bookmarkStart w:id="127" w:name="_Toc55550555"/>
      <w:bookmarkStart w:id="128" w:name="_Toc256000019"/>
      <w:bookmarkStart w:id="129" w:name="_Toc256000045"/>
      <w:bookmarkStart w:id="130" w:name="_Toc256000071"/>
      <w:bookmarkStart w:id="131" w:name="_Toc256000091"/>
      <w:bookmarkStart w:id="132" w:name="_Toc57882071"/>
      <w:bookmarkStart w:id="133" w:name="_Toc256000111"/>
      <w:r w:rsidRPr="00EF0F7B">
        <w:t>Substans namn; Valproinsyra, valproat</w:t>
      </w:r>
      <w:bookmarkEnd w:id="127"/>
      <w:bookmarkEnd w:id="128"/>
      <w:bookmarkEnd w:id="129"/>
      <w:bookmarkEnd w:id="130"/>
      <w:bookmarkEnd w:id="131"/>
      <w:bookmarkEnd w:id="132"/>
      <w:bookmarkEnd w:id="133"/>
    </w:p>
    <w:p w14:paraId="710479BC" w14:textId="3C237483" w:rsidR="00EF0F7B" w:rsidRPr="00EF0F7B" w:rsidRDefault="00EF0F7B" w:rsidP="005D457E">
      <w:r w:rsidRPr="00EF0F7B">
        <w:t>Läkemedels namn; absenor, orfiril, ergenyl</w:t>
      </w:r>
      <w:r w:rsidR="00016998">
        <w:t>.</w:t>
      </w:r>
    </w:p>
    <w:p w14:paraId="53BF0447" w14:textId="1A5372DA" w:rsidR="00EF0F7B" w:rsidRPr="00EF0F7B" w:rsidRDefault="00EF0F7B" w:rsidP="005D457E">
      <w:r w:rsidRPr="00EF0F7B">
        <w:t>Tänk på att börja med låg dos. Vid barn under 20 kg börja med</w:t>
      </w:r>
      <w:r w:rsidR="00016998">
        <w:t xml:space="preserve"> </w:t>
      </w:r>
      <w:r w:rsidR="00016998">
        <w:br/>
      </w:r>
      <w:r w:rsidRPr="00EF0F7B">
        <w:t>10</w:t>
      </w:r>
      <w:r w:rsidR="00016998">
        <w:t xml:space="preserve"> </w:t>
      </w:r>
      <w:r w:rsidRPr="00EF0F7B">
        <w:t>mg/kg/dygn uppdelat i två doser. Öka med 5-10 mg/kg var 3:e till var 7:e dag tills anfallsfrihet uppnås. Vanlig terapeutisk dos är 20-40 mg/kg/dygn.</w:t>
      </w:r>
    </w:p>
    <w:p w14:paraId="6213EFAF" w14:textId="11A0B01D" w:rsidR="00EF0F7B" w:rsidRPr="00EF0F7B" w:rsidRDefault="00EF0F7B" w:rsidP="005D457E">
      <w:r w:rsidRPr="00EF0F7B">
        <w:t xml:space="preserve">Överväg granulat </w:t>
      </w:r>
      <w:r w:rsidR="003E7361" w:rsidRPr="00EF0F7B">
        <w:t>i stället</w:t>
      </w:r>
      <w:r w:rsidRPr="00EF0F7B">
        <w:t xml:space="preserve"> för lösning p.g.a. jämnare absorption. </w:t>
      </w:r>
    </w:p>
    <w:p w14:paraId="4F991DE9" w14:textId="54403FBC" w:rsidR="00EF0F7B" w:rsidRPr="00EF0F7B" w:rsidRDefault="00EF0F7B" w:rsidP="005D457E">
      <w:r w:rsidRPr="00EF0F7B">
        <w:t>Valproat kan orsaka allvarliga leverskador och därför bör leverprover tas innan och 1-2 månader efter insättning. Problemet brukar förekomma inom 6 månader från terapiinsättning och är vanligare hos små barn (under 3 år), barn med kombinationsbehandling och barn med andra medicinska problem (leversvikt, metabola problem och hjärnproblem).</w:t>
      </w:r>
    </w:p>
    <w:p w14:paraId="401D5E7E" w14:textId="77777777" w:rsidR="00EF0F7B" w:rsidRPr="00EF0F7B" w:rsidRDefault="00EF0F7B" w:rsidP="005D457E">
      <w:pPr>
        <w:pStyle w:val="MellanrubrikVGR"/>
      </w:pPr>
      <w:bookmarkStart w:id="134" w:name="_Toc55550556"/>
      <w:bookmarkStart w:id="135" w:name="_Toc256000020"/>
      <w:bookmarkStart w:id="136" w:name="_Toc256000046"/>
      <w:bookmarkStart w:id="137" w:name="_Toc256000072"/>
      <w:bookmarkStart w:id="138" w:name="_Toc256000092"/>
      <w:bookmarkStart w:id="139" w:name="_Toc57882072"/>
      <w:bookmarkStart w:id="140" w:name="_Toc256000112"/>
      <w:r w:rsidRPr="00EF0F7B">
        <w:t>Substans namn; Karbamazepin</w:t>
      </w:r>
      <w:bookmarkEnd w:id="134"/>
      <w:bookmarkEnd w:id="135"/>
      <w:bookmarkEnd w:id="136"/>
      <w:bookmarkEnd w:id="137"/>
      <w:bookmarkEnd w:id="138"/>
      <w:bookmarkEnd w:id="139"/>
      <w:bookmarkEnd w:id="140"/>
    </w:p>
    <w:p w14:paraId="41BEE25D" w14:textId="3FD9E670" w:rsidR="00EF0F7B" w:rsidRPr="00EF0F7B" w:rsidRDefault="00EF0F7B" w:rsidP="005D457E">
      <w:r w:rsidRPr="00EF0F7B">
        <w:t>Läkemedels namn; Hermolepsin, tegretol</w:t>
      </w:r>
      <w:r w:rsidR="00016998">
        <w:t>.</w:t>
      </w:r>
    </w:p>
    <w:p w14:paraId="52FED46A" w14:textId="77418C4A" w:rsidR="00EF0F7B" w:rsidRPr="00EF0F7B" w:rsidRDefault="00EF0F7B" w:rsidP="005D457E">
      <w:r w:rsidRPr="00EF0F7B">
        <w:lastRenderedPageBreak/>
        <w:t>Karbamazepin kan förvärra myoclonus och absenser. Vanliga biverkningar som ataxi, suddig syn och yrsel är dosrelaterade och kan göra att upptrappning av medicineringen drar ut på tiden. Biverkningar kan minskas av modified release tabletter.</w:t>
      </w:r>
    </w:p>
    <w:p w14:paraId="1527BD0E" w14:textId="77777777" w:rsidR="00EF0F7B" w:rsidRPr="00EF0F7B" w:rsidRDefault="00EF0F7B" w:rsidP="005D457E">
      <w:r w:rsidRPr="00EF0F7B">
        <w:t xml:space="preserve">Hos patienter med han-kinesisk eller thailändsk bakgrund som är bärare av HLA-B*1502 finns en ökad incidens av allvarliga hudreaktioner (Stevens-Johnson syndrom), så överväg HLA-provtagning eller en annan medicin till dessa patienter. </w:t>
      </w:r>
    </w:p>
    <w:p w14:paraId="308C6DB2" w14:textId="77777777" w:rsidR="00EF0F7B" w:rsidRPr="00EF0F7B" w:rsidRDefault="00EF0F7B" w:rsidP="005D457E">
      <w:r w:rsidRPr="00EF0F7B">
        <w:t>Agranulocytos är en ovanlig biverkning av karbamazepin och blodstatus bör kontrolleras innan och efter insättandet av medicinen.</w:t>
      </w:r>
    </w:p>
    <w:p w14:paraId="16591491" w14:textId="77777777" w:rsidR="00EF0F7B" w:rsidRPr="00EF0F7B" w:rsidRDefault="00EF0F7B" w:rsidP="005D457E">
      <w:pPr>
        <w:pStyle w:val="MellanrubrikVGR"/>
      </w:pPr>
      <w:bookmarkStart w:id="141" w:name="_Toc55550557"/>
      <w:bookmarkStart w:id="142" w:name="_Toc256000021"/>
      <w:bookmarkStart w:id="143" w:name="_Toc256000047"/>
      <w:bookmarkStart w:id="144" w:name="_Toc256000073"/>
      <w:bookmarkStart w:id="145" w:name="_Toc256000093"/>
      <w:bookmarkStart w:id="146" w:name="_Toc57882073"/>
      <w:bookmarkStart w:id="147" w:name="_Toc256000113"/>
      <w:r w:rsidRPr="00EF0F7B">
        <w:t>Substans namn; Oxkarbazepin</w:t>
      </w:r>
      <w:bookmarkEnd w:id="141"/>
      <w:bookmarkEnd w:id="142"/>
      <w:bookmarkEnd w:id="143"/>
      <w:bookmarkEnd w:id="144"/>
      <w:bookmarkEnd w:id="145"/>
      <w:bookmarkEnd w:id="146"/>
      <w:bookmarkEnd w:id="147"/>
    </w:p>
    <w:p w14:paraId="7276BC6A" w14:textId="28AFD9FC" w:rsidR="00EF0F7B" w:rsidRPr="00EF0F7B" w:rsidRDefault="00EF0F7B" w:rsidP="005D457E">
      <w:r w:rsidRPr="00EF0F7B">
        <w:t>Läkemedelsnamn; trileptal</w:t>
      </w:r>
      <w:r w:rsidR="00016998">
        <w:t>.</w:t>
      </w:r>
    </w:p>
    <w:p w14:paraId="5027221F" w14:textId="011748F6" w:rsidR="00EF0F7B" w:rsidRPr="00EF0F7B" w:rsidRDefault="00EF0F7B" w:rsidP="005D457E">
      <w:r w:rsidRPr="00EF0F7B">
        <w:t xml:space="preserve">När koncentrationsbestämning av Oxkarbazepine önskas tänk på att inte fråga efter karbamazepine utan oxkarbazepin. </w:t>
      </w:r>
    </w:p>
    <w:p w14:paraId="0854E398" w14:textId="77777777" w:rsidR="00EF0F7B" w:rsidRPr="00EF0F7B" w:rsidRDefault="00EF0F7B" w:rsidP="00915B82">
      <w:pPr>
        <w:pStyle w:val="MellanrubrikVGR"/>
      </w:pPr>
      <w:bookmarkStart w:id="148" w:name="_Toc55550558"/>
      <w:bookmarkStart w:id="149" w:name="_Toc256000022"/>
      <w:bookmarkStart w:id="150" w:name="_Toc256000048"/>
      <w:bookmarkStart w:id="151" w:name="_Toc256000074"/>
      <w:bookmarkStart w:id="152" w:name="_Toc256000094"/>
      <w:bookmarkStart w:id="153" w:name="_Toc57882074"/>
      <w:bookmarkStart w:id="154" w:name="_Toc256000114"/>
      <w:r w:rsidRPr="00EF0F7B">
        <w:t>Substans namn; Lamotrigin</w:t>
      </w:r>
      <w:bookmarkEnd w:id="148"/>
      <w:bookmarkEnd w:id="149"/>
      <w:bookmarkEnd w:id="150"/>
      <w:bookmarkEnd w:id="151"/>
      <w:bookmarkEnd w:id="152"/>
      <w:bookmarkEnd w:id="153"/>
      <w:bookmarkEnd w:id="154"/>
    </w:p>
    <w:p w14:paraId="3BABFA03" w14:textId="7D4A6FFC" w:rsidR="00EF0F7B" w:rsidRPr="00EF0F7B" w:rsidRDefault="00EF0F7B" w:rsidP="00915B82">
      <w:r w:rsidRPr="00EF0F7B">
        <w:t>Läkemedels namn; lamotrigin ratiopharm, (lamictal)</w:t>
      </w:r>
      <w:r w:rsidR="00016998">
        <w:t>.</w:t>
      </w:r>
    </w:p>
    <w:p w14:paraId="4FA31CFB" w14:textId="2BB715C7" w:rsidR="00EF0F7B" w:rsidRPr="00EF0F7B" w:rsidRDefault="00EF0F7B" w:rsidP="00915B82">
      <w:r w:rsidRPr="00EF0F7B">
        <w:t>Lamotrigin kan orsaker allvarliga hudutslag (Stevens Johnson syndrom) och bör därför trappas upp långsamt. Valproat ökar plasma</w:t>
      </w:r>
      <w:r w:rsidR="00016998">
        <w:t>-</w:t>
      </w:r>
      <w:r w:rsidRPr="00EF0F7B">
        <w:t>koncentrationen av lamotrigin. Vid tilläggsbehandling med lamotrigin bör man därför börja med en låg dos (se Fass). Vid uppehåll på mer än 5 dagar bör man börja om från början med upptrappningen.</w:t>
      </w:r>
    </w:p>
    <w:p w14:paraId="3F9BA57F" w14:textId="77777777" w:rsidR="00EF0F7B" w:rsidRPr="00EF0F7B" w:rsidRDefault="00EF0F7B" w:rsidP="00915B82">
      <w:pPr>
        <w:pStyle w:val="MellanrubrikVGR"/>
      </w:pPr>
      <w:bookmarkStart w:id="155" w:name="_Toc55550559"/>
      <w:bookmarkStart w:id="156" w:name="_Toc256000023"/>
      <w:bookmarkStart w:id="157" w:name="_Toc256000049"/>
      <w:bookmarkStart w:id="158" w:name="_Toc256000075"/>
      <w:bookmarkStart w:id="159" w:name="_Toc256000095"/>
      <w:bookmarkStart w:id="160" w:name="_Toc57882075"/>
      <w:bookmarkStart w:id="161" w:name="_Toc256000115"/>
      <w:r w:rsidRPr="00EF0F7B">
        <w:t>Utbytbarhet</w:t>
      </w:r>
      <w:bookmarkEnd w:id="155"/>
      <w:bookmarkEnd w:id="156"/>
      <w:bookmarkEnd w:id="157"/>
      <w:bookmarkEnd w:id="158"/>
      <w:bookmarkEnd w:id="159"/>
      <w:bookmarkEnd w:id="160"/>
      <w:bookmarkEnd w:id="161"/>
    </w:p>
    <w:p w14:paraId="5128CA95" w14:textId="77777777" w:rsidR="00EF0F7B" w:rsidRPr="00EF0F7B" w:rsidRDefault="00EF0F7B" w:rsidP="00915B82">
      <w:r w:rsidRPr="00EF0F7B">
        <w:t xml:space="preserve">FASS har nu lagt till </w:t>
      </w:r>
      <w:hyperlink r:id="rId18" w:history="1">
        <w:r w:rsidRPr="00EF0F7B">
          <w:rPr>
            <w:color w:val="0000FF"/>
            <w:u w:val="single"/>
          </w:rPr>
          <w:t>utbytbarhetsinformation</w:t>
        </w:r>
      </w:hyperlink>
      <w:r w:rsidRPr="00EF0F7B">
        <w:t xml:space="preserve"> för viss antiepileptikum. </w:t>
      </w:r>
    </w:p>
    <w:p w14:paraId="24F0A0FB" w14:textId="77777777" w:rsidR="00EF0F7B" w:rsidRPr="00EF0F7B" w:rsidRDefault="00EF0F7B" w:rsidP="00915B82">
      <w:r w:rsidRPr="00EF0F7B">
        <w:t>Den brittiska Commission on Human Medicines (CHM) har också utvärderat detta och delat upp antiepileptikum i 3 olika grupper beroende på utbytbarhet i artikeln ”</w:t>
      </w:r>
      <w:hyperlink r:id="rId19" w:anchor="bioequivalence-and-antiepileptic-drugs" w:history="1">
        <w:r w:rsidRPr="00EF0F7B">
          <w:rPr>
            <w:color w:val="0000FF"/>
            <w:u w:val="single"/>
          </w:rPr>
          <w:t>Antiepileptic drugs: new advice on switching between different manufacturers’ products for a particular drug</w:t>
        </w:r>
      </w:hyperlink>
      <w:r w:rsidRPr="00EF0F7B">
        <w:t>” från 2013.</w:t>
      </w:r>
      <w:r w:rsidRPr="00EF0F7B">
        <w:br/>
      </w:r>
    </w:p>
    <w:p w14:paraId="3E5C7169" w14:textId="77777777" w:rsidR="00EF0F7B" w:rsidRPr="00EF0F7B" w:rsidRDefault="00EF0F7B" w:rsidP="00915B82">
      <w:r w:rsidRPr="00EF0F7B">
        <w:t>Grupp 1: Ej Utbytbara; phenytoin, carbamazepin, phenobarbital, primidone</w:t>
      </w:r>
    </w:p>
    <w:p w14:paraId="7B7793C5" w14:textId="77777777" w:rsidR="00EF0F7B" w:rsidRPr="00EF0F7B" w:rsidRDefault="00EF0F7B" w:rsidP="00915B82">
      <w:r w:rsidRPr="00EF0F7B">
        <w:t>Grupp 2: Möjligtvis utbytbara beroende på patienten; valproat, lamotrigin, perampanel, retigabine, rufinamid, clobazam, clonazepam, oxcarbazepin, esli-carbazepin, zonisamid, topiramat</w:t>
      </w:r>
    </w:p>
    <w:p w14:paraId="356CE979" w14:textId="14B4E4D2" w:rsidR="00EF0F7B" w:rsidRPr="00EF0F7B" w:rsidRDefault="00EF0F7B" w:rsidP="00915B82">
      <w:r w:rsidRPr="00EF0F7B">
        <w:t xml:space="preserve">Grupp 3: Utbytbara I vanliga fall; levetiracetam, lacosamide, tiagabine, gabapentin, pregabalin, ethosuximid, vigabatrin  </w:t>
      </w:r>
    </w:p>
    <w:p w14:paraId="39CF646B" w14:textId="77777777" w:rsidR="00EF0F7B" w:rsidRPr="00EF0F7B" w:rsidRDefault="00EF0F7B" w:rsidP="00915B82">
      <w:pPr>
        <w:pStyle w:val="Rubrik2"/>
      </w:pPr>
      <w:bookmarkStart w:id="162" w:name="_Toc182366122"/>
      <w:bookmarkStart w:id="163" w:name="_Toc55550560"/>
      <w:bookmarkStart w:id="164" w:name="_Toc256000024"/>
      <w:bookmarkStart w:id="165" w:name="_Toc256000050"/>
      <w:bookmarkStart w:id="166" w:name="_Toc256000076"/>
      <w:bookmarkStart w:id="167" w:name="_Toc256000096"/>
      <w:bookmarkStart w:id="168" w:name="_Toc57882076"/>
      <w:bookmarkStart w:id="169" w:name="_Toc256000116"/>
      <w:bookmarkStart w:id="170" w:name="_Toc183764630"/>
      <w:r w:rsidRPr="00EF0F7B">
        <w:lastRenderedPageBreak/>
        <w:t>Dokumentinformation</w:t>
      </w:r>
      <w:bookmarkEnd w:id="162"/>
      <w:bookmarkEnd w:id="163"/>
      <w:bookmarkEnd w:id="164"/>
      <w:bookmarkEnd w:id="165"/>
      <w:bookmarkEnd w:id="166"/>
      <w:bookmarkEnd w:id="167"/>
      <w:bookmarkEnd w:id="168"/>
      <w:bookmarkEnd w:id="169"/>
      <w:bookmarkEnd w:id="170"/>
    </w:p>
    <w:p w14:paraId="644C2A7F" w14:textId="77777777" w:rsidR="00EF0F7B" w:rsidRPr="00915B82" w:rsidRDefault="00EF0F7B" w:rsidP="00915B82">
      <w:pPr>
        <w:spacing w:after="40" w:line="240" w:lineRule="auto"/>
        <w:rPr>
          <w:rFonts w:asciiTheme="majorHAnsi" w:hAnsiTheme="majorHAnsi" w:cstheme="majorHAnsi"/>
        </w:rPr>
      </w:pPr>
      <w:r w:rsidRPr="00915B82">
        <w:rPr>
          <w:rFonts w:asciiTheme="majorHAnsi" w:hAnsiTheme="majorHAnsi" w:cstheme="majorHAnsi"/>
        </w:rPr>
        <w:t>För innehållet svarar</w:t>
      </w:r>
    </w:p>
    <w:p w14:paraId="5CD36C1A" w14:textId="3A4F7DFB" w:rsidR="00EF0F7B" w:rsidRPr="00915B82" w:rsidRDefault="00EF0F7B" w:rsidP="00915B82">
      <w:pPr>
        <w:rPr>
          <w:szCs w:val="20"/>
        </w:rPr>
      </w:pPr>
      <w:r w:rsidRPr="00EF0F7B">
        <w:rPr>
          <w:szCs w:val="20"/>
        </w:rPr>
        <w:t>Alexandros Mourtzis, överläkare, barn- och ungdomsklinik, SÄS</w:t>
      </w:r>
    </w:p>
    <w:p w14:paraId="35E71224" w14:textId="77777777" w:rsidR="00EF0F7B" w:rsidRPr="00915B82" w:rsidRDefault="00EF0F7B" w:rsidP="00915B82">
      <w:pPr>
        <w:spacing w:after="40" w:line="240" w:lineRule="auto"/>
        <w:rPr>
          <w:rFonts w:asciiTheme="majorHAnsi" w:hAnsiTheme="majorHAnsi" w:cstheme="majorHAnsi"/>
        </w:rPr>
      </w:pPr>
      <w:r w:rsidRPr="00915B82">
        <w:rPr>
          <w:rFonts w:asciiTheme="majorHAnsi" w:hAnsiTheme="majorHAnsi" w:cstheme="majorHAnsi"/>
        </w:rPr>
        <w:t>Nyckelord</w:t>
      </w:r>
    </w:p>
    <w:p w14:paraId="7CAFC0BF" w14:textId="77777777" w:rsidR="00EF0F7B" w:rsidRPr="00EF0F7B" w:rsidRDefault="00EF0F7B" w:rsidP="00915B82">
      <w:pPr>
        <w:rPr>
          <w:szCs w:val="20"/>
        </w:rPr>
      </w:pPr>
      <w:r w:rsidRPr="00EF0F7B">
        <w:rPr>
          <w:szCs w:val="20"/>
        </w:rPr>
        <w:t>Epilepsi, behandling, läkemedel, ep</w:t>
      </w:r>
    </w:p>
    <w:p w14:paraId="50C97A09" w14:textId="77777777" w:rsidR="00EF0F7B" w:rsidRPr="00EF0F7B" w:rsidRDefault="00EF0F7B" w:rsidP="00915B82">
      <w:pPr>
        <w:pStyle w:val="Rubrik2"/>
      </w:pPr>
      <w:bookmarkStart w:id="171" w:name="_Toc55550561"/>
      <w:bookmarkStart w:id="172" w:name="_Toc256000025"/>
      <w:bookmarkStart w:id="173" w:name="_Toc256000051"/>
      <w:bookmarkStart w:id="174" w:name="_Toc256000077"/>
      <w:bookmarkStart w:id="175" w:name="_Toc256000097"/>
      <w:bookmarkStart w:id="176" w:name="_Toc57882077"/>
      <w:bookmarkStart w:id="177" w:name="_Toc256000117"/>
      <w:bookmarkStart w:id="178" w:name="_Toc169686209"/>
      <w:bookmarkStart w:id="179" w:name="_Toc169686713"/>
      <w:bookmarkStart w:id="180" w:name="_Toc182366123"/>
      <w:bookmarkStart w:id="181" w:name="_Toc183764631"/>
      <w:r w:rsidRPr="00EF0F7B">
        <w:t>Referens- och länkförteckning</w:t>
      </w:r>
      <w:bookmarkEnd w:id="171"/>
      <w:bookmarkEnd w:id="172"/>
      <w:bookmarkEnd w:id="173"/>
      <w:bookmarkEnd w:id="174"/>
      <w:bookmarkEnd w:id="175"/>
      <w:bookmarkEnd w:id="176"/>
      <w:bookmarkEnd w:id="177"/>
      <w:bookmarkEnd w:id="181"/>
    </w:p>
    <w:p w14:paraId="5C5B7A18" w14:textId="77777777" w:rsidR="00EF0F7B" w:rsidRDefault="00EF0F7B" w:rsidP="00915B82">
      <w:pPr>
        <w:pStyle w:val="Punktlista"/>
        <w:numPr>
          <w:ilvl w:val="0"/>
          <w:numId w:val="21"/>
        </w:numPr>
      </w:pPr>
      <w:r w:rsidRPr="00EF0F7B">
        <w:t>Läkemedelsverket</w:t>
      </w:r>
      <w:r w:rsidRPr="00EF0F7B">
        <w:br/>
      </w:r>
      <w:hyperlink r:id="rId20" w:history="1">
        <w:r w:rsidRPr="00EF0F7B">
          <w:rPr>
            <w:color w:val="0000FF"/>
            <w:u w:val="single"/>
          </w:rPr>
          <w:t>www.lakemedelsverket.se</w:t>
        </w:r>
      </w:hyperlink>
      <w:r w:rsidRPr="00EF0F7B">
        <w:t xml:space="preserve"> under rubrik Behandling och förskrivning, behandlingsrekommendationer, läkemedel vid epilepsi</w:t>
      </w:r>
    </w:p>
    <w:p w14:paraId="31FA05A4" w14:textId="19868FF4" w:rsidR="00CA520A" w:rsidRPr="00EF0F7B" w:rsidRDefault="004A2380" w:rsidP="00915B82">
      <w:pPr>
        <w:pStyle w:val="Punktlista"/>
        <w:numPr>
          <w:ilvl w:val="0"/>
          <w:numId w:val="21"/>
        </w:numPr>
      </w:pPr>
      <w:r>
        <w:t>Läkemedelsbehandling av epilepsi</w:t>
      </w:r>
      <w:r w:rsidR="00A8329A">
        <w:t xml:space="preserve"> – behandlingsrekommendation. Barnläkarföreningen</w:t>
      </w:r>
      <w:r w:rsidR="00A719E3">
        <w:br/>
      </w:r>
      <w:hyperlink r:id="rId21" w:history="1">
        <w:r w:rsidR="004A734A" w:rsidRPr="002C3BD2">
          <w:rPr>
            <w:rStyle w:val="Hyperlnk"/>
          </w:rPr>
          <w:t>https://snpf.barnlakarforeningen.se/wp-content/uploads/sites/4/2020/01/tjugoepilepsirek.pdf</w:t>
        </w:r>
      </w:hyperlink>
      <w:r w:rsidR="004A734A">
        <w:t xml:space="preserve"> </w:t>
      </w:r>
    </w:p>
    <w:p w14:paraId="3C67C7DB" w14:textId="77777777" w:rsidR="00EF0F7B" w:rsidRPr="00EF0F7B" w:rsidRDefault="00EF0F7B" w:rsidP="00915B82">
      <w:pPr>
        <w:pStyle w:val="Punktlista"/>
        <w:numPr>
          <w:ilvl w:val="0"/>
          <w:numId w:val="21"/>
        </w:numPr>
      </w:pPr>
      <w:r w:rsidRPr="00EF0F7B">
        <w:t>FASS</w:t>
      </w:r>
      <w:r w:rsidRPr="00EF0F7B">
        <w:br/>
      </w:r>
      <w:hyperlink r:id="rId22" w:history="1">
        <w:r w:rsidRPr="00EF0F7B">
          <w:rPr>
            <w:color w:val="0000FF"/>
            <w:u w:val="single"/>
          </w:rPr>
          <w:t>http://vimeopro.com/fassse/utbytesinformation</w:t>
        </w:r>
      </w:hyperlink>
    </w:p>
    <w:p w14:paraId="73755764" w14:textId="4CC785B4" w:rsidR="00F253CB" w:rsidRPr="00EF0F7B" w:rsidRDefault="00EF0F7B" w:rsidP="00CA520A">
      <w:pPr>
        <w:pStyle w:val="Punktlista"/>
        <w:numPr>
          <w:ilvl w:val="0"/>
          <w:numId w:val="21"/>
        </w:numPr>
      </w:pPr>
      <w:r w:rsidRPr="00EF0F7B">
        <w:t>Commission on Human Medicines (CHM), 2013 ”Antiepileptic drugs: new advice on switching between different manufacturers’ products for a particular drug”</w:t>
      </w:r>
      <w:r w:rsidRPr="00EF0F7B">
        <w:br/>
      </w:r>
      <w:hyperlink r:id="rId23" w:anchor="bioequivalence-and-antiepileptic-drugs" w:history="1">
        <w:r w:rsidRPr="00EF0F7B">
          <w:rPr>
            <w:color w:val="0000FF"/>
            <w:u w:val="single"/>
          </w:rPr>
          <w:t>https://www.gov.uk/drug-safety-update/antiepileptic-drugs-new-advice-on-switching-between-different-manufacturers-products-for-a-particular-drug#bioequivalence-and-antiepileptic-drugs</w:t>
        </w:r>
      </w:hyperlink>
      <w:bookmarkEnd w:id="178"/>
      <w:bookmarkEnd w:id="179"/>
      <w:bookmarkEnd w:id="180"/>
    </w:p>
    <w:bookmarkEnd w:id="0"/>
    <w:p w14:paraId="76B9F95B" w14:textId="24513497" w:rsidR="00536A5A" w:rsidRPr="00536A5A" w:rsidRDefault="00536A5A" w:rsidP="00536A5A">
      <w:pPr>
        <w:spacing w:after="0" w:line="240" w:lineRule="auto"/>
        <w:ind w:left="0" w:right="0"/>
      </w:pPr>
    </w:p>
    <w:sectPr w:rsidR="00536A5A" w:rsidRPr="00536A5A" w:rsidSect="00EF0F7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8A6CB97A"/>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3F4636"/>
    <w:multiLevelType w:val="hybridMultilevel"/>
    <w:tmpl w:val="A6CEA3DC"/>
    <w:lvl w:ilvl="0" w:tplc="041D0005">
      <w:start w:val="1"/>
      <w:numFmt w:val="bullet"/>
      <w:lvlText w:val=""/>
      <w:lvlJc w:val="left"/>
      <w:pPr>
        <w:ind w:left="1077" w:hanging="360"/>
      </w:pPr>
      <w:rPr>
        <w:rFonts w:ascii="Wingdings" w:hAnsi="Wingding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2302637">
    <w:abstractNumId w:val="19"/>
  </w:num>
  <w:num w:numId="2" w16cid:durableId="76173950">
    <w:abstractNumId w:val="16"/>
  </w:num>
  <w:num w:numId="3" w16cid:durableId="910458187">
    <w:abstractNumId w:val="0"/>
  </w:num>
  <w:num w:numId="4" w16cid:durableId="2000183867">
    <w:abstractNumId w:val="7"/>
  </w:num>
  <w:num w:numId="5" w16cid:durableId="340738957">
    <w:abstractNumId w:val="17"/>
  </w:num>
  <w:num w:numId="6" w16cid:durableId="50160315">
    <w:abstractNumId w:val="3"/>
  </w:num>
  <w:num w:numId="7" w16cid:durableId="1234199420">
    <w:abstractNumId w:val="13"/>
  </w:num>
  <w:num w:numId="8" w16cid:durableId="1210797316">
    <w:abstractNumId w:val="9"/>
  </w:num>
  <w:num w:numId="9" w16cid:durableId="2076971724">
    <w:abstractNumId w:val="2"/>
  </w:num>
  <w:num w:numId="10" w16cid:durableId="896471443">
    <w:abstractNumId w:val="2"/>
  </w:num>
  <w:num w:numId="11" w16cid:durableId="1236011915">
    <w:abstractNumId w:val="4"/>
  </w:num>
  <w:num w:numId="12" w16cid:durableId="1067073280">
    <w:abstractNumId w:val="5"/>
  </w:num>
  <w:num w:numId="13" w16cid:durableId="1081022269">
    <w:abstractNumId w:val="15"/>
  </w:num>
  <w:num w:numId="14" w16cid:durableId="782264318">
    <w:abstractNumId w:val="10"/>
  </w:num>
  <w:num w:numId="15" w16cid:durableId="1244532185">
    <w:abstractNumId w:val="8"/>
  </w:num>
  <w:num w:numId="16" w16cid:durableId="984356620">
    <w:abstractNumId w:val="14"/>
  </w:num>
  <w:num w:numId="17" w16cid:durableId="1082802168">
    <w:abstractNumId w:val="6"/>
  </w:num>
  <w:num w:numId="18" w16cid:durableId="358238180">
    <w:abstractNumId w:val="11"/>
  </w:num>
  <w:num w:numId="19" w16cid:durableId="638457124">
    <w:abstractNumId w:val="18"/>
  </w:num>
  <w:num w:numId="20" w16cid:durableId="489832587">
    <w:abstractNumId w:val="1"/>
  </w:num>
  <w:num w:numId="21" w16cid:durableId="12037915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998"/>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F0A"/>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25B5"/>
    <w:rsid w:val="002B0B30"/>
    <w:rsid w:val="002B0C78"/>
    <w:rsid w:val="002C0C02"/>
    <w:rsid w:val="002C1277"/>
    <w:rsid w:val="002C60AD"/>
    <w:rsid w:val="002D0E0E"/>
    <w:rsid w:val="002D184A"/>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7361"/>
    <w:rsid w:val="003F1013"/>
    <w:rsid w:val="003F1ACF"/>
    <w:rsid w:val="00404948"/>
    <w:rsid w:val="00406BEA"/>
    <w:rsid w:val="00413A60"/>
    <w:rsid w:val="004230F7"/>
    <w:rsid w:val="0043167E"/>
    <w:rsid w:val="0043409A"/>
    <w:rsid w:val="004405F4"/>
    <w:rsid w:val="00443C1E"/>
    <w:rsid w:val="00446255"/>
    <w:rsid w:val="00451935"/>
    <w:rsid w:val="00460ED0"/>
    <w:rsid w:val="00465651"/>
    <w:rsid w:val="0046717B"/>
    <w:rsid w:val="00470CE7"/>
    <w:rsid w:val="00470F4F"/>
    <w:rsid w:val="00472482"/>
    <w:rsid w:val="00480DC7"/>
    <w:rsid w:val="004876F6"/>
    <w:rsid w:val="0049236A"/>
    <w:rsid w:val="00492718"/>
    <w:rsid w:val="004A2380"/>
    <w:rsid w:val="004A355D"/>
    <w:rsid w:val="004A4970"/>
    <w:rsid w:val="004A734A"/>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3D3"/>
    <w:rsid w:val="005770AD"/>
    <w:rsid w:val="00581414"/>
    <w:rsid w:val="00582490"/>
    <w:rsid w:val="005826FA"/>
    <w:rsid w:val="00592363"/>
    <w:rsid w:val="00597E28"/>
    <w:rsid w:val="005A2E3B"/>
    <w:rsid w:val="005A54ED"/>
    <w:rsid w:val="005A5D5B"/>
    <w:rsid w:val="005A6081"/>
    <w:rsid w:val="005A627D"/>
    <w:rsid w:val="005C0045"/>
    <w:rsid w:val="005C084E"/>
    <w:rsid w:val="005C4606"/>
    <w:rsid w:val="005D0B0C"/>
    <w:rsid w:val="005D457E"/>
    <w:rsid w:val="005E02B3"/>
    <w:rsid w:val="005E1E24"/>
    <w:rsid w:val="0060596B"/>
    <w:rsid w:val="00606D97"/>
    <w:rsid w:val="00614E64"/>
    <w:rsid w:val="00617710"/>
    <w:rsid w:val="00617EE6"/>
    <w:rsid w:val="0062184C"/>
    <w:rsid w:val="00623724"/>
    <w:rsid w:val="00627380"/>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5789"/>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2C88"/>
    <w:rsid w:val="008262E9"/>
    <w:rsid w:val="00827E69"/>
    <w:rsid w:val="00835C4D"/>
    <w:rsid w:val="00843F48"/>
    <w:rsid w:val="00851423"/>
    <w:rsid w:val="00857848"/>
    <w:rsid w:val="00861229"/>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26B"/>
    <w:rsid w:val="008F589F"/>
    <w:rsid w:val="00906238"/>
    <w:rsid w:val="00907EF9"/>
    <w:rsid w:val="0091295C"/>
    <w:rsid w:val="00914D58"/>
    <w:rsid w:val="00915B82"/>
    <w:rsid w:val="00921F47"/>
    <w:rsid w:val="009228AB"/>
    <w:rsid w:val="0093085B"/>
    <w:rsid w:val="00931C57"/>
    <w:rsid w:val="009347A5"/>
    <w:rsid w:val="00942257"/>
    <w:rsid w:val="009471BF"/>
    <w:rsid w:val="00950E4E"/>
    <w:rsid w:val="009529BD"/>
    <w:rsid w:val="009533B4"/>
    <w:rsid w:val="00971D93"/>
    <w:rsid w:val="009A19A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9E3"/>
    <w:rsid w:val="00A81198"/>
    <w:rsid w:val="00A81E48"/>
    <w:rsid w:val="00A82035"/>
    <w:rsid w:val="00A8329A"/>
    <w:rsid w:val="00A90D77"/>
    <w:rsid w:val="00A92E07"/>
    <w:rsid w:val="00A94705"/>
    <w:rsid w:val="00AA0B3A"/>
    <w:rsid w:val="00AA6EB4"/>
    <w:rsid w:val="00AA767D"/>
    <w:rsid w:val="00AB0CC9"/>
    <w:rsid w:val="00AC3FF6"/>
    <w:rsid w:val="00AD73EC"/>
    <w:rsid w:val="00AE5BC7"/>
    <w:rsid w:val="00AF5AAF"/>
    <w:rsid w:val="00B046D8"/>
    <w:rsid w:val="00B13F4C"/>
    <w:rsid w:val="00B16219"/>
    <w:rsid w:val="00B16C59"/>
    <w:rsid w:val="00B337D7"/>
    <w:rsid w:val="00B33FDD"/>
    <w:rsid w:val="00B359CC"/>
    <w:rsid w:val="00B35A80"/>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D0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0A"/>
    <w:rsid w:val="00CA521F"/>
    <w:rsid w:val="00CB0493"/>
    <w:rsid w:val="00CB17FF"/>
    <w:rsid w:val="00CB1ED7"/>
    <w:rsid w:val="00CC167C"/>
    <w:rsid w:val="00CC52D9"/>
    <w:rsid w:val="00CD35DD"/>
    <w:rsid w:val="00CD6647"/>
    <w:rsid w:val="00CE4B73"/>
    <w:rsid w:val="00CF70BB"/>
    <w:rsid w:val="00D074DB"/>
    <w:rsid w:val="00D139CF"/>
    <w:rsid w:val="00D13B25"/>
    <w:rsid w:val="00D37E7F"/>
    <w:rsid w:val="00D47AD7"/>
    <w:rsid w:val="00D51529"/>
    <w:rsid w:val="00D85218"/>
    <w:rsid w:val="00D915B1"/>
    <w:rsid w:val="00D91A2F"/>
    <w:rsid w:val="00DA299D"/>
    <w:rsid w:val="00DA65C4"/>
    <w:rsid w:val="00DD2BE0"/>
    <w:rsid w:val="00DE4447"/>
    <w:rsid w:val="00DE5DA2"/>
    <w:rsid w:val="00DF0033"/>
    <w:rsid w:val="00DF1B4B"/>
    <w:rsid w:val="00E026BF"/>
    <w:rsid w:val="00E07B1B"/>
    <w:rsid w:val="00E11853"/>
    <w:rsid w:val="00E373FA"/>
    <w:rsid w:val="00E52A86"/>
    <w:rsid w:val="00E54B47"/>
    <w:rsid w:val="00E553BF"/>
    <w:rsid w:val="00E55D93"/>
    <w:rsid w:val="00E61294"/>
    <w:rsid w:val="00E7237C"/>
    <w:rsid w:val="00E77C46"/>
    <w:rsid w:val="00E86CE8"/>
    <w:rsid w:val="00E90E82"/>
    <w:rsid w:val="00EA00CB"/>
    <w:rsid w:val="00EA1BAA"/>
    <w:rsid w:val="00EA3BFC"/>
    <w:rsid w:val="00EA3FCD"/>
    <w:rsid w:val="00EA42A0"/>
    <w:rsid w:val="00EB6714"/>
    <w:rsid w:val="00EC0A68"/>
    <w:rsid w:val="00EC5006"/>
    <w:rsid w:val="00ED49C3"/>
    <w:rsid w:val="00ED6CE8"/>
    <w:rsid w:val="00ED7AA6"/>
    <w:rsid w:val="00EE2A56"/>
    <w:rsid w:val="00EE3818"/>
    <w:rsid w:val="00EF0F7B"/>
    <w:rsid w:val="00F22264"/>
    <w:rsid w:val="00F253CB"/>
    <w:rsid w:val="00F253FD"/>
    <w:rsid w:val="00F2564D"/>
    <w:rsid w:val="00F35B05"/>
    <w:rsid w:val="00F413D9"/>
    <w:rsid w:val="00F42844"/>
    <w:rsid w:val="00F5135F"/>
    <w:rsid w:val="00F51F78"/>
    <w:rsid w:val="00F86F47"/>
    <w:rsid w:val="00F90B64"/>
    <w:rsid w:val="00FB2F0F"/>
    <w:rsid w:val="00FB5086"/>
    <w:rsid w:val="00FB5411"/>
    <w:rsid w:val="00FB6392"/>
    <w:rsid w:val="00FD3C70"/>
    <w:rsid w:val="00FD6820"/>
    <w:rsid w:val="00FE12D8"/>
    <w:rsid w:val="00FE43D1"/>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F0F7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F0F7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EF0F7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D184A"/>
    <w:pPr>
      <w:tabs>
        <w:tab w:val="right" w:leader="dot" w:pos="8919"/>
      </w:tabs>
    </w:pPr>
  </w:style>
  <w:style w:type="paragraph" w:styleId="Innehll3">
    <w:name w:val="toc 3"/>
    <w:basedOn w:val="Normal"/>
    <w:next w:val="Normal"/>
    <w:autoRedefine/>
    <w:uiPriority w:val="39"/>
    <w:unhideWhenUsed/>
    <w:rsid w:val="002D184A"/>
    <w:pPr>
      <w:tabs>
        <w:tab w:val="right" w:leader="dot" w:pos="8919"/>
      </w:tabs>
      <w:ind w:left="134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F0F7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F0F7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EF0F7B"/>
    <w:rPr>
      <w:rFonts w:asciiTheme="majorHAnsi" w:eastAsiaTheme="majorEastAsia" w:hAnsiTheme="majorHAnsi" w:cstheme="majorBidi"/>
      <w:i/>
      <w:iCs/>
      <w:color w:val="272727" w:themeColor="text1" w:themeTint="D8"/>
      <w:sz w:val="21"/>
      <w:szCs w:val="21"/>
    </w:rPr>
  </w:style>
  <w:style w:type="paragraph" w:customStyle="1" w:styleId="a">
    <w:next w:val="Numreradlista"/>
    <w:rsid w:val="00EF0F7B"/>
    <w:pPr>
      <w:numPr>
        <w:numId w:val="20"/>
      </w:numPr>
      <w:spacing w:after="80"/>
    </w:pPr>
    <w:rPr>
      <w:sz w:val="24"/>
    </w:rPr>
  </w:style>
  <w:style w:type="paragraph" w:styleId="Numreradlista">
    <w:name w:val="List Number"/>
    <w:basedOn w:val="Normal"/>
    <w:uiPriority w:val="99"/>
    <w:semiHidden/>
    <w:unhideWhenUsed/>
    <w:rsid w:val="00EF0F7B"/>
    <w:pPr>
      <w:tabs>
        <w:tab w:val="num" w:pos="3036"/>
      </w:tabs>
      <w:ind w:left="3036" w:hanging="360"/>
      <w:contextualSpacing/>
    </w:pPr>
  </w:style>
  <w:style w:type="character" w:styleId="Olstomnmnande">
    <w:name w:val="Unresolved Mention"/>
    <w:basedOn w:val="Standardstycketeckensnitt"/>
    <w:uiPriority w:val="99"/>
    <w:semiHidden/>
    <w:unhideWhenUsed/>
    <w:rsid w:val="004A73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vimeopro.com/fassse/utbytesinformation" TargetMode="External" Id="rId18" /><Relationship Type="http://schemas.openxmlformats.org/officeDocument/2006/relationships/hyperlink" Target="https://snpf.barnlakarforeningen.se/wp-content/uploads/sites/4/2020/01/tjugoepilepsirek.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fass.s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www.lakemedelsverket.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www.gov.uk/drug-safety-update/antiepileptic-drugs-new-advice-on-switching-between-different-manufacturers-products-for-a-particular-drug" TargetMode="External" Id="rId23" /><Relationship Type="http://schemas.openxmlformats.org/officeDocument/2006/relationships/footnotes" Target="footnotes.xml" Id="rId10" /><Relationship Type="http://schemas.openxmlformats.org/officeDocument/2006/relationships/hyperlink" Target="https://www.gov.uk/drug-safety-update/antiepileptic-drugs-new-advice-on-switching-between-different-manufacturers-products-for-a-particular-dru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vimeopro.com/fassse/utbytesinformation"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90</TotalTime>
  <Pages>7</Pages>
  <Words>1238</Words>
  <Characters>10415</Characters>
  <Application>Microsoft Office Word</Application>
  <DocSecurity>0</DocSecurity>
  <Lines>86</Lines>
  <Paragraphs>23</Paragraphs>
  <ScaleCrop>false</ScaleCrop>
  <HeadingPairs>
    <vt:vector size="2" baseType="variant">
      <vt:variant>
        <vt:lpstr>Rubrik</vt:lpstr>
      </vt:variant>
      <vt:variant>
        <vt:i4>1</vt:i4>
      </vt:variant>
    </vt:vector>
  </HeadingPairs>
  <TitlesOfParts>
    <vt:vector size="1" baseType="lpstr">
      <vt:lpstr>Epilepsi hos barn och ungdomar - behandling</vt:lpstr>
    </vt:vector>
  </TitlesOfParts>
  <Manager/>
  <Company/>
  <LinksUpToDate>false</LinksUpToDate>
  <CharactersWithSpaces>11630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Epilepsi hos barn och ungdomar - behandling</dc:title>
  <dc:subject/>
  <dc:creator>patrik.jens.johansson@vgregion.se</dc:creator>
  <keywords/>
  <lastModifiedBy>Kristina Svensson</lastModifiedBy>
  <revision>36</revision>
  <lastPrinted>2016-03-31T10:56:00.0000000Z</lastPrinted>
  <dcterms:created xsi:type="dcterms:W3CDTF">2022-01-17T06:25:00.0000000Z</dcterms:created>
  <dcterms:modified xsi:type="dcterms:W3CDTF">2024-11-29T08:23:00.0000000Z</dcterms:modified>
</coreProperties>
</file>