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8272ED" w14:paraId="061914D4" w14:textId="152BA5B4">
      <w:pPr>
        <w:pStyle w:val="Heading1"/>
      </w:pPr>
      <w:bookmarkStart w:name="_Toc215669473" w:id="0"/>
      <w:bookmarkStart w:name="_Toc215669567" w:id="1"/>
      <w:bookmarkStart w:name="_Toc215669714" w:id="2"/>
      <w:r w:rsidRPr="008272ED">
        <w:t>Ehlers-</w:t>
      </w:r>
      <w:proofErr w:type="spellStart"/>
      <w:r w:rsidRPr="008272ED">
        <w:t>Danlos</w:t>
      </w:r>
      <w:proofErr w:type="spellEnd"/>
      <w:r w:rsidRPr="008272ED">
        <w:t xml:space="preserve"> syndrom (EDS), handläggning under graviditet och förlossning</w:t>
      </w:r>
      <w:bookmarkStart w:name="_Toc321146591" w:id="3"/>
      <w:bookmarkEnd w:id="0"/>
      <w:bookmarkEnd w:id="1"/>
      <w:bookmarkEnd w:id="2"/>
    </w:p>
    <w:p w:rsidR="009A32ED" w:rsidP="009A32ED" w:rsidRDefault="009A32ED" w14:paraId="11BC1DCA" w14:textId="77777777">
      <w:pPr>
        <w:pStyle w:val="Heading2"/>
        <w:ind w:right="-143"/>
      </w:pPr>
      <w:bookmarkStart w:name="_Toc100327184" w:id="4"/>
      <w:bookmarkStart w:name="_Toc181866756" w:id="5"/>
      <w:bookmarkStart w:name="_Toc215669474" w:id="6"/>
      <w:bookmarkStart w:name="_Toc215669568" w:id="7"/>
      <w:bookmarkStart w:name="_Toc215669715" w:id="8"/>
      <w:bookmarkEnd w:id="3"/>
      <w:r>
        <w:t>Förändringar sedan föregående version</w:t>
      </w:r>
      <w:bookmarkEnd w:id="4"/>
      <w:bookmarkEnd w:id="5"/>
      <w:bookmarkEnd w:id="6"/>
      <w:bookmarkEnd w:id="7"/>
      <w:bookmarkEnd w:id="8"/>
    </w:p>
    <w:p w:rsidRPr="0099656E" w:rsidR="0099656E" w:rsidP="0099656E" w:rsidRDefault="0099656E" w14:paraId="5DA517E9" w14:textId="22759144">
      <w:r w:rsidRPr="0099656E">
        <w:t xml:space="preserve">Layout och formateringar är ändrade enligt ny gemensam dokumentmall för VGR. Versionsnumrering är förändrad då detta dokument är migrerat från </w:t>
      </w:r>
      <w:proofErr w:type="spellStart"/>
      <w:r w:rsidRPr="0099656E">
        <w:t>Alfresco</w:t>
      </w:r>
      <w:proofErr w:type="spellEnd"/>
      <w:r w:rsidRPr="0099656E">
        <w:t xml:space="preserve"> till SharePoint/SOFIA. Ansvar kring riktlinjen är förtydligat med en egen rubrik.</w:t>
      </w:r>
    </w:p>
    <w:bookmarkStart w:name="_Toc181866759" w:displacedByCustomXml="next" w:id="9"/>
    <w:bookmarkStart w:name="_Toc100327186" w:displacedByCustomXml="next" w:id="10"/>
    <w:sdt>
      <w:sdtPr>
        <w:rPr>
          <w:rFonts w:ascii="Georgia" w:hAnsi="Georgia" w:eastAsia="Times New Roman" w:cs="Times New Roman"/>
          <w:color w:val="auto"/>
          <w:sz w:val="24"/>
          <w:szCs w:val="24"/>
        </w:rPr>
        <w:id w:val="-1037889416"/>
        <w:docPartObj>
          <w:docPartGallery w:val="Table of Contents"/>
          <w:docPartUnique/>
        </w:docPartObj>
      </w:sdtPr>
      <w:sdtEndPr>
        <w:rPr>
          <w:rFonts w:ascii="Georgia" w:hAnsi="Georgia" w:eastAsia="Times New Roman" w:cs="Times New Roman"/>
          <w:b w:val="1"/>
          <w:bCs w:val="1"/>
          <w:color w:val="auto"/>
          <w:sz w:val="24"/>
          <w:szCs w:val="24"/>
        </w:rPr>
      </w:sdtEndPr>
      <w:sdtContent>
        <w:p w:rsidR="00E43BA7" w:rsidP="007B0100" w:rsidRDefault="00E03504" w14:paraId="341BA996" w14:textId="77777777">
          <w:pPr>
            <w:pStyle w:val="TOCHeading"/>
            <w:ind w:firstLine="567"/>
            <w:rPr>
              <w:noProof/>
            </w:rPr>
          </w:pPr>
          <w:r w:rsidRPr="00E03504">
            <w:rPr>
              <w:rStyle w:val="Heading2Char"/>
            </w:rPr>
            <w:t>Innehållsförteckning</w:t>
          </w:r>
          <w:r>
            <w:fldChar w:fldCharType="begin"/>
          </w:r>
          <w:r>
            <w:instrText xml:space="preserve"> TOC \o "1-3" \h \z \u </w:instrText>
          </w:r>
          <w:r>
            <w:fldChar w:fldCharType="separate"/>
          </w:r>
        </w:p>
        <w:p w:rsidR="00E43BA7" w:rsidRDefault="00E43BA7" w14:paraId="1F688022" w14:textId="65799B3D">
          <w:pPr>
            <w:pStyle w:val="TOC2"/>
            <w:rPr>
              <w:rFonts w:asciiTheme="minorHAnsi" w:hAnsiTheme="minorHAnsi" w:eastAsiaTheme="minorEastAsia" w:cstheme="minorBidi"/>
              <w:noProof/>
              <w:kern w:val="2"/>
              <w14:ligatures w14:val="standardContextual"/>
            </w:rPr>
          </w:pPr>
          <w:hyperlink w:history="1" w:anchor="_Toc215669715">
            <w:r w:rsidRPr="00852CB9">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_Toc215669715 \h </w:instrText>
            </w:r>
            <w:r>
              <w:rPr>
                <w:noProof/>
                <w:webHidden/>
              </w:rPr>
            </w:r>
            <w:r>
              <w:rPr>
                <w:noProof/>
                <w:webHidden/>
              </w:rPr>
              <w:fldChar w:fldCharType="separate"/>
            </w:r>
            <w:r>
              <w:rPr>
                <w:noProof/>
                <w:webHidden/>
              </w:rPr>
              <w:t>1</w:t>
            </w:r>
            <w:r>
              <w:rPr>
                <w:noProof/>
                <w:webHidden/>
              </w:rPr>
              <w:fldChar w:fldCharType="end"/>
            </w:r>
          </w:hyperlink>
        </w:p>
        <w:p w:rsidR="00E43BA7" w:rsidP="00472112" w:rsidRDefault="00E43BA7" w14:paraId="070867C8" w14:textId="31530C4E">
          <w:pPr>
            <w:pStyle w:val="TOC2"/>
            <w:rPr>
              <w:rFonts w:asciiTheme="minorHAnsi" w:hAnsiTheme="minorHAnsi" w:eastAsiaTheme="minorEastAsia" w:cstheme="minorBidi"/>
              <w:noProof/>
              <w:kern w:val="2"/>
              <w14:ligatures w14:val="standardContextual"/>
            </w:rPr>
          </w:pPr>
          <w:hyperlink w:history="1" w:anchor="_Toc215669716">
            <w:r w:rsidRPr="00852CB9">
              <w:rPr>
                <w:rStyle w:val="Hyperlink"/>
                <w:rFonts w:eastAsia="MS Gothic"/>
                <w:noProof/>
              </w:rPr>
              <w:t>Bakgrund och syfte</w:t>
            </w:r>
            <w:r>
              <w:rPr>
                <w:noProof/>
                <w:webHidden/>
              </w:rPr>
              <w:tab/>
            </w:r>
            <w:r>
              <w:rPr>
                <w:noProof/>
                <w:webHidden/>
              </w:rPr>
              <w:fldChar w:fldCharType="begin"/>
            </w:r>
            <w:r>
              <w:rPr>
                <w:noProof/>
                <w:webHidden/>
              </w:rPr>
              <w:instrText xml:space="preserve"> PAGEREF _Toc215669716 \h </w:instrText>
            </w:r>
            <w:r>
              <w:rPr>
                <w:noProof/>
                <w:webHidden/>
              </w:rPr>
            </w:r>
            <w:r>
              <w:rPr>
                <w:noProof/>
                <w:webHidden/>
              </w:rPr>
              <w:fldChar w:fldCharType="separate"/>
            </w:r>
            <w:r>
              <w:rPr>
                <w:noProof/>
                <w:webHidden/>
              </w:rPr>
              <w:t>1</w:t>
            </w:r>
            <w:r>
              <w:rPr>
                <w:noProof/>
                <w:webHidden/>
              </w:rPr>
              <w:fldChar w:fldCharType="end"/>
            </w:r>
          </w:hyperlink>
        </w:p>
        <w:p w:rsidR="00E43BA7" w:rsidP="00472112" w:rsidRDefault="00E43BA7" w14:paraId="68820572" w14:textId="18910643">
          <w:pPr>
            <w:pStyle w:val="TOC2"/>
            <w:rPr>
              <w:rFonts w:asciiTheme="minorHAnsi" w:hAnsiTheme="minorHAnsi" w:eastAsiaTheme="minorEastAsia" w:cstheme="minorBidi"/>
              <w:noProof/>
              <w:kern w:val="2"/>
              <w14:ligatures w14:val="standardContextual"/>
            </w:rPr>
          </w:pPr>
          <w:hyperlink w:history="1" w:anchor="_Toc215669717">
            <w:r w:rsidRPr="00852CB9">
              <w:rPr>
                <w:rStyle w:val="Hyperlink"/>
                <w:rFonts w:eastAsia="MS Gothic"/>
                <w:noProof/>
              </w:rPr>
              <w:t>Ärftlighet – genetisk utredning</w:t>
            </w:r>
            <w:r>
              <w:rPr>
                <w:noProof/>
                <w:webHidden/>
              </w:rPr>
              <w:tab/>
            </w:r>
            <w:r>
              <w:rPr>
                <w:noProof/>
                <w:webHidden/>
              </w:rPr>
              <w:fldChar w:fldCharType="begin"/>
            </w:r>
            <w:r>
              <w:rPr>
                <w:noProof/>
                <w:webHidden/>
              </w:rPr>
              <w:instrText xml:space="preserve"> PAGEREF _Toc215669717 \h </w:instrText>
            </w:r>
            <w:r>
              <w:rPr>
                <w:noProof/>
                <w:webHidden/>
              </w:rPr>
            </w:r>
            <w:r>
              <w:rPr>
                <w:noProof/>
                <w:webHidden/>
              </w:rPr>
              <w:fldChar w:fldCharType="separate"/>
            </w:r>
            <w:r>
              <w:rPr>
                <w:noProof/>
                <w:webHidden/>
              </w:rPr>
              <w:t>3</w:t>
            </w:r>
            <w:r>
              <w:rPr>
                <w:noProof/>
                <w:webHidden/>
              </w:rPr>
              <w:fldChar w:fldCharType="end"/>
            </w:r>
          </w:hyperlink>
        </w:p>
        <w:p w:rsidR="00E43BA7" w:rsidP="00472112" w:rsidRDefault="00E43BA7" w14:paraId="5F17E38B" w14:textId="058CDF3D">
          <w:pPr>
            <w:pStyle w:val="TOC2"/>
            <w:rPr>
              <w:rFonts w:asciiTheme="minorHAnsi" w:hAnsiTheme="minorHAnsi" w:eastAsiaTheme="minorEastAsia" w:cstheme="minorBidi"/>
              <w:noProof/>
              <w:kern w:val="2"/>
              <w14:ligatures w14:val="standardContextual"/>
            </w:rPr>
          </w:pPr>
          <w:hyperlink w:history="1" w:anchor="_Toc215669718">
            <w:r w:rsidRPr="00852CB9">
              <w:rPr>
                <w:rStyle w:val="Hyperlink"/>
                <w:rFonts w:eastAsia="MS Gothic"/>
                <w:noProof/>
              </w:rPr>
              <w:t>Utförande</w:t>
            </w:r>
            <w:r>
              <w:rPr>
                <w:noProof/>
                <w:webHidden/>
              </w:rPr>
              <w:tab/>
            </w:r>
            <w:r>
              <w:rPr>
                <w:noProof/>
                <w:webHidden/>
              </w:rPr>
              <w:fldChar w:fldCharType="begin"/>
            </w:r>
            <w:r>
              <w:rPr>
                <w:noProof/>
                <w:webHidden/>
              </w:rPr>
              <w:instrText xml:space="preserve"> PAGEREF _Toc215669718 \h </w:instrText>
            </w:r>
            <w:r>
              <w:rPr>
                <w:noProof/>
                <w:webHidden/>
              </w:rPr>
            </w:r>
            <w:r>
              <w:rPr>
                <w:noProof/>
                <w:webHidden/>
              </w:rPr>
              <w:fldChar w:fldCharType="separate"/>
            </w:r>
            <w:r>
              <w:rPr>
                <w:noProof/>
                <w:webHidden/>
              </w:rPr>
              <w:t>3</w:t>
            </w:r>
            <w:r>
              <w:rPr>
                <w:noProof/>
                <w:webHidden/>
              </w:rPr>
              <w:fldChar w:fldCharType="end"/>
            </w:r>
          </w:hyperlink>
        </w:p>
        <w:p w:rsidR="00E43BA7" w:rsidP="00472112" w:rsidRDefault="00E43BA7" w14:paraId="32813260" w14:textId="0B529025">
          <w:pPr>
            <w:pStyle w:val="TOC2"/>
            <w:rPr>
              <w:rFonts w:asciiTheme="minorHAnsi" w:hAnsiTheme="minorHAnsi" w:eastAsiaTheme="minorEastAsia" w:cstheme="minorBidi"/>
              <w:noProof/>
              <w:kern w:val="2"/>
              <w14:ligatures w14:val="standardContextual"/>
            </w:rPr>
          </w:pPr>
          <w:hyperlink w:history="1" w:anchor="_Toc215669719">
            <w:r w:rsidRPr="00852CB9">
              <w:rPr>
                <w:rStyle w:val="Hyperlink"/>
                <w:rFonts w:eastAsia="MS Gothic"/>
                <w:noProof/>
              </w:rPr>
              <w:t>Graviditet</w:t>
            </w:r>
            <w:r>
              <w:rPr>
                <w:noProof/>
                <w:webHidden/>
              </w:rPr>
              <w:tab/>
            </w:r>
            <w:r>
              <w:rPr>
                <w:noProof/>
                <w:webHidden/>
              </w:rPr>
              <w:fldChar w:fldCharType="begin"/>
            </w:r>
            <w:r>
              <w:rPr>
                <w:noProof/>
                <w:webHidden/>
              </w:rPr>
              <w:instrText xml:space="preserve"> PAGEREF _Toc215669719 \h </w:instrText>
            </w:r>
            <w:r>
              <w:rPr>
                <w:noProof/>
                <w:webHidden/>
              </w:rPr>
            </w:r>
            <w:r>
              <w:rPr>
                <w:noProof/>
                <w:webHidden/>
              </w:rPr>
              <w:fldChar w:fldCharType="separate"/>
            </w:r>
            <w:r>
              <w:rPr>
                <w:noProof/>
                <w:webHidden/>
              </w:rPr>
              <w:t>3</w:t>
            </w:r>
            <w:r>
              <w:rPr>
                <w:noProof/>
                <w:webHidden/>
              </w:rPr>
              <w:fldChar w:fldCharType="end"/>
            </w:r>
          </w:hyperlink>
        </w:p>
        <w:p w:rsidR="00E43BA7" w:rsidP="00472112" w:rsidRDefault="00E43BA7" w14:paraId="21764F6A" w14:textId="08A8D2CB">
          <w:pPr>
            <w:pStyle w:val="TOC2"/>
            <w:rPr>
              <w:rFonts w:asciiTheme="minorHAnsi" w:hAnsiTheme="minorHAnsi" w:eastAsiaTheme="minorEastAsia" w:cstheme="minorBidi"/>
              <w:noProof/>
              <w:kern w:val="2"/>
              <w14:ligatures w14:val="standardContextual"/>
            </w:rPr>
          </w:pPr>
          <w:hyperlink w:history="1" w:anchor="_Toc215669720">
            <w:r w:rsidRPr="00852CB9">
              <w:rPr>
                <w:rStyle w:val="Hyperlink"/>
                <w:rFonts w:eastAsia="MS Gothic"/>
                <w:noProof/>
              </w:rPr>
              <w:t>Ansvar</w:t>
            </w:r>
            <w:r>
              <w:rPr>
                <w:noProof/>
                <w:webHidden/>
              </w:rPr>
              <w:tab/>
            </w:r>
            <w:r>
              <w:rPr>
                <w:noProof/>
                <w:webHidden/>
              </w:rPr>
              <w:fldChar w:fldCharType="begin"/>
            </w:r>
            <w:r>
              <w:rPr>
                <w:noProof/>
                <w:webHidden/>
              </w:rPr>
              <w:instrText xml:space="preserve"> PAGEREF _Toc215669720 \h </w:instrText>
            </w:r>
            <w:r>
              <w:rPr>
                <w:noProof/>
                <w:webHidden/>
              </w:rPr>
            </w:r>
            <w:r>
              <w:rPr>
                <w:noProof/>
                <w:webHidden/>
              </w:rPr>
              <w:fldChar w:fldCharType="separate"/>
            </w:r>
            <w:r>
              <w:rPr>
                <w:noProof/>
                <w:webHidden/>
              </w:rPr>
              <w:t>8</w:t>
            </w:r>
            <w:r>
              <w:rPr>
                <w:noProof/>
                <w:webHidden/>
              </w:rPr>
              <w:fldChar w:fldCharType="end"/>
            </w:r>
          </w:hyperlink>
        </w:p>
        <w:p w:rsidR="00E43BA7" w:rsidP="00472112" w:rsidRDefault="00E43BA7" w14:paraId="52D1545F" w14:textId="70A38562">
          <w:pPr>
            <w:pStyle w:val="TOC2"/>
            <w:rPr>
              <w:rFonts w:asciiTheme="minorHAnsi" w:hAnsiTheme="minorHAnsi" w:eastAsiaTheme="minorEastAsia" w:cstheme="minorBidi"/>
              <w:noProof/>
              <w:kern w:val="2"/>
              <w14:ligatures w14:val="standardContextual"/>
            </w:rPr>
          </w:pPr>
          <w:hyperlink w:history="1" w:anchor="_Toc215669721">
            <w:r w:rsidRPr="00852CB9">
              <w:rPr>
                <w:rStyle w:val="Hyperlink"/>
                <w:rFonts w:eastAsia="MS Gothic"/>
                <w:noProof/>
              </w:rPr>
              <w:t>Arbetsgrupp</w:t>
            </w:r>
            <w:r>
              <w:rPr>
                <w:noProof/>
                <w:webHidden/>
              </w:rPr>
              <w:tab/>
            </w:r>
            <w:r>
              <w:rPr>
                <w:noProof/>
                <w:webHidden/>
              </w:rPr>
              <w:fldChar w:fldCharType="begin"/>
            </w:r>
            <w:r>
              <w:rPr>
                <w:noProof/>
                <w:webHidden/>
              </w:rPr>
              <w:instrText xml:space="preserve"> PAGEREF _Toc215669721 \h </w:instrText>
            </w:r>
            <w:r>
              <w:rPr>
                <w:noProof/>
                <w:webHidden/>
              </w:rPr>
            </w:r>
            <w:r>
              <w:rPr>
                <w:noProof/>
                <w:webHidden/>
              </w:rPr>
              <w:fldChar w:fldCharType="separate"/>
            </w:r>
            <w:r>
              <w:rPr>
                <w:noProof/>
                <w:webHidden/>
              </w:rPr>
              <w:t>8</w:t>
            </w:r>
            <w:r>
              <w:rPr>
                <w:noProof/>
                <w:webHidden/>
              </w:rPr>
              <w:fldChar w:fldCharType="end"/>
            </w:r>
          </w:hyperlink>
        </w:p>
        <w:p w:rsidR="00E03504" w:rsidP="002D6216" w:rsidRDefault="00E03504" w14:paraId="277C67AB" w14:textId="6DD207B3">
          <w:pPr>
            <w:ind w:left="0"/>
          </w:pPr>
          <w:r>
            <w:rPr>
              <w:b/>
              <w:bCs/>
            </w:rPr>
            <w:fldChar w:fldCharType="end"/>
          </w:r>
        </w:p>
      </w:sdtContent>
    </w:sdt>
    <w:p w:rsidR="009A32ED" w:rsidP="009A32ED" w:rsidRDefault="009A32ED" w14:paraId="29B03EF5" w14:textId="77777777">
      <w:pPr>
        <w:pStyle w:val="Heading2"/>
        <w:ind w:right="-143"/>
      </w:pPr>
      <w:bookmarkStart w:name="_Toc215669716" w:id="11"/>
      <w:r>
        <w:t>Bakgrund och syfte</w:t>
      </w:r>
      <w:bookmarkEnd w:id="10"/>
      <w:bookmarkEnd w:id="9"/>
      <w:bookmarkEnd w:id="11"/>
      <w:r>
        <w:t xml:space="preserve"> </w:t>
      </w:r>
    </w:p>
    <w:p w:rsidR="00EC241F" w:rsidP="00EC241F" w:rsidRDefault="00EC241F" w14:paraId="485B247E" w14:textId="77777777">
      <w:r>
        <w:t>Ehlers-</w:t>
      </w:r>
      <w:proofErr w:type="spellStart"/>
      <w:r>
        <w:t>Danlos</w:t>
      </w:r>
      <w:proofErr w:type="spellEnd"/>
      <w:r>
        <w:t xml:space="preserve"> syndrom (EDS) är en bindvävssjukdom som påverkar leder, hud och blodkärl. EDS beror på bristfällig bildning av kollagen som gör att hållfastheten i vävnaderna blir sämre. Det medför ökad ledrörlighet, övertöjbar hud och ibland sköra kärlväggar. Sjukdomen kan inte botas, behandling inriktas på att lindra symtomen och förebygga skador.</w:t>
      </w:r>
    </w:p>
    <w:p w:rsidR="00EC241F" w:rsidP="00EC241F" w:rsidRDefault="00EC241F" w14:paraId="6B93DD66" w14:textId="77777777">
      <w:r>
        <w:t>De allra flesta fall av EDS är av ”klassisk typ” och ”överrörlighetstyp”. Prevalensen uppskattats till 1/10 000, troligtvis är det vanligare. Ett kliniskt kontinuum föreligger, från ”hypermobilitetssyndrom” till EDS av hypermobilitetstyp vidare till EDS av klassisk typ. Diagnostik sker på basen av kliniska fynd.</w:t>
      </w:r>
    </w:p>
    <w:p w:rsidR="00EC241F" w:rsidP="00EC241F" w:rsidRDefault="00EC241F" w14:paraId="22A173EA" w14:textId="77777777">
      <w:r>
        <w:t xml:space="preserve">Många patienter med EDS har uttalade problem med värk, trötthet och tydlig funktionsnedsättning i vardagen. Symtom: påtagligt töjbar eller mjuk hud, sämre sårläkning med ”fula” ärr, sårruptur, uttalad ledöverrörighet som i sin tur kan ge återkommande subluxationer/luxationer och stukningar utan större provokation, plattfot och artros. Vidare noteras uttalad trötthet och nedsatt uthållighet fysiskt och psykiskt, muskelhypotoni, blödningsbenägenhet </w:t>
      </w:r>
      <w:proofErr w:type="gramStart"/>
      <w:r>
        <w:t>t ex</w:t>
      </w:r>
      <w:proofErr w:type="gramEnd"/>
      <w:r>
        <w:t xml:space="preserve"> blåmärken eller </w:t>
      </w:r>
      <w:proofErr w:type="spellStart"/>
      <w:r>
        <w:t>hematom</w:t>
      </w:r>
      <w:proofErr w:type="spellEnd"/>
      <w:r>
        <w:t xml:space="preserve"> som uppstått vid lättare trauma, svårighet att blodstilla vid kirurgi och benägenhet till bråck. Det är vanligt att flera personer i familjen är drabbade. En del patienter har lindriga besvär och en del har uttalad symtomatologi. </w:t>
      </w:r>
    </w:p>
    <w:p w:rsidR="00EC241F" w:rsidP="00EC241F" w:rsidRDefault="00EC241F" w14:paraId="26E8942D" w14:textId="77777777">
      <w:r>
        <w:t>Organrupturer, svårare kirurgiska komplikationer och allvarlig kardiovaskulär påverkan är sällsynta och förekommer endast vid vaskulär typ av EDS.</w:t>
      </w:r>
    </w:p>
    <w:p w:rsidRPr="00EC241F" w:rsidR="00EC241F" w:rsidP="00EC241F" w:rsidRDefault="00EC241F" w14:paraId="438956B8" w14:textId="77777777">
      <w:pPr>
        <w:rPr>
          <w:b/>
          <w:bCs/>
        </w:rPr>
      </w:pPr>
      <w:r w:rsidRPr="00EC241F">
        <w:rPr>
          <w:b/>
          <w:bCs/>
        </w:rPr>
        <w:t xml:space="preserve">Gravida kvinnor med EDS löper viss ökad risk för prematur förlossning, avlossning av moderkakan och stora blödningar och bristningar i underlivet. Det finns också risker förknippade med anestesi och bedövning i samband med förlossning som motiverar extra uppmärksamhet.  </w:t>
      </w:r>
    </w:p>
    <w:p w:rsidR="00EC241F" w:rsidP="00EC241F" w:rsidRDefault="00EC241F" w14:paraId="06D0988E" w14:textId="77777777">
      <w:r>
        <w:t>EDS-patienterna har ingen självklar hemvist i vården idag och kan därför ha negativa erfarenheter då det varit svårt att få diagnos och behandling. De har ofta sökt vård och varit aktuella på vårdcentral, inom reumatologin, ortopedin eller neurologin.</w:t>
      </w:r>
    </w:p>
    <w:p w:rsidR="00EC241F" w:rsidP="00EC241F" w:rsidRDefault="00EC241F" w14:paraId="072E3FD0" w14:textId="0B792C8C">
      <w:r>
        <w:t xml:space="preserve">Det finns också några mycket ovanliga EDS-typer: </w:t>
      </w:r>
      <w:proofErr w:type="spellStart"/>
      <w:r>
        <w:t>kärltyp</w:t>
      </w:r>
      <w:proofErr w:type="spellEnd"/>
      <w:r>
        <w:t xml:space="preserve">, </w:t>
      </w:r>
      <w:proofErr w:type="spellStart"/>
      <w:r>
        <w:t>kyfoskolios</w:t>
      </w:r>
      <w:proofErr w:type="spellEnd"/>
      <w:r>
        <w:t xml:space="preserve">-typ, </w:t>
      </w:r>
      <w:proofErr w:type="spellStart"/>
      <w:r>
        <w:t>artrochalasi</w:t>
      </w:r>
      <w:proofErr w:type="spellEnd"/>
      <w:r>
        <w:t xml:space="preserve">-typ samt </w:t>
      </w:r>
      <w:proofErr w:type="spellStart"/>
      <w:r>
        <w:t>dermatosparaxis</w:t>
      </w:r>
      <w:proofErr w:type="spellEnd"/>
      <w:r>
        <w:t xml:space="preserve">-typ. Dessa syndrom skiljer sig kliniskt från EDS av överrörlighetstyp och klassisk typ, och därmed skiljer sig även diagnostik och handläggning. </w:t>
      </w:r>
      <w:proofErr w:type="gramStart"/>
      <w:r>
        <w:t>T ex</w:t>
      </w:r>
      <w:proofErr w:type="gramEnd"/>
      <w:r>
        <w:t xml:space="preserve"> har kvinnor med EDS av </w:t>
      </w:r>
      <w:proofErr w:type="spellStart"/>
      <w:r>
        <w:t>kärltyp</w:t>
      </w:r>
      <w:proofErr w:type="spellEnd"/>
      <w:r>
        <w:t xml:space="preserve"> risk för arteriell och </w:t>
      </w:r>
      <w:proofErr w:type="spellStart"/>
      <w:r>
        <w:t>uterin</w:t>
      </w:r>
      <w:proofErr w:type="spellEnd"/>
      <w:r>
        <w:t xml:space="preserve"> ruptur. Vid någon av dessa diagnoser ska snar kontakt tas med </w:t>
      </w:r>
      <w:proofErr w:type="spellStart"/>
      <w:r>
        <w:t>spec</w:t>
      </w:r>
      <w:proofErr w:type="spellEnd"/>
      <w:r>
        <w:t>-MVC (som kan kontakta Klinisk genetik) för individualiserad handläggning.</w:t>
      </w:r>
    </w:p>
    <w:p w:rsidR="009F18CB" w:rsidP="005D5144" w:rsidRDefault="005D5144" w14:paraId="698B523C" w14:textId="769FF70D">
      <w:pPr>
        <w:pStyle w:val="Heading2"/>
      </w:pPr>
      <w:bookmarkStart w:name="_Toc215669717" w:id="12"/>
      <w:r w:rsidRPr="005D5144">
        <w:t>Ärftlighet – genetisk utredning</w:t>
      </w:r>
      <w:bookmarkEnd w:id="12"/>
    </w:p>
    <w:p w:rsidR="004D4B4A" w:rsidP="004D4B4A" w:rsidRDefault="004D4B4A" w14:paraId="312165DC" w14:textId="77777777">
      <w:r>
        <w:t>Vid EDS av klassisk typ och överrörlighetstyp har genetisk diagnostik ingen självklar plats och behövs inte för att ställa denna kliniska diagnos. EDS beror dock just på mutationer i gener som kodar för kollagen eller andra proteiner som bygger upp bindväven. De flesta fallen av EDS nedärvs autosomalt dominant (50 % sannolikhet att ett barn ärver tillståndet från en sjuk förälder). Det är också vanligt att sjukdomen orsakas av en nymutation hos individen – dvs. båda föräldrarna är friska. Inom en familj har man samma typ av EDS, men graden av symtom kan variera påtagligt mellan de familjemedlemmar som har sjukdomen. I enstaka familjer med mycket uttalad problematik och funktionsnedsättning kan det vara aktuellt med genetisk diagnostik och i förlängningen fosterdiagnostik.</w:t>
      </w:r>
    </w:p>
    <w:p w:rsidRPr="005D5144" w:rsidR="005D5144" w:rsidP="004D4B4A" w:rsidRDefault="004D4B4A" w14:paraId="75088FC6" w14:textId="694D7C2A">
      <w:r>
        <w:t xml:space="preserve">Vid EDS av </w:t>
      </w:r>
      <w:proofErr w:type="spellStart"/>
      <w:r>
        <w:t>kärltyp</w:t>
      </w:r>
      <w:proofErr w:type="spellEnd"/>
      <w:r>
        <w:t xml:space="preserve">, </w:t>
      </w:r>
      <w:proofErr w:type="spellStart"/>
      <w:r>
        <w:t>kyfoskolios</w:t>
      </w:r>
      <w:proofErr w:type="spellEnd"/>
      <w:r>
        <w:t xml:space="preserve">-typ, </w:t>
      </w:r>
      <w:proofErr w:type="spellStart"/>
      <w:r>
        <w:t>artrochalasi</w:t>
      </w:r>
      <w:proofErr w:type="spellEnd"/>
      <w:r>
        <w:t xml:space="preserve">-typ eller </w:t>
      </w:r>
      <w:proofErr w:type="spellStart"/>
      <w:r>
        <w:t>dermatosparaxis</w:t>
      </w:r>
      <w:proofErr w:type="spellEnd"/>
      <w:r>
        <w:t xml:space="preserve">-typ kan det bli aktuellt med genetisk utredning och om man identifierar ett sjukdomsanlag även konventionell fosterdiagnostik </w:t>
      </w:r>
      <w:proofErr w:type="gramStart"/>
      <w:r>
        <w:t>eller  IVF</w:t>
      </w:r>
      <w:proofErr w:type="gramEnd"/>
      <w:r>
        <w:t>-PGD.</w:t>
      </w:r>
    </w:p>
    <w:p w:rsidR="009A32ED" w:rsidP="00E43BA7" w:rsidRDefault="009A32ED" w14:paraId="37C7076C" w14:textId="77777777">
      <w:pPr>
        <w:pStyle w:val="Heading2"/>
      </w:pPr>
      <w:bookmarkStart w:name="_Toc100327192" w:id="13"/>
      <w:bookmarkStart w:name="_Toc181866761" w:id="14"/>
      <w:bookmarkStart w:name="_Toc215669718" w:id="15"/>
      <w:r w:rsidRPr="00E43BA7">
        <w:t>Utförande</w:t>
      </w:r>
      <w:bookmarkEnd w:id="13"/>
      <w:bookmarkEnd w:id="14"/>
      <w:bookmarkEnd w:id="15"/>
    </w:p>
    <w:p w:rsidR="004D4B4A" w:rsidP="00E43BA7" w:rsidRDefault="00E5306E" w14:paraId="15FD532C" w14:textId="18D8581E">
      <w:pPr>
        <w:pStyle w:val="Heading3"/>
      </w:pPr>
      <w:bookmarkStart w:name="_Toc215669719" w:id="16"/>
      <w:r w:rsidRPr="00E43BA7">
        <w:t>Graviditet</w:t>
      </w:r>
      <w:bookmarkEnd w:id="16"/>
    </w:p>
    <w:p w:rsidR="00866EB5" w:rsidP="00E43BA7" w:rsidRDefault="00866EB5" w14:paraId="1A5272C7" w14:textId="4232CFF1">
      <w:pPr>
        <w:pStyle w:val="MellanrubrikVGR"/>
      </w:pPr>
      <w:r>
        <w:t>Barnmorska på BMM</w:t>
      </w:r>
    </w:p>
    <w:p w:rsidR="00866EB5" w:rsidP="00250631" w:rsidRDefault="00866EB5" w14:paraId="6809F995" w14:textId="50ACF440">
      <w:pPr>
        <w:pStyle w:val="ListParagraph"/>
      </w:pPr>
      <w:r>
        <w:t>Efterhör om kvinnan vet vilken typ av EDS det rör sig om.</w:t>
      </w:r>
    </w:p>
    <w:p w:rsidR="00866EB5" w:rsidP="00250631" w:rsidRDefault="00866EB5" w14:paraId="61B8B94B" w14:textId="6A3EAAA5">
      <w:pPr>
        <w:pStyle w:val="ListParagraph"/>
      </w:pPr>
      <w:r>
        <w:t>Konstaterat var/när? Var kan journalhandlingar efterforskas?</w:t>
      </w:r>
    </w:p>
    <w:p w:rsidR="00866EB5" w:rsidP="00250631" w:rsidRDefault="00866EB5" w14:paraId="06A96F3B" w14:textId="4201CB5B">
      <w:pPr>
        <w:pStyle w:val="ListParagraph"/>
      </w:pPr>
      <w:r>
        <w:t>Inhämta samtycke och beställ journal</w:t>
      </w:r>
    </w:p>
    <w:p w:rsidR="00866EB5" w:rsidP="00250631" w:rsidRDefault="00866EB5" w14:paraId="2D1CDD03" w14:textId="51BC29DD">
      <w:pPr>
        <w:pStyle w:val="ListParagraph"/>
      </w:pPr>
      <w:r>
        <w:t>Boka läkarbesök på BMM</w:t>
      </w:r>
    </w:p>
    <w:p w:rsidR="00866EB5" w:rsidP="00250631" w:rsidRDefault="00866EB5" w14:paraId="475786DE" w14:textId="0127C89B">
      <w:pPr>
        <w:pStyle w:val="ListParagraph"/>
      </w:pPr>
      <w:r>
        <w:t>Skriv patientnotering ”Har Ehlers-</w:t>
      </w:r>
      <w:proofErr w:type="spellStart"/>
      <w:r>
        <w:t>Danlos</w:t>
      </w:r>
      <w:proofErr w:type="spellEnd"/>
      <w:r>
        <w:t xml:space="preserve"> syndrom”</w:t>
      </w:r>
    </w:p>
    <w:p w:rsidR="00866EB5" w:rsidP="00250631" w:rsidRDefault="00866EB5" w14:paraId="03DDD722" w14:textId="45E5490D">
      <w:pPr>
        <w:pStyle w:val="ListParagraph"/>
      </w:pPr>
      <w:r>
        <w:t>Ta TPK, APTT och PK(INR)</w:t>
      </w:r>
    </w:p>
    <w:p w:rsidR="00E5306E" w:rsidP="00250631" w:rsidRDefault="00866EB5" w14:paraId="3452194B" w14:textId="4FD6E37A">
      <w:pPr>
        <w:pStyle w:val="ListParagraph"/>
      </w:pPr>
      <w:r>
        <w:t>OBS: ökad risk för sätesändläge i sen graviditet, frikostighet med lägesbestämning ultraljud.</w:t>
      </w:r>
    </w:p>
    <w:p w:rsidR="00250631" w:rsidP="00250631" w:rsidRDefault="00250631" w14:paraId="6664367B" w14:textId="2A7F30EE">
      <w:pPr>
        <w:pStyle w:val="MellanrubrikVGR"/>
      </w:pPr>
      <w:r w:rsidRPr="00250631">
        <w:t>Läkarbesök BMM</w:t>
      </w:r>
    </w:p>
    <w:p w:rsidRPr="00250631" w:rsidR="00250631" w:rsidP="00250631" w:rsidRDefault="00250631" w14:paraId="2AF43AF6" w14:textId="3841A92F">
      <w:pPr>
        <w:pStyle w:val="ListParagraph"/>
        <w:numPr>
          <w:ilvl w:val="0"/>
          <w:numId w:val="20"/>
        </w:numPr>
      </w:pPr>
      <w:r w:rsidRPr="00250631">
        <w:t xml:space="preserve">Om överrörlighetstyp eller klassisk typ: handläggs på ordinarie BMM. Övriga typer: </w:t>
      </w:r>
      <w:proofErr w:type="gramStart"/>
      <w:r w:rsidRPr="00250631">
        <w:t xml:space="preserve">remiss  </w:t>
      </w:r>
      <w:proofErr w:type="spellStart"/>
      <w:r w:rsidRPr="00250631">
        <w:t>spec</w:t>
      </w:r>
      <w:proofErr w:type="spellEnd"/>
      <w:proofErr w:type="gramEnd"/>
      <w:r w:rsidRPr="00250631">
        <w:t>-MVC</w:t>
      </w:r>
    </w:p>
    <w:p w:rsidRPr="00250631" w:rsidR="00250631" w:rsidP="00250631" w:rsidRDefault="00250631" w14:paraId="7686CC20" w14:textId="423CC907">
      <w:pPr>
        <w:pStyle w:val="ListParagraph"/>
      </w:pPr>
      <w:r w:rsidRPr="00250631">
        <w:t xml:space="preserve">Blödningsanamnes: Om lätt att få blåmärken, riklig mens, tandköttsblödning eller blödningskomplikation efter tidigare operation, tandextraktion eller i samband med förlossning: Remiss Koagulationscentrum för utredning (remiss skrivs för att utesluta annan diagnos, som </w:t>
      </w:r>
      <w:proofErr w:type="gramStart"/>
      <w:r w:rsidRPr="00250631">
        <w:t>t ex</w:t>
      </w:r>
      <w:proofErr w:type="gramEnd"/>
      <w:r w:rsidRPr="00250631">
        <w:t xml:space="preserve"> trombocytfunktionsdefekt, mild von Willebrand etc.) EDS-patienter har ofta ökad blödningsbenägenhet utan att man finner </w:t>
      </w:r>
      <w:proofErr w:type="spellStart"/>
      <w:r w:rsidRPr="00250631">
        <w:t>hemostasdefekter</w:t>
      </w:r>
      <w:proofErr w:type="spellEnd"/>
      <w:r w:rsidRPr="00250631">
        <w:t>).</w:t>
      </w:r>
    </w:p>
    <w:p w:rsidRPr="00250631" w:rsidR="00250631" w:rsidP="00250631" w:rsidRDefault="00250631" w14:paraId="2C51E2E2" w14:textId="720EE0BF">
      <w:pPr>
        <w:pStyle w:val="ListParagraph"/>
      </w:pPr>
      <w:r w:rsidRPr="00250631">
        <w:t>Generös sjukskrivningspolicy (generella smärtor, trötthet, prematura sammandragningar).</w:t>
      </w:r>
    </w:p>
    <w:p w:rsidR="00250631" w:rsidP="00250631" w:rsidRDefault="00250631" w14:paraId="1BB2524D" w14:textId="7DC2FA12">
      <w:pPr>
        <w:pStyle w:val="ListParagraph"/>
      </w:pPr>
      <w:r w:rsidRPr="00250631">
        <w:t>Remiss anestesi (på alla).</w:t>
      </w:r>
    </w:p>
    <w:p w:rsidR="00250631" w:rsidP="00250631" w:rsidRDefault="00250631" w14:paraId="731FA467" w14:textId="6C84EADB">
      <w:pPr>
        <w:pStyle w:val="MellanrubrikVGR"/>
      </w:pPr>
      <w:r w:rsidRPr="00250631">
        <w:t>Anestesiolog</w:t>
      </w:r>
    </w:p>
    <w:p w:rsidR="00250631" w:rsidP="00250631" w:rsidRDefault="00250631" w14:paraId="073DF9D2" w14:textId="156DBE24">
      <w:pPr>
        <w:pStyle w:val="ListParagraph"/>
        <w:numPr>
          <w:ilvl w:val="0"/>
          <w:numId w:val="21"/>
        </w:numPr>
      </w:pPr>
      <w:r>
        <w:t>Bedöm remiss och kalla patient på rätt vida indikationer.</w:t>
      </w:r>
    </w:p>
    <w:p w:rsidR="00250631" w:rsidP="00250631" w:rsidRDefault="00250631" w14:paraId="4924C14A" w14:textId="71CD366F">
      <w:pPr>
        <w:pStyle w:val="ListParagraph"/>
        <w:numPr>
          <w:ilvl w:val="0"/>
          <w:numId w:val="21"/>
        </w:numPr>
      </w:pPr>
      <w:r>
        <w:t xml:space="preserve">EDS-typ styr omhändertagande och påverkar riskerna med regional anestesi och </w:t>
      </w:r>
      <w:proofErr w:type="gramStart"/>
      <w:r>
        <w:t>generell  anestesi</w:t>
      </w:r>
      <w:proofErr w:type="gramEnd"/>
      <w:r>
        <w:t>.</w:t>
      </w:r>
    </w:p>
    <w:p w:rsidR="00250631" w:rsidP="00250631" w:rsidRDefault="00250631" w14:paraId="36398B68" w14:textId="280A3425">
      <w:pPr>
        <w:pStyle w:val="MellanrubrikVGR"/>
      </w:pPr>
      <w:r w:rsidRPr="00250631">
        <w:t>Förlossning</w:t>
      </w:r>
    </w:p>
    <w:p w:rsidR="00250631" w:rsidP="00250631" w:rsidRDefault="00250631" w14:paraId="3E032464" w14:textId="2E67BE5F">
      <w:pPr>
        <w:pStyle w:val="ListParagraph"/>
        <w:numPr>
          <w:ilvl w:val="0"/>
          <w:numId w:val="22"/>
        </w:numPr>
      </w:pPr>
      <w:proofErr w:type="spellStart"/>
      <w:r>
        <w:t>Perinealskydd</w:t>
      </w:r>
      <w:proofErr w:type="spellEnd"/>
      <w:r>
        <w:t xml:space="preserve"> – ökad risk för bristningar</w:t>
      </w:r>
    </w:p>
    <w:p w:rsidR="00250631" w:rsidP="00250631" w:rsidRDefault="00250631" w14:paraId="1997E347" w14:textId="7C6EFE36">
      <w:pPr>
        <w:pStyle w:val="ListParagraph"/>
        <w:numPr>
          <w:ilvl w:val="0"/>
          <w:numId w:val="22"/>
        </w:numPr>
      </w:pPr>
      <w:r>
        <w:t xml:space="preserve">Ökad risk </w:t>
      </w:r>
      <w:proofErr w:type="spellStart"/>
      <w:r>
        <w:t>sublux</w:t>
      </w:r>
      <w:proofErr w:type="spellEnd"/>
      <w:r>
        <w:t xml:space="preserve">/lux höftled och axelled (beaktas vid benstöd/hyperflexion höfter </w:t>
      </w:r>
      <w:proofErr w:type="gramStart"/>
      <w:r>
        <w:t>m.m.</w:t>
      </w:r>
      <w:proofErr w:type="gramEnd"/>
      <w:r>
        <w:t>)</w:t>
      </w:r>
    </w:p>
    <w:p w:rsidR="00250631" w:rsidP="00250631" w:rsidRDefault="00250631" w14:paraId="72F6D130" w14:textId="3406AAB4">
      <w:pPr>
        <w:pStyle w:val="ListParagraph"/>
        <w:numPr>
          <w:ilvl w:val="0"/>
          <w:numId w:val="22"/>
        </w:numPr>
      </w:pPr>
      <w:r>
        <w:t xml:space="preserve">Stygn tätare än normalt, suturer skall dras ihop med försiktighet, förstärk gärna med tejp/plastfilm. </w:t>
      </w:r>
      <w:proofErr w:type="spellStart"/>
      <w:r>
        <w:t>Vicryl</w:t>
      </w:r>
      <w:proofErr w:type="spellEnd"/>
      <w:r>
        <w:t xml:space="preserve"> Rapid skall inte användas. (Vid icke resorberbar sutur skall stygnen sitta dubbelt så länge som normalt)</w:t>
      </w:r>
    </w:p>
    <w:p w:rsidR="00250631" w:rsidP="00250631" w:rsidRDefault="00250631" w14:paraId="01C419B3" w14:textId="4BD8CBE8">
      <w:pPr>
        <w:pStyle w:val="ListParagraph"/>
        <w:numPr>
          <w:ilvl w:val="0"/>
          <w:numId w:val="22"/>
        </w:numPr>
      </w:pPr>
      <w:r>
        <w:t>Svårare att uppnå effektiv lokalbedövning vid lokalanestesi</w:t>
      </w:r>
    </w:p>
    <w:p w:rsidR="00250631" w:rsidP="00250631" w:rsidRDefault="00250631" w14:paraId="5B1A93DC" w14:textId="2239C9AA">
      <w:pPr>
        <w:pStyle w:val="ListParagraph"/>
        <w:numPr>
          <w:ilvl w:val="0"/>
          <w:numId w:val="22"/>
        </w:numPr>
      </w:pPr>
      <w:r>
        <w:t xml:space="preserve">Undvik intramuskulära injektioner (ge </w:t>
      </w:r>
      <w:proofErr w:type="gramStart"/>
      <w:r>
        <w:t>istället</w:t>
      </w:r>
      <w:proofErr w:type="gramEnd"/>
      <w:r>
        <w:t xml:space="preserve"> </w:t>
      </w:r>
      <w:proofErr w:type="spellStart"/>
      <w:r>
        <w:t>oxytocin</w:t>
      </w:r>
      <w:proofErr w:type="spellEnd"/>
      <w:r>
        <w:t xml:space="preserve"> intravenöst </w:t>
      </w:r>
      <w:proofErr w:type="spellStart"/>
      <w:r>
        <w:t>postpartum</w:t>
      </w:r>
      <w:proofErr w:type="spellEnd"/>
      <w:r>
        <w:t>)</w:t>
      </w:r>
    </w:p>
    <w:p w:rsidR="00250631" w:rsidP="00250631" w:rsidRDefault="00250631" w14:paraId="25A742BB" w14:textId="2167CB21">
      <w:pPr>
        <w:pStyle w:val="ListParagraph"/>
        <w:numPr>
          <w:ilvl w:val="0"/>
          <w:numId w:val="22"/>
        </w:numPr>
      </w:pPr>
      <w:r>
        <w:t>Ökad risk för blödningskomplikationer – även om koagulationsutredning utfallit normalt.</w:t>
      </w:r>
    </w:p>
    <w:p w:rsidR="00250631" w:rsidP="00250631" w:rsidRDefault="00250631" w14:paraId="1CB7C851" w14:textId="2403B1FA">
      <w:pPr>
        <w:pStyle w:val="ListParagraph"/>
        <w:numPr>
          <w:ilvl w:val="0"/>
          <w:numId w:val="22"/>
        </w:numPr>
      </w:pPr>
      <w:r>
        <w:t>Ökad risk för sätesändläge (pga. hypotoni hos affekterat barn)</w:t>
      </w:r>
    </w:p>
    <w:p w:rsidR="00250631" w:rsidP="00250631" w:rsidRDefault="00250631" w14:paraId="78FE3E52" w14:textId="5307B1C8">
      <w:pPr>
        <w:pStyle w:val="ListParagraph"/>
        <w:numPr>
          <w:ilvl w:val="0"/>
          <w:numId w:val="22"/>
        </w:numPr>
      </w:pPr>
      <w:r>
        <w:t xml:space="preserve">Ökad risk för höftleds- och </w:t>
      </w:r>
      <w:proofErr w:type="spellStart"/>
      <w:r>
        <w:t>axellux</w:t>
      </w:r>
      <w:proofErr w:type="spellEnd"/>
      <w:r>
        <w:t xml:space="preserve"> hos affekterat barn</w:t>
      </w:r>
    </w:p>
    <w:p w:rsidR="00250631" w:rsidP="00250631" w:rsidRDefault="00250631" w14:paraId="119402CA" w14:textId="28408B15">
      <w:pPr>
        <w:pStyle w:val="MellanrubrikVGR"/>
      </w:pPr>
      <w:r w:rsidRPr="00250631">
        <w:t>Operation och uppläggning av patient</w:t>
      </w:r>
    </w:p>
    <w:p w:rsidR="00250631" w:rsidP="00250631" w:rsidRDefault="00250631" w14:paraId="34D9FC71" w14:textId="56DEF075">
      <w:pPr>
        <w:pStyle w:val="ListParagraph"/>
        <w:numPr>
          <w:ilvl w:val="0"/>
          <w:numId w:val="23"/>
        </w:numPr>
      </w:pPr>
      <w:r>
        <w:t xml:space="preserve">Ökad risk axelluxation vid upplägg på operationsbord samt </w:t>
      </w:r>
      <w:proofErr w:type="spellStart"/>
      <w:r>
        <w:t>plexusskador</w:t>
      </w:r>
      <w:proofErr w:type="spellEnd"/>
    </w:p>
    <w:p w:rsidR="00250631" w:rsidP="00250631" w:rsidRDefault="00250631" w14:paraId="29B65497" w14:textId="3F26F0A0">
      <w:pPr>
        <w:pStyle w:val="ListParagraph"/>
        <w:numPr>
          <w:ilvl w:val="0"/>
          <w:numId w:val="23"/>
        </w:numPr>
      </w:pPr>
      <w:r>
        <w:t xml:space="preserve">Ökad risk för </w:t>
      </w:r>
      <w:proofErr w:type="spellStart"/>
      <w:r>
        <w:t>peroperativ</w:t>
      </w:r>
      <w:proofErr w:type="spellEnd"/>
      <w:r>
        <w:t>/postoperativ blödningskomplikation, även vid normal   koagulationsutredning</w:t>
      </w:r>
    </w:p>
    <w:p w:rsidR="00250631" w:rsidP="00250631" w:rsidRDefault="00250631" w14:paraId="52D80104" w14:textId="14E57F0A">
      <w:pPr>
        <w:pStyle w:val="ListParagraph"/>
        <w:numPr>
          <w:ilvl w:val="0"/>
          <w:numId w:val="23"/>
        </w:numPr>
      </w:pPr>
      <w:proofErr w:type="spellStart"/>
      <w:r>
        <w:t>Bastest</w:t>
      </w:r>
      <w:proofErr w:type="spellEnd"/>
      <w:r>
        <w:t xml:space="preserve"> ska finnas</w:t>
      </w:r>
    </w:p>
    <w:p w:rsidR="00250631" w:rsidP="00250631" w:rsidRDefault="00250631" w14:paraId="4E89A844" w14:textId="7EE6AAFA">
      <w:pPr>
        <w:pStyle w:val="ListParagraph"/>
        <w:numPr>
          <w:ilvl w:val="0"/>
          <w:numId w:val="23"/>
        </w:numPr>
      </w:pPr>
      <w:r>
        <w:t xml:space="preserve">Stygn tätare än normalt, suturer skall dras ihop med försiktighet, förstärk gärna med tejp/plastfilm och låt stygnen sitta dubbelt så länge som normalt om icke resorberbar sutur   används. </w:t>
      </w:r>
      <w:proofErr w:type="spellStart"/>
      <w:r>
        <w:t>Vicryl</w:t>
      </w:r>
      <w:proofErr w:type="spellEnd"/>
      <w:r>
        <w:t xml:space="preserve"> Rapid skall inte användas.</w:t>
      </w:r>
    </w:p>
    <w:p w:rsidR="00250631" w:rsidP="00250631" w:rsidRDefault="00250631" w14:paraId="1DD26467" w14:textId="26BEBAD6">
      <w:pPr>
        <w:pStyle w:val="MellanrubrikVGR"/>
      </w:pPr>
      <w:r w:rsidRPr="00250631">
        <w:t>Anestesi</w:t>
      </w:r>
    </w:p>
    <w:p w:rsidR="00250631" w:rsidP="00250631" w:rsidRDefault="00250631" w14:paraId="54FF400E" w14:textId="2B9FE67E">
      <w:pPr>
        <w:pStyle w:val="ListParagraph"/>
        <w:numPr>
          <w:ilvl w:val="0"/>
          <w:numId w:val="24"/>
        </w:numPr>
      </w:pPr>
      <w:r>
        <w:t>Förlossningsepidural/spinal</w:t>
      </w:r>
    </w:p>
    <w:p w:rsidR="00250631" w:rsidP="00250631" w:rsidRDefault="00250631" w14:paraId="5F49408F" w14:textId="7640447B">
      <w:pPr>
        <w:pStyle w:val="ListParagraph"/>
        <w:numPr>
          <w:ilvl w:val="1"/>
          <w:numId w:val="24"/>
        </w:numPr>
      </w:pPr>
      <w:r>
        <w:t xml:space="preserve">Flera </w:t>
      </w:r>
      <w:proofErr w:type="spellStart"/>
      <w:r>
        <w:t>review</w:t>
      </w:r>
      <w:proofErr w:type="spellEnd"/>
      <w:r>
        <w:t>-artiklar ifrågasätter bruk av EDA, dock finns flera publicerade serier med   få eller inga komplikationer.</w:t>
      </w:r>
    </w:p>
    <w:p w:rsidR="00250631" w:rsidP="00250631" w:rsidRDefault="00250631" w14:paraId="183EA83C" w14:textId="6D91FE85">
      <w:pPr>
        <w:pStyle w:val="ListParagraph"/>
        <w:numPr>
          <w:ilvl w:val="1"/>
          <w:numId w:val="24"/>
        </w:numPr>
      </w:pPr>
      <w:r>
        <w:t xml:space="preserve">Eventuellt kan det vara kontraindicerat med EDA vid EDS av </w:t>
      </w:r>
      <w:proofErr w:type="spellStart"/>
      <w:r>
        <w:t>kärltyp</w:t>
      </w:r>
      <w:proofErr w:type="spellEnd"/>
      <w:r>
        <w:t>.</w:t>
      </w:r>
    </w:p>
    <w:p w:rsidR="00250631" w:rsidP="00250631" w:rsidRDefault="00250631" w14:paraId="36C8CA0F" w14:textId="27BD0680">
      <w:pPr>
        <w:pStyle w:val="ListParagraph"/>
        <w:numPr>
          <w:ilvl w:val="1"/>
          <w:numId w:val="24"/>
        </w:numPr>
      </w:pPr>
      <w:r>
        <w:t>EDS typ och status samt patients önskemål får styra bruk av EDA eller ej.</w:t>
      </w:r>
    </w:p>
    <w:p w:rsidR="00250631" w:rsidP="00250631" w:rsidRDefault="00250631" w14:paraId="4FFC6722" w14:textId="5B1B92DB">
      <w:pPr>
        <w:pStyle w:val="ListParagraph"/>
        <w:numPr>
          <w:ilvl w:val="1"/>
          <w:numId w:val="24"/>
        </w:numPr>
      </w:pPr>
      <w:r>
        <w:t>Förlossningsspinal har mindre risker jämfört med förlossningsepidural</w:t>
      </w:r>
    </w:p>
    <w:p w:rsidR="00250631" w:rsidP="00250631" w:rsidRDefault="00250631" w14:paraId="210D5A58" w14:textId="1048583F">
      <w:pPr>
        <w:pStyle w:val="ListParagraph"/>
        <w:numPr>
          <w:ilvl w:val="0"/>
          <w:numId w:val="24"/>
        </w:numPr>
      </w:pPr>
      <w:r>
        <w:t>Vid generell anestesi</w:t>
      </w:r>
    </w:p>
    <w:p w:rsidR="00250631" w:rsidP="00250631" w:rsidRDefault="00250631" w14:paraId="184FB764" w14:textId="39BCAF41">
      <w:pPr>
        <w:pStyle w:val="ListParagraph"/>
        <w:numPr>
          <w:ilvl w:val="1"/>
          <w:numId w:val="24"/>
        </w:numPr>
      </w:pPr>
      <w:r>
        <w:t>Ökad risk för aspiration och svår intubation.</w:t>
      </w:r>
    </w:p>
    <w:p w:rsidR="00250631" w:rsidP="00250631" w:rsidRDefault="00250631" w14:paraId="453B2D80" w14:textId="5C546EB3">
      <w:pPr>
        <w:pStyle w:val="ListParagraph"/>
        <w:numPr>
          <w:ilvl w:val="1"/>
          <w:numId w:val="24"/>
        </w:numPr>
      </w:pPr>
      <w:r>
        <w:t xml:space="preserve">Intubation: Ökad risk för käkledsluxation, </w:t>
      </w:r>
      <w:proofErr w:type="spellStart"/>
      <w:r>
        <w:t>larynxskada</w:t>
      </w:r>
      <w:proofErr w:type="spellEnd"/>
      <w:r>
        <w:t xml:space="preserve"> och nackskada speciellt </w:t>
      </w:r>
      <w:proofErr w:type="gramStart"/>
      <w:r>
        <w:t xml:space="preserve">vid  </w:t>
      </w:r>
      <w:proofErr w:type="spellStart"/>
      <w:r>
        <w:t>atlantoocccipital</w:t>
      </w:r>
      <w:proofErr w:type="spellEnd"/>
      <w:proofErr w:type="gramEnd"/>
      <w:r>
        <w:t xml:space="preserve"> instabilitet.</w:t>
      </w:r>
    </w:p>
    <w:p w:rsidR="00250631" w:rsidP="00250631" w:rsidRDefault="00250631" w14:paraId="0A4D6DDB" w14:textId="1845F3C6">
      <w:pPr>
        <w:pStyle w:val="ListParagraph"/>
        <w:numPr>
          <w:ilvl w:val="1"/>
          <w:numId w:val="24"/>
        </w:numPr>
      </w:pPr>
      <w:r>
        <w:t xml:space="preserve">Eventuellt använda en tubstorlek mindre och med försiktigt </w:t>
      </w:r>
      <w:proofErr w:type="spellStart"/>
      <w:r>
        <w:t>kufftryck</w:t>
      </w:r>
      <w:proofErr w:type="spellEnd"/>
      <w:r>
        <w:t>.</w:t>
      </w:r>
    </w:p>
    <w:p w:rsidR="00250631" w:rsidP="00250631" w:rsidRDefault="00250631" w14:paraId="577C22AE" w14:textId="63C5CA75">
      <w:pPr>
        <w:pStyle w:val="ListParagraph"/>
        <w:numPr>
          <w:ilvl w:val="1"/>
          <w:numId w:val="24"/>
        </w:numPr>
      </w:pPr>
      <w:r>
        <w:t>Skydda nacken för olämpliga rörelser.</w:t>
      </w:r>
    </w:p>
    <w:p w:rsidR="00250631" w:rsidP="00250631" w:rsidRDefault="00250631" w14:paraId="504B48EC" w14:textId="6853CE88">
      <w:pPr>
        <w:pStyle w:val="ListParagraph"/>
        <w:numPr>
          <w:ilvl w:val="1"/>
          <w:numId w:val="24"/>
        </w:numPr>
      </w:pPr>
      <w:r>
        <w:t>Övertrycksventilation: Ökad risk för pneumothorax, använd minsta möjliga tryck.</w:t>
      </w:r>
    </w:p>
    <w:p w:rsidR="00250631" w:rsidP="00250631" w:rsidRDefault="00250631" w14:paraId="73396C29" w14:textId="18202030">
      <w:pPr>
        <w:pStyle w:val="ListParagraph"/>
        <w:numPr>
          <w:ilvl w:val="1"/>
          <w:numId w:val="24"/>
        </w:numPr>
      </w:pPr>
      <w:r>
        <w:t>Skydda ögonen för tryck, risk finns för skador pga. yttre tryck.</w:t>
      </w:r>
    </w:p>
    <w:p w:rsidR="00250631" w:rsidP="00250631" w:rsidRDefault="00250631" w14:paraId="7CF74658" w14:textId="02B14242">
      <w:pPr>
        <w:pStyle w:val="ListParagraph"/>
        <w:numPr>
          <w:ilvl w:val="1"/>
          <w:numId w:val="24"/>
        </w:numPr>
      </w:pPr>
      <w:r>
        <w:t xml:space="preserve">Vid generell anestesi ge profylax mot PONV, fallrapport finns med </w:t>
      </w:r>
      <w:proofErr w:type="spellStart"/>
      <w:r>
        <w:t>esophagusruptur</w:t>
      </w:r>
      <w:proofErr w:type="spellEnd"/>
      <w:r>
        <w:t xml:space="preserve"> pga. PONV.</w:t>
      </w:r>
    </w:p>
    <w:p w:rsidR="00250631" w:rsidP="00250631" w:rsidRDefault="00250631" w14:paraId="676B91B5" w14:textId="7B1EB5B4">
      <w:pPr>
        <w:pStyle w:val="ListParagraph"/>
        <w:numPr>
          <w:ilvl w:val="0"/>
          <w:numId w:val="24"/>
        </w:numPr>
      </w:pPr>
      <w:r>
        <w:t xml:space="preserve">Ökad </w:t>
      </w:r>
      <w:proofErr w:type="gramStart"/>
      <w:r>
        <w:t>risk blödningskomplikation</w:t>
      </w:r>
      <w:proofErr w:type="gramEnd"/>
      <w:r>
        <w:t xml:space="preserve"> vid artärnål och CVK. Vid CVK använd ultraljud.</w:t>
      </w:r>
    </w:p>
    <w:tbl>
      <w:tblPr>
        <w:tblStyle w:val="TableGrid"/>
        <w:tblW w:w="7905" w:type="dxa"/>
        <w:tblInd w:w="1304" w:type="dxa"/>
        <w:tblLook w:val="04A0" w:firstRow="1" w:lastRow="0" w:firstColumn="1" w:lastColumn="0" w:noHBand="0" w:noVBand="1"/>
      </w:tblPr>
      <w:tblGrid>
        <w:gridCol w:w="3666"/>
        <w:gridCol w:w="4239"/>
      </w:tblGrid>
      <w:tr w:rsidR="00250631" w:rsidTr="004A52F3" w14:paraId="0000890B" w14:textId="77777777">
        <w:tc>
          <w:tcPr>
            <w:tcW w:w="3666" w:type="dxa"/>
            <w:shd w:val="clear" w:color="auto" w:fill="D9D9D9" w:themeFill="background1" w:themeFillShade="D9"/>
          </w:tcPr>
          <w:p w:rsidR="00250631" w:rsidP="00D40C95" w:rsidRDefault="00250631" w14:paraId="3A205659" w14:textId="0E4E1365">
            <w:pPr>
              <w:pStyle w:val="Tabell"/>
            </w:pPr>
            <w:r>
              <w:t>Äldre indelning av EDS</w:t>
            </w:r>
          </w:p>
        </w:tc>
        <w:tc>
          <w:tcPr>
            <w:tcW w:w="4239" w:type="dxa"/>
            <w:shd w:val="clear" w:color="auto" w:fill="D9D9D9" w:themeFill="background1" w:themeFillShade="D9"/>
          </w:tcPr>
          <w:p w:rsidR="00250631" w:rsidP="00D40C95" w:rsidRDefault="00250631" w14:paraId="059D5633" w14:textId="5AC86A1E">
            <w:pPr>
              <w:pStyle w:val="Tabell"/>
            </w:pPr>
            <w:r>
              <w:t>I och II</w:t>
            </w:r>
          </w:p>
        </w:tc>
      </w:tr>
      <w:tr w:rsidR="00250631" w:rsidTr="004A52F3" w14:paraId="30F989C8" w14:textId="77777777">
        <w:tc>
          <w:tcPr>
            <w:tcW w:w="3666" w:type="dxa"/>
          </w:tcPr>
          <w:p w:rsidR="00250631" w:rsidP="00D40C95" w:rsidRDefault="004A52F3" w14:paraId="57B2301C" w14:textId="0517F6F6">
            <w:pPr>
              <w:pStyle w:val="Tabell"/>
            </w:pPr>
            <w:r>
              <w:t>Benämning</w:t>
            </w:r>
          </w:p>
        </w:tc>
        <w:tc>
          <w:tcPr>
            <w:tcW w:w="4239" w:type="dxa"/>
          </w:tcPr>
          <w:p w:rsidR="00250631" w:rsidP="00D40C95" w:rsidRDefault="004A52F3" w14:paraId="69EC800E" w14:textId="50956D17">
            <w:pPr>
              <w:pStyle w:val="Tabell"/>
            </w:pPr>
            <w:r w:rsidRPr="004A52F3">
              <w:t>Klassisk typ</w:t>
            </w:r>
          </w:p>
        </w:tc>
      </w:tr>
      <w:tr w:rsidR="004A52F3" w:rsidTr="004A52F3" w14:paraId="40C815D9" w14:textId="77777777">
        <w:tc>
          <w:tcPr>
            <w:tcW w:w="3666" w:type="dxa"/>
          </w:tcPr>
          <w:p w:rsidR="004A52F3" w:rsidP="00D40C95" w:rsidRDefault="004A52F3" w14:paraId="64801870" w14:textId="51752112">
            <w:pPr>
              <w:pStyle w:val="Tabell"/>
            </w:pPr>
            <w:r>
              <w:t>Symtom</w:t>
            </w:r>
          </w:p>
        </w:tc>
        <w:tc>
          <w:tcPr>
            <w:tcW w:w="4239" w:type="dxa"/>
          </w:tcPr>
          <w:p w:rsidRPr="004A52F3" w:rsidR="004A52F3" w:rsidP="00D40C95" w:rsidRDefault="004A52F3" w14:paraId="21367235" w14:textId="53DD1AFF">
            <w:pPr>
              <w:pStyle w:val="Tabell"/>
            </w:pPr>
            <w:r w:rsidRPr="004A52F3">
              <w:t>Överrörliga leder med risk för vrickningar och luxationer, övertöjbar hud, breda och tunna ärr, benägenhet att utveckla bråck efter operation, lätt att få blåmärken trots normalt koagulationsstatus</w:t>
            </w:r>
          </w:p>
        </w:tc>
      </w:tr>
      <w:tr w:rsidR="004A52F3" w:rsidTr="004A52F3" w14:paraId="4DE2E34F" w14:textId="77777777">
        <w:tc>
          <w:tcPr>
            <w:tcW w:w="3666" w:type="dxa"/>
          </w:tcPr>
          <w:p w:rsidR="004A52F3" w:rsidP="00D40C95" w:rsidRDefault="004A52F3" w14:paraId="4A8204F4" w14:textId="02DA62BB">
            <w:pPr>
              <w:pStyle w:val="Tabell"/>
            </w:pPr>
            <w:r w:rsidRPr="004A52F3">
              <w:t>Förekomst, ärftlighet</w:t>
            </w:r>
          </w:p>
        </w:tc>
        <w:tc>
          <w:tcPr>
            <w:tcW w:w="4239" w:type="dxa"/>
          </w:tcPr>
          <w:p w:rsidR="004A52F3" w:rsidP="00D40C95" w:rsidRDefault="004A52F3" w14:paraId="5F11392A" w14:textId="77777777">
            <w:pPr>
              <w:pStyle w:val="Tabell"/>
            </w:pPr>
            <w:r>
              <w:t>Vanligaste formen EDS*** (50%)</w:t>
            </w:r>
          </w:p>
          <w:p w:rsidR="004A52F3" w:rsidP="00D40C95" w:rsidRDefault="004A52F3" w14:paraId="32CAEA5B" w14:textId="77777777">
            <w:pPr>
              <w:pStyle w:val="Tabell"/>
            </w:pPr>
            <w:r>
              <w:t>Autosomalt dominant i ca. 50%</w:t>
            </w:r>
          </w:p>
          <w:p w:rsidRPr="004A52F3" w:rsidR="004A52F3" w:rsidP="00D40C95" w:rsidRDefault="004A52F3" w14:paraId="7904F2C8" w14:textId="2D8D86B1">
            <w:pPr>
              <w:pStyle w:val="Tabell"/>
            </w:pPr>
            <w:r>
              <w:t>Nymutation i ca. 50%</w:t>
            </w:r>
          </w:p>
        </w:tc>
      </w:tr>
      <w:tr w:rsidR="004A52F3" w:rsidTr="004A52F3" w14:paraId="026A8648" w14:textId="77777777">
        <w:tc>
          <w:tcPr>
            <w:tcW w:w="3666" w:type="dxa"/>
            <w:shd w:val="clear" w:color="auto" w:fill="D9D9D9" w:themeFill="background1" w:themeFillShade="D9"/>
          </w:tcPr>
          <w:p w:rsidRPr="004A52F3" w:rsidR="004A52F3" w:rsidP="00D40C95" w:rsidRDefault="004A52F3" w14:paraId="7BA6FB2D" w14:textId="25828267">
            <w:pPr>
              <w:pStyle w:val="Tabell"/>
            </w:pPr>
            <w:r w:rsidRPr="00863FAB">
              <w:t>Äldre indelning av EDS</w:t>
            </w:r>
          </w:p>
        </w:tc>
        <w:tc>
          <w:tcPr>
            <w:tcW w:w="4239" w:type="dxa"/>
            <w:shd w:val="clear" w:color="auto" w:fill="D9D9D9" w:themeFill="background1" w:themeFillShade="D9"/>
          </w:tcPr>
          <w:p w:rsidR="004A52F3" w:rsidP="00D40C95" w:rsidRDefault="004A52F3" w14:paraId="4FFEF0D9" w14:textId="1AD15D7F">
            <w:pPr>
              <w:pStyle w:val="Tabell"/>
            </w:pPr>
            <w:r w:rsidRPr="00863FAB">
              <w:t>III</w:t>
            </w:r>
          </w:p>
        </w:tc>
      </w:tr>
      <w:tr w:rsidR="004A52F3" w:rsidTr="004A52F3" w14:paraId="169B4816" w14:textId="77777777">
        <w:tc>
          <w:tcPr>
            <w:tcW w:w="3666" w:type="dxa"/>
          </w:tcPr>
          <w:p w:rsidRPr="00863FAB" w:rsidR="004A52F3" w:rsidP="00D40C95" w:rsidRDefault="004A52F3" w14:paraId="479D920B" w14:textId="26DA9D2E">
            <w:pPr>
              <w:pStyle w:val="Tabell"/>
            </w:pPr>
            <w:r w:rsidRPr="00140FA3">
              <w:t>Benämning</w:t>
            </w:r>
          </w:p>
        </w:tc>
        <w:tc>
          <w:tcPr>
            <w:tcW w:w="4239" w:type="dxa"/>
          </w:tcPr>
          <w:p w:rsidRPr="00863FAB" w:rsidR="004A52F3" w:rsidP="00D40C95" w:rsidRDefault="004A52F3" w14:paraId="02F89C92" w14:textId="2BCCB2DF">
            <w:pPr>
              <w:pStyle w:val="Tabell"/>
            </w:pPr>
            <w:r w:rsidRPr="00140FA3">
              <w:t>Överrörlighetstyp</w:t>
            </w:r>
          </w:p>
        </w:tc>
      </w:tr>
      <w:tr w:rsidR="004A52F3" w:rsidTr="004A52F3" w14:paraId="099965E9" w14:textId="77777777">
        <w:tc>
          <w:tcPr>
            <w:tcW w:w="3666" w:type="dxa"/>
          </w:tcPr>
          <w:p w:rsidRPr="00140FA3" w:rsidR="004A52F3" w:rsidP="00D40C95" w:rsidRDefault="004A52F3" w14:paraId="206E0950" w14:textId="7D1F3BCA">
            <w:pPr>
              <w:pStyle w:val="Tabell"/>
            </w:pPr>
            <w:r w:rsidRPr="008954FD">
              <w:t>Symtom</w:t>
            </w:r>
          </w:p>
        </w:tc>
        <w:tc>
          <w:tcPr>
            <w:tcW w:w="4239" w:type="dxa"/>
          </w:tcPr>
          <w:p w:rsidRPr="00140FA3" w:rsidR="004A52F3" w:rsidP="00D40C95" w:rsidRDefault="004A52F3" w14:paraId="38680520" w14:textId="3245A8F9">
            <w:pPr>
              <w:pStyle w:val="Tabell"/>
            </w:pPr>
            <w:r w:rsidRPr="008954FD">
              <w:t>Överrörliga leder, återkommande luxationer, mjuk och-/eller övertöjbar hud, kronisk led- och muskelvärk.</w:t>
            </w:r>
          </w:p>
        </w:tc>
      </w:tr>
      <w:tr w:rsidR="004A52F3" w:rsidTr="004A52F3" w14:paraId="2ED0B2DB" w14:textId="77777777">
        <w:tc>
          <w:tcPr>
            <w:tcW w:w="3666" w:type="dxa"/>
          </w:tcPr>
          <w:p w:rsidRPr="008954FD" w:rsidR="004A52F3" w:rsidP="00D40C95" w:rsidRDefault="004A52F3" w14:paraId="003DC43C" w14:textId="0FD98262">
            <w:pPr>
              <w:pStyle w:val="Tabell"/>
            </w:pPr>
            <w:r w:rsidRPr="000967DC">
              <w:t>Förekomst, ärftlighet</w:t>
            </w:r>
          </w:p>
        </w:tc>
        <w:tc>
          <w:tcPr>
            <w:tcW w:w="4239" w:type="dxa"/>
          </w:tcPr>
          <w:p w:rsidRPr="008954FD" w:rsidR="004A52F3" w:rsidP="00D40C95" w:rsidRDefault="004A52F3" w14:paraId="5C9DDA68" w14:textId="266B9776">
            <w:pPr>
              <w:pStyle w:val="Tabell"/>
            </w:pPr>
            <w:r w:rsidRPr="000967DC">
              <w:t>Näst vanligaste formen EDS</w:t>
            </w:r>
          </w:p>
        </w:tc>
      </w:tr>
      <w:tr w:rsidR="004A52F3" w:rsidTr="004A52F3" w14:paraId="33B8B9A5" w14:textId="77777777">
        <w:tc>
          <w:tcPr>
            <w:tcW w:w="3666" w:type="dxa"/>
            <w:shd w:val="clear" w:color="auto" w:fill="D9D9D9" w:themeFill="background1" w:themeFillShade="D9"/>
          </w:tcPr>
          <w:p w:rsidRPr="000967DC" w:rsidR="004A52F3" w:rsidP="00D40C95" w:rsidRDefault="004A52F3" w14:paraId="380474CB" w14:textId="214A273A">
            <w:pPr>
              <w:pStyle w:val="Tabell"/>
            </w:pPr>
            <w:r w:rsidRPr="00844BE7">
              <w:t>Äldre indelning av EDS</w:t>
            </w:r>
          </w:p>
        </w:tc>
        <w:tc>
          <w:tcPr>
            <w:tcW w:w="4239" w:type="dxa"/>
            <w:shd w:val="clear" w:color="auto" w:fill="D9D9D9" w:themeFill="background1" w:themeFillShade="D9"/>
          </w:tcPr>
          <w:p w:rsidRPr="000967DC" w:rsidR="004A52F3" w:rsidP="00D40C95" w:rsidRDefault="004A52F3" w14:paraId="1E015223" w14:textId="34CF91CB">
            <w:pPr>
              <w:pStyle w:val="Tabell"/>
            </w:pPr>
            <w:r w:rsidRPr="00844BE7">
              <w:t>IV</w:t>
            </w:r>
          </w:p>
        </w:tc>
      </w:tr>
      <w:tr w:rsidR="00D40C95" w:rsidTr="004A52F3" w14:paraId="09783E1B" w14:textId="77777777">
        <w:tc>
          <w:tcPr>
            <w:tcW w:w="3666" w:type="dxa"/>
          </w:tcPr>
          <w:p w:rsidRPr="00844BE7" w:rsidR="00D40C95" w:rsidP="00D40C95" w:rsidRDefault="00D40C95" w14:paraId="6878824C" w14:textId="4FD9182C">
            <w:pPr>
              <w:pStyle w:val="Tabell"/>
            </w:pPr>
            <w:r w:rsidRPr="00460CF5">
              <w:t>Benämning</w:t>
            </w:r>
          </w:p>
        </w:tc>
        <w:tc>
          <w:tcPr>
            <w:tcW w:w="4239" w:type="dxa"/>
          </w:tcPr>
          <w:p w:rsidRPr="00844BE7" w:rsidR="00D40C95" w:rsidP="00D40C95" w:rsidRDefault="00D40C95" w14:paraId="722B7D71" w14:textId="568142D9">
            <w:pPr>
              <w:pStyle w:val="Tabell"/>
            </w:pPr>
            <w:r w:rsidRPr="00460CF5">
              <w:t xml:space="preserve">Kärl-typ </w:t>
            </w:r>
          </w:p>
        </w:tc>
      </w:tr>
      <w:tr w:rsidR="00D40C95" w:rsidTr="004A52F3" w14:paraId="36D1664C" w14:textId="77777777">
        <w:tc>
          <w:tcPr>
            <w:tcW w:w="3666" w:type="dxa"/>
          </w:tcPr>
          <w:p w:rsidRPr="00460CF5" w:rsidR="00D40C95" w:rsidP="00D40C95" w:rsidRDefault="00D40C95" w14:paraId="6DA4207A" w14:textId="36BFDC32">
            <w:pPr>
              <w:pStyle w:val="Tabell"/>
            </w:pPr>
            <w:r w:rsidRPr="00F033ED">
              <w:t>Symtom</w:t>
            </w:r>
          </w:p>
        </w:tc>
        <w:tc>
          <w:tcPr>
            <w:tcW w:w="4239" w:type="dxa"/>
          </w:tcPr>
          <w:p w:rsidRPr="00460CF5" w:rsidR="00D40C95" w:rsidP="00D40C95" w:rsidRDefault="00D40C95" w14:paraId="4C7EC827" w14:textId="796F3DC8">
            <w:pPr>
              <w:pStyle w:val="Tabell"/>
            </w:pPr>
            <w:r w:rsidRPr="00F033ED">
              <w:t xml:space="preserve">Genomskinlig, icke töjbar hud med synliga blodkärl på bröst, mage, extremiteter. Lätt att få stora blåmärken. Aortadissektion, </w:t>
            </w:r>
            <w:proofErr w:type="spellStart"/>
            <w:r w:rsidRPr="00F033ED">
              <w:t>aneurysmbildning</w:t>
            </w:r>
            <w:proofErr w:type="spellEnd"/>
            <w:r w:rsidRPr="00F033ED">
              <w:t xml:space="preserve"> i stora och medelstora artärer. Fistelbildningar mellan kärl. Spontana rupturer i hålorgan (tarm och livmoder). Spontanpneumothorax. Kan uppvisa tidigt åldrande av ansikte, händer och fötter.</w:t>
            </w:r>
          </w:p>
        </w:tc>
      </w:tr>
      <w:tr w:rsidR="00D40C95" w:rsidTr="004A52F3" w14:paraId="059787E4" w14:textId="77777777">
        <w:tc>
          <w:tcPr>
            <w:tcW w:w="3666" w:type="dxa"/>
          </w:tcPr>
          <w:p w:rsidRPr="00F033ED" w:rsidR="00D40C95" w:rsidP="00D40C95" w:rsidRDefault="00D40C95" w14:paraId="5DDCFAEC" w14:textId="3C4A054D">
            <w:pPr>
              <w:pStyle w:val="Tabell"/>
            </w:pPr>
            <w:r w:rsidRPr="00B51DC6">
              <w:t>Förekomst, ärftlighet</w:t>
            </w:r>
          </w:p>
        </w:tc>
        <w:tc>
          <w:tcPr>
            <w:tcW w:w="4239" w:type="dxa"/>
          </w:tcPr>
          <w:p w:rsidR="00D40C95" w:rsidP="00D40C95" w:rsidRDefault="00D40C95" w14:paraId="446D052E" w14:textId="77777777">
            <w:pPr>
              <w:pStyle w:val="Tabell"/>
            </w:pPr>
            <w:r>
              <w:t>Mindre vanlig</w:t>
            </w:r>
          </w:p>
          <w:p w:rsidR="00D40C95" w:rsidP="00D40C95" w:rsidRDefault="00D40C95" w14:paraId="256C8895" w14:textId="77777777">
            <w:pPr>
              <w:pStyle w:val="Tabell"/>
            </w:pPr>
            <w:r>
              <w:t>Autosomalt dominant i ca. 50%</w:t>
            </w:r>
          </w:p>
          <w:p w:rsidRPr="00F033ED" w:rsidR="00D40C95" w:rsidP="00D40C95" w:rsidRDefault="00D40C95" w14:paraId="019328F9" w14:textId="4FC091EC">
            <w:pPr>
              <w:pStyle w:val="Tabell"/>
            </w:pPr>
            <w:r>
              <w:t>Nymutation i ca. 50%</w:t>
            </w:r>
          </w:p>
        </w:tc>
      </w:tr>
      <w:tr w:rsidR="00D40C95" w:rsidTr="00D40C95" w14:paraId="41C6CEA7" w14:textId="77777777">
        <w:tc>
          <w:tcPr>
            <w:tcW w:w="3666" w:type="dxa"/>
            <w:shd w:val="clear" w:color="auto" w:fill="D9D9D9" w:themeFill="background1" w:themeFillShade="D9"/>
          </w:tcPr>
          <w:p w:rsidRPr="00B51DC6" w:rsidR="00D40C95" w:rsidP="00D40C95" w:rsidRDefault="00D40C95" w14:paraId="6368FE7E" w14:textId="39B5D216">
            <w:pPr>
              <w:pStyle w:val="Tabell"/>
            </w:pPr>
            <w:r w:rsidRPr="00B7095C">
              <w:t>Äldre indelning av EDS</w:t>
            </w:r>
          </w:p>
        </w:tc>
        <w:tc>
          <w:tcPr>
            <w:tcW w:w="4239" w:type="dxa"/>
            <w:shd w:val="clear" w:color="auto" w:fill="D9D9D9" w:themeFill="background1" w:themeFillShade="D9"/>
          </w:tcPr>
          <w:p w:rsidR="00D40C95" w:rsidP="00D40C95" w:rsidRDefault="00D40C95" w14:paraId="4DF8183E" w14:textId="0F496379">
            <w:pPr>
              <w:pStyle w:val="Tabell"/>
            </w:pPr>
            <w:r w:rsidRPr="00B7095C">
              <w:t>V</w:t>
            </w:r>
          </w:p>
        </w:tc>
      </w:tr>
      <w:tr w:rsidR="00D40C95" w:rsidTr="00D40C95" w14:paraId="615761FA" w14:textId="77777777">
        <w:tc>
          <w:tcPr>
            <w:tcW w:w="3666" w:type="dxa"/>
          </w:tcPr>
          <w:p w:rsidRPr="00B7095C" w:rsidR="00D40C95" w:rsidP="00D40C95" w:rsidRDefault="00D40C95" w14:paraId="65348A94" w14:textId="21A31ABE">
            <w:pPr>
              <w:pStyle w:val="Tabell"/>
            </w:pPr>
            <w:r w:rsidRPr="00FA08B4">
              <w:t>Benämning</w:t>
            </w:r>
          </w:p>
        </w:tc>
        <w:tc>
          <w:tcPr>
            <w:tcW w:w="4239" w:type="dxa"/>
          </w:tcPr>
          <w:p w:rsidRPr="00B7095C" w:rsidR="00D40C95" w:rsidP="00D40C95" w:rsidRDefault="00D40C95" w14:paraId="2BB5324C" w14:textId="0945B7D4">
            <w:pPr>
              <w:pStyle w:val="Tabell"/>
            </w:pPr>
            <w:r w:rsidRPr="00FA08B4">
              <w:t>X-bunden nedärvd typ</w:t>
            </w:r>
          </w:p>
        </w:tc>
      </w:tr>
      <w:tr w:rsidR="00D40C95" w:rsidTr="00D40C95" w14:paraId="3F86FFCD" w14:textId="77777777">
        <w:tc>
          <w:tcPr>
            <w:tcW w:w="3666" w:type="dxa"/>
          </w:tcPr>
          <w:p w:rsidRPr="00B7095C" w:rsidR="00D40C95" w:rsidP="00D40C95" w:rsidRDefault="00D40C95" w14:paraId="1CEA6D51" w14:textId="52A9FA75">
            <w:pPr>
              <w:pStyle w:val="Tabell"/>
            </w:pPr>
            <w:r w:rsidRPr="00FA08B4">
              <w:t>Symtom</w:t>
            </w:r>
          </w:p>
        </w:tc>
        <w:tc>
          <w:tcPr>
            <w:tcW w:w="4239" w:type="dxa"/>
          </w:tcPr>
          <w:p w:rsidRPr="00B7095C" w:rsidR="00D40C95" w:rsidP="00D40C95" w:rsidRDefault="00D40C95" w14:paraId="6870840E" w14:textId="5DFA4E6B">
            <w:pPr>
              <w:pStyle w:val="Tabell"/>
            </w:pPr>
            <w:r w:rsidRPr="00FA08B4">
              <w:t>Överrörliga fingerleder, mycket töjbar hud med spricktendens, lätt att få blåmärken.</w:t>
            </w:r>
          </w:p>
        </w:tc>
      </w:tr>
      <w:tr w:rsidR="00D40C95" w:rsidTr="00D40C95" w14:paraId="458A8F5A" w14:textId="77777777">
        <w:tc>
          <w:tcPr>
            <w:tcW w:w="3666" w:type="dxa"/>
          </w:tcPr>
          <w:p w:rsidRPr="00B7095C" w:rsidR="00D40C95" w:rsidP="00D40C95" w:rsidRDefault="00D40C95" w14:paraId="3087E98C" w14:textId="669F38A2">
            <w:pPr>
              <w:pStyle w:val="Tabell"/>
            </w:pPr>
            <w:r w:rsidRPr="00FA08B4">
              <w:t>Förekomst, ärftlighet</w:t>
            </w:r>
          </w:p>
        </w:tc>
        <w:tc>
          <w:tcPr>
            <w:tcW w:w="4239" w:type="dxa"/>
          </w:tcPr>
          <w:p w:rsidRPr="00B7095C" w:rsidR="00D40C95" w:rsidP="00D40C95" w:rsidRDefault="00D40C95" w14:paraId="69177FB1" w14:textId="054C8FEC">
            <w:pPr>
              <w:pStyle w:val="Tabell"/>
            </w:pPr>
            <w:r w:rsidRPr="00FA08B4">
              <w:t>Mycket ovanlig, enstaka familjer.</w:t>
            </w:r>
          </w:p>
        </w:tc>
      </w:tr>
      <w:tr w:rsidR="00D40C95" w:rsidTr="00D40C95" w14:paraId="004D4CB2" w14:textId="77777777">
        <w:tc>
          <w:tcPr>
            <w:tcW w:w="3666" w:type="dxa"/>
            <w:shd w:val="clear" w:color="auto" w:fill="D9D9D9" w:themeFill="background1" w:themeFillShade="D9"/>
          </w:tcPr>
          <w:p w:rsidRPr="00FA08B4" w:rsidR="00D40C95" w:rsidP="00D40C95" w:rsidRDefault="00D40C95" w14:paraId="1E4C5DFA" w14:textId="0FD4A9E5">
            <w:pPr>
              <w:pStyle w:val="Tabell"/>
            </w:pPr>
            <w:r w:rsidRPr="00C92E6D">
              <w:t>Äldre indelning av EDS</w:t>
            </w:r>
          </w:p>
        </w:tc>
        <w:tc>
          <w:tcPr>
            <w:tcW w:w="4239" w:type="dxa"/>
            <w:shd w:val="clear" w:color="auto" w:fill="D9D9D9" w:themeFill="background1" w:themeFillShade="D9"/>
          </w:tcPr>
          <w:p w:rsidRPr="00FA08B4" w:rsidR="00D40C95" w:rsidP="00D40C95" w:rsidRDefault="00D40C95" w14:paraId="72BE0EDE" w14:textId="6C8661F2">
            <w:pPr>
              <w:pStyle w:val="Tabell"/>
            </w:pPr>
            <w:r w:rsidRPr="00C92E6D">
              <w:t>VI</w:t>
            </w:r>
          </w:p>
        </w:tc>
      </w:tr>
      <w:tr w:rsidR="00D40C95" w:rsidTr="00D40C95" w14:paraId="4B0822CB" w14:textId="77777777">
        <w:tc>
          <w:tcPr>
            <w:tcW w:w="3666" w:type="dxa"/>
          </w:tcPr>
          <w:p w:rsidRPr="00C92E6D" w:rsidR="00D40C95" w:rsidP="00D40C95" w:rsidRDefault="00D40C95" w14:paraId="03038339" w14:textId="67300407">
            <w:pPr>
              <w:pStyle w:val="Tabell"/>
            </w:pPr>
            <w:r w:rsidRPr="002205F8">
              <w:t>Benämning</w:t>
            </w:r>
          </w:p>
        </w:tc>
        <w:tc>
          <w:tcPr>
            <w:tcW w:w="4239" w:type="dxa"/>
          </w:tcPr>
          <w:p w:rsidRPr="00C92E6D" w:rsidR="00D40C95" w:rsidP="00D40C95" w:rsidRDefault="00D40C95" w14:paraId="38CDD243" w14:textId="38175C7B">
            <w:pPr>
              <w:pStyle w:val="Tabell"/>
            </w:pPr>
            <w:proofErr w:type="spellStart"/>
            <w:r w:rsidRPr="002205F8">
              <w:t>Kyfoskolios</w:t>
            </w:r>
            <w:proofErr w:type="spellEnd"/>
            <w:r w:rsidRPr="002205F8">
              <w:t>-typ</w:t>
            </w:r>
          </w:p>
        </w:tc>
      </w:tr>
      <w:tr w:rsidR="00D40C95" w:rsidTr="00D40C95" w14:paraId="2BE24961" w14:textId="77777777">
        <w:tc>
          <w:tcPr>
            <w:tcW w:w="3666" w:type="dxa"/>
          </w:tcPr>
          <w:p w:rsidRPr="00C92E6D" w:rsidR="00D40C95" w:rsidP="00D40C95" w:rsidRDefault="00D40C95" w14:paraId="0F6E0EF7" w14:textId="7343AFA6">
            <w:pPr>
              <w:pStyle w:val="Tabell"/>
            </w:pPr>
            <w:r w:rsidRPr="002205F8">
              <w:t>Symtom</w:t>
            </w:r>
          </w:p>
        </w:tc>
        <w:tc>
          <w:tcPr>
            <w:tcW w:w="4239" w:type="dxa"/>
          </w:tcPr>
          <w:p w:rsidRPr="00C92E6D" w:rsidR="00D40C95" w:rsidP="00D40C95" w:rsidRDefault="00D40C95" w14:paraId="0C40C56B" w14:textId="06B672C3">
            <w:pPr>
              <w:pStyle w:val="Tabell"/>
            </w:pPr>
            <w:r w:rsidRPr="002205F8">
              <w:t>Överrörliga leder, medfödd skolios som tilltar med åren, skör ögonglob och hornhinna, uttalad muskelsvaghet vid födseln. Artärbristningar, benskörhet, lätt att få blåmärken.</w:t>
            </w:r>
          </w:p>
        </w:tc>
      </w:tr>
      <w:tr w:rsidR="00D40C95" w:rsidTr="00D40C95" w14:paraId="5CFFF23A" w14:textId="77777777">
        <w:tc>
          <w:tcPr>
            <w:tcW w:w="3666" w:type="dxa"/>
          </w:tcPr>
          <w:p w:rsidRPr="00C92E6D" w:rsidR="00D40C95" w:rsidP="00D40C95" w:rsidRDefault="00D40C95" w14:paraId="3B94AB98" w14:textId="205D5545">
            <w:pPr>
              <w:pStyle w:val="Tabell"/>
            </w:pPr>
            <w:r w:rsidRPr="002205F8">
              <w:t>Förekomst, ärftlighet</w:t>
            </w:r>
          </w:p>
        </w:tc>
        <w:tc>
          <w:tcPr>
            <w:tcW w:w="4239" w:type="dxa"/>
          </w:tcPr>
          <w:p w:rsidRPr="00C92E6D" w:rsidR="00D40C95" w:rsidP="00D40C95" w:rsidRDefault="00D40C95" w14:paraId="5187ACE0" w14:textId="379CF4E9">
            <w:pPr>
              <w:pStyle w:val="Tabell"/>
            </w:pPr>
            <w:r w:rsidRPr="002205F8">
              <w:t>Mycket ovanlig.</w:t>
            </w:r>
          </w:p>
        </w:tc>
      </w:tr>
      <w:tr w:rsidR="00D40C95" w:rsidTr="00D40C95" w14:paraId="38171559" w14:textId="77777777">
        <w:tc>
          <w:tcPr>
            <w:tcW w:w="3666" w:type="dxa"/>
            <w:shd w:val="clear" w:color="auto" w:fill="D9D9D9" w:themeFill="background1" w:themeFillShade="D9"/>
          </w:tcPr>
          <w:p w:rsidRPr="002205F8" w:rsidR="00D40C95" w:rsidP="00D40C95" w:rsidRDefault="00D40C95" w14:paraId="396F4F61" w14:textId="2DD6719F">
            <w:pPr>
              <w:pStyle w:val="Tabell"/>
            </w:pPr>
            <w:r w:rsidRPr="002015FA">
              <w:t>Äldre indelning av EDS</w:t>
            </w:r>
          </w:p>
        </w:tc>
        <w:tc>
          <w:tcPr>
            <w:tcW w:w="4239" w:type="dxa"/>
            <w:shd w:val="clear" w:color="auto" w:fill="D9D9D9" w:themeFill="background1" w:themeFillShade="D9"/>
          </w:tcPr>
          <w:p w:rsidRPr="002205F8" w:rsidR="00D40C95" w:rsidP="00D40C95" w:rsidRDefault="00D40C95" w14:paraId="7E44FFD2" w14:textId="16D19BBC">
            <w:pPr>
              <w:pStyle w:val="Tabell"/>
            </w:pPr>
            <w:r w:rsidRPr="002015FA">
              <w:t>VII A och B</w:t>
            </w:r>
          </w:p>
        </w:tc>
      </w:tr>
      <w:tr w:rsidR="00D40C95" w:rsidTr="00D40C95" w14:paraId="6B83B4DE" w14:textId="77777777">
        <w:tc>
          <w:tcPr>
            <w:tcW w:w="3666" w:type="dxa"/>
          </w:tcPr>
          <w:p w:rsidRPr="002015FA" w:rsidR="00D40C95" w:rsidP="00D40C95" w:rsidRDefault="00D40C95" w14:paraId="5FB06B7F" w14:textId="394C7306">
            <w:pPr>
              <w:pStyle w:val="Tabell"/>
            </w:pPr>
            <w:r w:rsidRPr="00A242C6">
              <w:t>Benämning</w:t>
            </w:r>
          </w:p>
        </w:tc>
        <w:tc>
          <w:tcPr>
            <w:tcW w:w="4239" w:type="dxa"/>
          </w:tcPr>
          <w:p w:rsidRPr="002015FA" w:rsidR="00D40C95" w:rsidP="00D40C95" w:rsidRDefault="00D40C95" w14:paraId="0E18E130" w14:textId="44E5916F">
            <w:pPr>
              <w:pStyle w:val="Tabell"/>
            </w:pPr>
            <w:proofErr w:type="spellStart"/>
            <w:r w:rsidRPr="00A242C6">
              <w:t>Artrochalasi</w:t>
            </w:r>
            <w:proofErr w:type="spellEnd"/>
            <w:r w:rsidRPr="00A242C6">
              <w:t>-typ</w:t>
            </w:r>
          </w:p>
        </w:tc>
      </w:tr>
      <w:tr w:rsidR="00D40C95" w:rsidTr="00D40C95" w14:paraId="02EFDFE3" w14:textId="77777777">
        <w:tc>
          <w:tcPr>
            <w:tcW w:w="3666" w:type="dxa"/>
          </w:tcPr>
          <w:p w:rsidRPr="002015FA" w:rsidR="00D40C95" w:rsidP="00D40C95" w:rsidRDefault="00D40C95" w14:paraId="6D2508FC" w14:textId="36092A83">
            <w:pPr>
              <w:pStyle w:val="Tabell"/>
            </w:pPr>
            <w:r w:rsidRPr="00A242C6">
              <w:t>Symtom</w:t>
            </w:r>
          </w:p>
        </w:tc>
        <w:tc>
          <w:tcPr>
            <w:tcW w:w="4239" w:type="dxa"/>
          </w:tcPr>
          <w:p w:rsidRPr="002015FA" w:rsidR="00D40C95" w:rsidP="00D40C95" w:rsidRDefault="00D40C95" w14:paraId="40D693C6" w14:textId="18B0BF9B">
            <w:pPr>
              <w:pStyle w:val="Tabell"/>
            </w:pPr>
            <w:r w:rsidRPr="00A242C6">
              <w:t>Överrörliga leder med återkommande luxationer. Medfödd dubbelsidig höftledsluxation. Töjbar, skör hud. Lätt att få blåmärken, muskelsvaghet, skolios, viss benskörhet.</w:t>
            </w:r>
          </w:p>
        </w:tc>
      </w:tr>
      <w:tr w:rsidR="00D40C95" w:rsidTr="00D40C95" w14:paraId="53FCDBE9" w14:textId="77777777">
        <w:tc>
          <w:tcPr>
            <w:tcW w:w="3666" w:type="dxa"/>
          </w:tcPr>
          <w:p w:rsidRPr="002015FA" w:rsidR="00D40C95" w:rsidP="00D40C95" w:rsidRDefault="00D40C95" w14:paraId="00EFF794" w14:textId="4FB352E2">
            <w:pPr>
              <w:pStyle w:val="Tabell"/>
            </w:pPr>
            <w:r w:rsidRPr="00A242C6">
              <w:t>Förekomst, ärftlighet</w:t>
            </w:r>
          </w:p>
        </w:tc>
        <w:tc>
          <w:tcPr>
            <w:tcW w:w="4239" w:type="dxa"/>
          </w:tcPr>
          <w:p w:rsidRPr="002015FA" w:rsidR="00D40C95" w:rsidP="00D40C95" w:rsidRDefault="00D40C95" w14:paraId="10F9A35D" w14:textId="2D7F7D12">
            <w:pPr>
              <w:pStyle w:val="Tabell"/>
            </w:pPr>
            <w:r w:rsidRPr="00A242C6">
              <w:t>Mycket ovanlig.</w:t>
            </w:r>
          </w:p>
        </w:tc>
      </w:tr>
      <w:tr w:rsidR="00D40C95" w:rsidTr="00D40C95" w14:paraId="0DD5A27C" w14:textId="77777777">
        <w:tc>
          <w:tcPr>
            <w:tcW w:w="3666" w:type="dxa"/>
            <w:shd w:val="clear" w:color="auto" w:fill="D9D9D9" w:themeFill="background1" w:themeFillShade="D9"/>
          </w:tcPr>
          <w:p w:rsidRPr="00A242C6" w:rsidR="00D40C95" w:rsidP="00D40C95" w:rsidRDefault="00D40C95" w14:paraId="420EB836" w14:textId="555F92C1">
            <w:pPr>
              <w:pStyle w:val="Tabell"/>
            </w:pPr>
            <w:r w:rsidRPr="00093ED4">
              <w:t>Äldre indelning av EDS</w:t>
            </w:r>
          </w:p>
        </w:tc>
        <w:tc>
          <w:tcPr>
            <w:tcW w:w="4239" w:type="dxa"/>
            <w:shd w:val="clear" w:color="auto" w:fill="D9D9D9" w:themeFill="background1" w:themeFillShade="D9"/>
          </w:tcPr>
          <w:p w:rsidRPr="00A242C6" w:rsidR="00D40C95" w:rsidP="00D40C95" w:rsidRDefault="00D40C95" w14:paraId="49BDB500" w14:textId="4E8DEB74">
            <w:pPr>
              <w:pStyle w:val="Tabell"/>
            </w:pPr>
            <w:r w:rsidRPr="00093ED4">
              <w:t>VII C</w:t>
            </w:r>
          </w:p>
        </w:tc>
      </w:tr>
      <w:tr w:rsidR="00D40C95" w:rsidTr="00D40C95" w14:paraId="0B9EDC0A" w14:textId="77777777">
        <w:tc>
          <w:tcPr>
            <w:tcW w:w="3666" w:type="dxa"/>
          </w:tcPr>
          <w:p w:rsidRPr="00093ED4" w:rsidR="00D40C95" w:rsidP="00D40C95" w:rsidRDefault="00D40C95" w14:paraId="1C894D43" w14:textId="79DFD824">
            <w:pPr>
              <w:pStyle w:val="Tabell"/>
            </w:pPr>
            <w:r w:rsidRPr="00F53016">
              <w:t>Benämning</w:t>
            </w:r>
          </w:p>
        </w:tc>
        <w:tc>
          <w:tcPr>
            <w:tcW w:w="4239" w:type="dxa"/>
          </w:tcPr>
          <w:p w:rsidRPr="00093ED4" w:rsidR="00D40C95" w:rsidP="00D40C95" w:rsidRDefault="00D40C95" w14:paraId="5A65BA09" w14:textId="1B73D20B">
            <w:pPr>
              <w:pStyle w:val="Tabell"/>
            </w:pPr>
            <w:proofErr w:type="spellStart"/>
            <w:r w:rsidRPr="00F53016">
              <w:t>Dermatosparaxis</w:t>
            </w:r>
            <w:proofErr w:type="spellEnd"/>
            <w:r w:rsidRPr="00F53016">
              <w:t>-typ</w:t>
            </w:r>
          </w:p>
        </w:tc>
      </w:tr>
      <w:tr w:rsidR="00D40C95" w:rsidTr="00D40C95" w14:paraId="03F6219E" w14:textId="77777777">
        <w:tc>
          <w:tcPr>
            <w:tcW w:w="3666" w:type="dxa"/>
          </w:tcPr>
          <w:p w:rsidRPr="00093ED4" w:rsidR="00D40C95" w:rsidP="00D40C95" w:rsidRDefault="00D40C95" w14:paraId="375A08A8" w14:textId="454DB84D">
            <w:pPr>
              <w:pStyle w:val="Tabell"/>
            </w:pPr>
            <w:r w:rsidRPr="00F53016">
              <w:t>Symtom</w:t>
            </w:r>
          </w:p>
        </w:tc>
        <w:tc>
          <w:tcPr>
            <w:tcW w:w="4239" w:type="dxa"/>
          </w:tcPr>
          <w:p w:rsidRPr="00093ED4" w:rsidR="00D40C95" w:rsidP="00D40C95" w:rsidRDefault="00D40C95" w14:paraId="140AF8C4" w14:textId="51A446AD">
            <w:pPr>
              <w:pStyle w:val="Tabell"/>
            </w:pPr>
            <w:r w:rsidRPr="00F53016">
              <w:t>Uttalad hud-skörhet, lös och överflödig hud, prematurfödsel, mjuk och ”degig” hud, blåmärken, stora bråck (navel, ljumske).</w:t>
            </w:r>
          </w:p>
        </w:tc>
      </w:tr>
      <w:tr w:rsidR="00D40C95" w:rsidTr="00D40C95" w14:paraId="4787A06A" w14:textId="77777777">
        <w:tc>
          <w:tcPr>
            <w:tcW w:w="3666" w:type="dxa"/>
          </w:tcPr>
          <w:p w:rsidRPr="00093ED4" w:rsidR="00D40C95" w:rsidP="00D40C95" w:rsidRDefault="00D40C95" w14:paraId="01AC1878" w14:textId="2638397C">
            <w:pPr>
              <w:ind w:left="0"/>
            </w:pPr>
            <w:r w:rsidRPr="00F53016">
              <w:t>Förekomst, ärftlighet</w:t>
            </w:r>
          </w:p>
        </w:tc>
        <w:tc>
          <w:tcPr>
            <w:tcW w:w="4239" w:type="dxa"/>
          </w:tcPr>
          <w:p w:rsidRPr="00093ED4" w:rsidR="00D40C95" w:rsidP="00D40C95" w:rsidRDefault="00D40C95" w14:paraId="42335D1B" w14:textId="56020D55">
            <w:pPr>
              <w:ind w:left="0"/>
            </w:pPr>
            <w:r w:rsidRPr="00F53016">
              <w:t>Mycket ovanlig.</w:t>
            </w:r>
          </w:p>
        </w:tc>
      </w:tr>
    </w:tbl>
    <w:p w:rsidR="00D40C95" w:rsidP="00D40C95" w:rsidRDefault="00D40C95" w14:paraId="457C91D9" w14:textId="64DE45C3">
      <w:pPr>
        <w:pStyle w:val="Heading2"/>
      </w:pPr>
      <w:bookmarkStart w:name="_Toc215669720" w:id="17"/>
      <w:r>
        <w:t>Ansvar</w:t>
      </w:r>
      <w:bookmarkEnd w:id="17"/>
    </w:p>
    <w:p w:rsidR="00D40C95" w:rsidP="00D40C95" w:rsidRDefault="00D40C95" w14:paraId="0DBEB5A1" w14:textId="59E5D04C">
      <w:r w:rsidRPr="00D40C95">
        <w:t>Mödrahälsovårdsöverläkare ansvarar för innehållet i riktlinjen. Områdeschefer och enhetschefer ansvarar för att riktlinjen implementeras och efterlevs.</w:t>
      </w:r>
    </w:p>
    <w:p w:rsidR="00D40C95" w:rsidP="00D40C95" w:rsidRDefault="00D40C95" w14:paraId="7DE33076" w14:textId="5C3F3BFE">
      <w:pPr>
        <w:pStyle w:val="Heading2"/>
      </w:pPr>
      <w:bookmarkStart w:name="_Toc215669721" w:id="18"/>
      <w:r>
        <w:t>Arbetsgrupp</w:t>
      </w:r>
      <w:bookmarkEnd w:id="18"/>
    </w:p>
    <w:p w:rsidRPr="00D40C95" w:rsidR="00D40C95" w:rsidP="00D40C95" w:rsidRDefault="00D40C95" w14:paraId="30F14AD1" w14:textId="42A27016">
      <w:r w:rsidRPr="00D40C95">
        <w:rPr>
          <w:highlight w:val="lightGray"/>
        </w:rPr>
        <w:t>Innehållsansvarig</w:t>
      </w:r>
    </w:p>
    <w:p w:rsidR="00D40C95" w:rsidP="00D40C95" w:rsidRDefault="00D40C95" w14:paraId="5B7B56B6" w14:textId="77777777">
      <w:r>
        <w:t>Karin Jerhamre Sund, Mödrahälsovårdsöverläkare, Centralt mödrahälsovårdsteam, Regionhälsan</w:t>
      </w:r>
    </w:p>
    <w:p w:rsidRPr="003221AD" w:rsidR="00D40C95" w:rsidP="003221AD" w:rsidRDefault="00D40C95" w14:paraId="7B7C5D1C" w14:textId="6DB9591C">
      <w:r>
        <w:t xml:space="preserve">Lena Otterlind, tf. Verksamhetschef, Obstetrik SU/KK SU. </w:t>
      </w:r>
    </w:p>
    <w:p w:rsidR="00D40C95" w:rsidP="00D40C95" w:rsidRDefault="00D40C95" w14:paraId="6D0CF7DA" w14:textId="77777777">
      <w:r>
        <w:t>Anna Öfverholm, Enhetsöverläkare, Klinisk Genetik.</w:t>
      </w:r>
    </w:p>
    <w:p w:rsidR="00D40C95" w:rsidP="00D40C95" w:rsidRDefault="00D40C95" w14:paraId="21894034" w14:textId="258D49A1">
      <w:r>
        <w:t xml:space="preserve">Fariba </w:t>
      </w:r>
      <w:proofErr w:type="spellStart"/>
      <w:r>
        <w:t>Baghaei</w:t>
      </w:r>
      <w:proofErr w:type="spellEnd"/>
      <w:r>
        <w:t>, Medicinskt ledningsansvarig ÖL, Koagulationscentrum SU.</w:t>
      </w:r>
    </w:p>
    <w:p w:rsidR="009D3512" w:rsidP="1946E100" w:rsidRDefault="009D3512" w14:paraId="7E08B357" w14:textId="0E8EABF1">
      <w:pPr>
        <w:rPr>
          <w:highlight w:val="lightGray"/>
        </w:rPr>
      </w:pPr>
      <w:r w:rsidRPr="1946E100" w:rsidR="11E7CE82">
        <w:rPr>
          <w:highlight w:val="lightGray"/>
        </w:rPr>
        <w:t>Godkännare</w:t>
      </w:r>
    </w:p>
    <w:p w:rsidRPr="00D40C95" w:rsidR="003167DB" w:rsidP="003167DB" w:rsidRDefault="00E97F4A" w14:paraId="3FFDCC53" w14:textId="298451E0">
      <w:r>
        <w:t>Susanne Samuelsson, områdeschef, barnmorskemottagning och gynekologi, Regionhälsan</w:t>
      </w:r>
    </w:p>
    <w:sectPr w:rsidRPr="00D40C95" w:rsidR="003167DB" w:rsidSect="00B96AFF">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C5BC4" w:rsidRDefault="00BC5BC4" w14:paraId="187B8113" w14:textId="77777777">
      <w:r>
        <w:separator/>
      </w:r>
    </w:p>
  </w:endnote>
  <w:endnote w:type="continuationSeparator" w:id="0">
    <w:p w:rsidR="00BC5BC4" w:rsidRDefault="00BC5BC4" w14:paraId="67568209" w14:textId="77777777">
      <w:r>
        <w:continuationSeparator/>
      </w:r>
    </w:p>
  </w:endnote>
  <w:endnote w:type="continuationNotice" w:id="1">
    <w:p w:rsidR="00BC5BC4" w:rsidRDefault="00BC5BC4" w14:paraId="0AB1715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3221AD" w14:paraId="47BD2091" w14:textId="66F4EBFA">
    <w:pPr>
      <w:pStyle w:val="Footer"/>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Footer"/>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C5BC4" w:rsidRDefault="00BC5BC4" w14:paraId="313F0C77" w14:textId="77777777"/>
  </w:footnote>
  <w:footnote w:type="continuationSeparator" w:id="0">
    <w:p w:rsidR="00BC5BC4" w:rsidRDefault="00BC5BC4" w14:paraId="2D606527" w14:textId="77777777">
      <w:r>
        <w:continuationSeparator/>
      </w:r>
    </w:p>
  </w:footnote>
  <w:footnote w:type="continuationNotice" w:id="1">
    <w:p w:rsidR="00BC5BC4" w:rsidRDefault="00BC5BC4" w14:paraId="5B36CFE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0A143C4"/>
    <w:multiLevelType w:val="hybridMultilevel"/>
    <w:tmpl w:val="5B7AEE9E"/>
    <w:lvl w:ilvl="0" w:tplc="041D000F">
      <w:start w:val="1"/>
      <w:numFmt w:val="decimal"/>
      <w:lvlText w:val="%1."/>
      <w:lvlJc w:val="left"/>
      <w:pPr>
        <w:ind w:left="1664" w:hanging="360"/>
      </w:pPr>
      <w:rPr>
        <w:rFonts w:hint="default"/>
      </w:rPr>
    </w:lvl>
    <w:lvl w:ilvl="1" w:tplc="FFFFFFFF" w:tentative="1">
      <w:start w:val="1"/>
      <w:numFmt w:val="bullet"/>
      <w:lvlText w:val="o"/>
      <w:lvlJc w:val="left"/>
      <w:pPr>
        <w:ind w:left="3107" w:hanging="360"/>
      </w:pPr>
      <w:rPr>
        <w:rFonts w:hint="default" w:ascii="Courier New" w:hAnsi="Courier New" w:cs="Courier New"/>
      </w:rPr>
    </w:lvl>
    <w:lvl w:ilvl="2" w:tplc="FFFFFFFF" w:tentative="1">
      <w:start w:val="1"/>
      <w:numFmt w:val="bullet"/>
      <w:lvlText w:val=""/>
      <w:lvlJc w:val="left"/>
      <w:pPr>
        <w:ind w:left="3827" w:hanging="360"/>
      </w:pPr>
      <w:rPr>
        <w:rFonts w:hint="default" w:ascii="Wingdings" w:hAnsi="Wingdings"/>
      </w:rPr>
    </w:lvl>
    <w:lvl w:ilvl="3" w:tplc="FFFFFFFF" w:tentative="1">
      <w:start w:val="1"/>
      <w:numFmt w:val="bullet"/>
      <w:lvlText w:val=""/>
      <w:lvlJc w:val="left"/>
      <w:pPr>
        <w:ind w:left="4547" w:hanging="360"/>
      </w:pPr>
      <w:rPr>
        <w:rFonts w:hint="default" w:ascii="Symbol" w:hAnsi="Symbol"/>
      </w:rPr>
    </w:lvl>
    <w:lvl w:ilvl="4" w:tplc="FFFFFFFF" w:tentative="1">
      <w:start w:val="1"/>
      <w:numFmt w:val="bullet"/>
      <w:lvlText w:val="o"/>
      <w:lvlJc w:val="left"/>
      <w:pPr>
        <w:ind w:left="5267" w:hanging="360"/>
      </w:pPr>
      <w:rPr>
        <w:rFonts w:hint="default" w:ascii="Courier New" w:hAnsi="Courier New" w:cs="Courier New"/>
      </w:rPr>
    </w:lvl>
    <w:lvl w:ilvl="5" w:tplc="FFFFFFFF" w:tentative="1">
      <w:start w:val="1"/>
      <w:numFmt w:val="bullet"/>
      <w:lvlText w:val=""/>
      <w:lvlJc w:val="left"/>
      <w:pPr>
        <w:ind w:left="5987" w:hanging="360"/>
      </w:pPr>
      <w:rPr>
        <w:rFonts w:hint="default" w:ascii="Wingdings" w:hAnsi="Wingdings"/>
      </w:rPr>
    </w:lvl>
    <w:lvl w:ilvl="6" w:tplc="FFFFFFFF" w:tentative="1">
      <w:start w:val="1"/>
      <w:numFmt w:val="bullet"/>
      <w:lvlText w:val=""/>
      <w:lvlJc w:val="left"/>
      <w:pPr>
        <w:ind w:left="6707" w:hanging="360"/>
      </w:pPr>
      <w:rPr>
        <w:rFonts w:hint="default" w:ascii="Symbol" w:hAnsi="Symbol"/>
      </w:rPr>
    </w:lvl>
    <w:lvl w:ilvl="7" w:tplc="FFFFFFFF" w:tentative="1">
      <w:start w:val="1"/>
      <w:numFmt w:val="bullet"/>
      <w:lvlText w:val="o"/>
      <w:lvlJc w:val="left"/>
      <w:pPr>
        <w:ind w:left="7427" w:hanging="360"/>
      </w:pPr>
      <w:rPr>
        <w:rFonts w:hint="default" w:ascii="Courier New" w:hAnsi="Courier New" w:cs="Courier New"/>
      </w:rPr>
    </w:lvl>
    <w:lvl w:ilvl="8" w:tplc="FFFFFFFF" w:tentative="1">
      <w:start w:val="1"/>
      <w:numFmt w:val="bullet"/>
      <w:lvlText w:val=""/>
      <w:lvlJc w:val="left"/>
      <w:pPr>
        <w:ind w:left="8147"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0A3D73"/>
    <w:multiLevelType w:val="hybridMultilevel"/>
    <w:tmpl w:val="C3B21980"/>
    <w:lvl w:ilvl="0" w:tplc="041D000F">
      <w:start w:val="1"/>
      <w:numFmt w:val="decimal"/>
      <w:lvlText w:val="%1."/>
      <w:lvlJc w:val="left"/>
      <w:pPr>
        <w:ind w:left="1664" w:hanging="360"/>
      </w:pPr>
      <w:rPr>
        <w:rFonts w:hint="default"/>
      </w:rPr>
    </w:lvl>
    <w:lvl w:ilvl="1" w:tplc="FFFFFFFF" w:tentative="1">
      <w:start w:val="1"/>
      <w:numFmt w:val="bullet"/>
      <w:lvlText w:val="o"/>
      <w:lvlJc w:val="left"/>
      <w:pPr>
        <w:ind w:left="3107" w:hanging="360"/>
      </w:pPr>
      <w:rPr>
        <w:rFonts w:hint="default" w:ascii="Courier New" w:hAnsi="Courier New" w:cs="Courier New"/>
      </w:rPr>
    </w:lvl>
    <w:lvl w:ilvl="2" w:tplc="FFFFFFFF" w:tentative="1">
      <w:start w:val="1"/>
      <w:numFmt w:val="bullet"/>
      <w:lvlText w:val=""/>
      <w:lvlJc w:val="left"/>
      <w:pPr>
        <w:ind w:left="3827" w:hanging="360"/>
      </w:pPr>
      <w:rPr>
        <w:rFonts w:hint="default" w:ascii="Wingdings" w:hAnsi="Wingdings"/>
      </w:rPr>
    </w:lvl>
    <w:lvl w:ilvl="3" w:tplc="FFFFFFFF" w:tentative="1">
      <w:start w:val="1"/>
      <w:numFmt w:val="bullet"/>
      <w:lvlText w:val=""/>
      <w:lvlJc w:val="left"/>
      <w:pPr>
        <w:ind w:left="4547" w:hanging="360"/>
      </w:pPr>
      <w:rPr>
        <w:rFonts w:hint="default" w:ascii="Symbol" w:hAnsi="Symbol"/>
      </w:rPr>
    </w:lvl>
    <w:lvl w:ilvl="4" w:tplc="FFFFFFFF" w:tentative="1">
      <w:start w:val="1"/>
      <w:numFmt w:val="bullet"/>
      <w:lvlText w:val="o"/>
      <w:lvlJc w:val="left"/>
      <w:pPr>
        <w:ind w:left="5267" w:hanging="360"/>
      </w:pPr>
      <w:rPr>
        <w:rFonts w:hint="default" w:ascii="Courier New" w:hAnsi="Courier New" w:cs="Courier New"/>
      </w:rPr>
    </w:lvl>
    <w:lvl w:ilvl="5" w:tplc="FFFFFFFF" w:tentative="1">
      <w:start w:val="1"/>
      <w:numFmt w:val="bullet"/>
      <w:lvlText w:val=""/>
      <w:lvlJc w:val="left"/>
      <w:pPr>
        <w:ind w:left="5987" w:hanging="360"/>
      </w:pPr>
      <w:rPr>
        <w:rFonts w:hint="default" w:ascii="Wingdings" w:hAnsi="Wingdings"/>
      </w:rPr>
    </w:lvl>
    <w:lvl w:ilvl="6" w:tplc="FFFFFFFF" w:tentative="1">
      <w:start w:val="1"/>
      <w:numFmt w:val="bullet"/>
      <w:lvlText w:val=""/>
      <w:lvlJc w:val="left"/>
      <w:pPr>
        <w:ind w:left="6707" w:hanging="360"/>
      </w:pPr>
      <w:rPr>
        <w:rFonts w:hint="default" w:ascii="Symbol" w:hAnsi="Symbol"/>
      </w:rPr>
    </w:lvl>
    <w:lvl w:ilvl="7" w:tplc="FFFFFFFF" w:tentative="1">
      <w:start w:val="1"/>
      <w:numFmt w:val="bullet"/>
      <w:lvlText w:val="o"/>
      <w:lvlJc w:val="left"/>
      <w:pPr>
        <w:ind w:left="7427" w:hanging="360"/>
      </w:pPr>
      <w:rPr>
        <w:rFonts w:hint="default" w:ascii="Courier New" w:hAnsi="Courier New" w:cs="Courier New"/>
      </w:rPr>
    </w:lvl>
    <w:lvl w:ilvl="8" w:tplc="FFFFFFFF" w:tentative="1">
      <w:start w:val="1"/>
      <w:numFmt w:val="bullet"/>
      <w:lvlText w:val=""/>
      <w:lvlJc w:val="left"/>
      <w:pPr>
        <w:ind w:left="8147"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C9B4898C"/>
    <w:lvl w:ilvl="0" w:tplc="63A07C5E">
      <w:start w:val="1"/>
      <w:numFmt w:val="decimal"/>
      <w:pStyle w:val="ListParagraph"/>
      <w:lvlText w:val="%1."/>
      <w:lvlJc w:val="left"/>
      <w:pPr>
        <w:ind w:left="1664" w:hanging="360"/>
      </w:pPr>
      <w:rPr>
        <w:rFonts w:hint="default"/>
      </w:rPr>
    </w:lvl>
    <w:lvl w:ilvl="1" w:tplc="041D0003" w:tentative="1">
      <w:start w:val="1"/>
      <w:numFmt w:val="bullet"/>
      <w:lvlText w:val="o"/>
      <w:lvlJc w:val="left"/>
      <w:pPr>
        <w:ind w:left="3107" w:hanging="360"/>
      </w:pPr>
      <w:rPr>
        <w:rFonts w:hint="default" w:ascii="Courier New" w:hAnsi="Courier New" w:cs="Courier New"/>
      </w:rPr>
    </w:lvl>
    <w:lvl w:ilvl="2" w:tplc="041D0005" w:tentative="1">
      <w:start w:val="1"/>
      <w:numFmt w:val="bullet"/>
      <w:lvlText w:val=""/>
      <w:lvlJc w:val="left"/>
      <w:pPr>
        <w:ind w:left="3827" w:hanging="360"/>
      </w:pPr>
      <w:rPr>
        <w:rFonts w:hint="default" w:ascii="Wingdings" w:hAnsi="Wingdings"/>
      </w:rPr>
    </w:lvl>
    <w:lvl w:ilvl="3" w:tplc="041D0001" w:tentative="1">
      <w:start w:val="1"/>
      <w:numFmt w:val="bullet"/>
      <w:lvlText w:val=""/>
      <w:lvlJc w:val="left"/>
      <w:pPr>
        <w:ind w:left="4547" w:hanging="360"/>
      </w:pPr>
      <w:rPr>
        <w:rFonts w:hint="default" w:ascii="Symbol" w:hAnsi="Symbol"/>
      </w:rPr>
    </w:lvl>
    <w:lvl w:ilvl="4" w:tplc="041D0003" w:tentative="1">
      <w:start w:val="1"/>
      <w:numFmt w:val="bullet"/>
      <w:lvlText w:val="o"/>
      <w:lvlJc w:val="left"/>
      <w:pPr>
        <w:ind w:left="5267" w:hanging="360"/>
      </w:pPr>
      <w:rPr>
        <w:rFonts w:hint="default" w:ascii="Courier New" w:hAnsi="Courier New" w:cs="Courier New"/>
      </w:rPr>
    </w:lvl>
    <w:lvl w:ilvl="5" w:tplc="041D0005" w:tentative="1">
      <w:start w:val="1"/>
      <w:numFmt w:val="bullet"/>
      <w:lvlText w:val=""/>
      <w:lvlJc w:val="left"/>
      <w:pPr>
        <w:ind w:left="5987" w:hanging="360"/>
      </w:pPr>
      <w:rPr>
        <w:rFonts w:hint="default" w:ascii="Wingdings" w:hAnsi="Wingdings"/>
      </w:rPr>
    </w:lvl>
    <w:lvl w:ilvl="6" w:tplc="041D0001" w:tentative="1">
      <w:start w:val="1"/>
      <w:numFmt w:val="bullet"/>
      <w:lvlText w:val=""/>
      <w:lvlJc w:val="left"/>
      <w:pPr>
        <w:ind w:left="6707" w:hanging="360"/>
      </w:pPr>
      <w:rPr>
        <w:rFonts w:hint="default" w:ascii="Symbol" w:hAnsi="Symbol"/>
      </w:rPr>
    </w:lvl>
    <w:lvl w:ilvl="7" w:tplc="041D0003" w:tentative="1">
      <w:start w:val="1"/>
      <w:numFmt w:val="bullet"/>
      <w:lvlText w:val="o"/>
      <w:lvlJc w:val="left"/>
      <w:pPr>
        <w:ind w:left="7427" w:hanging="360"/>
      </w:pPr>
      <w:rPr>
        <w:rFonts w:hint="default" w:ascii="Courier New" w:hAnsi="Courier New" w:cs="Courier New"/>
      </w:rPr>
    </w:lvl>
    <w:lvl w:ilvl="8" w:tplc="041D0005" w:tentative="1">
      <w:start w:val="1"/>
      <w:numFmt w:val="bullet"/>
      <w:lvlText w:val=""/>
      <w:lvlJc w:val="left"/>
      <w:pPr>
        <w:ind w:left="8147"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63B97D3A"/>
    <w:multiLevelType w:val="hybridMultilevel"/>
    <w:tmpl w:val="CC824D7E"/>
    <w:lvl w:ilvl="0" w:tplc="041D000F">
      <w:start w:val="1"/>
      <w:numFmt w:val="decimal"/>
      <w:lvlText w:val="%1."/>
      <w:lvlJc w:val="left"/>
      <w:pPr>
        <w:ind w:left="1664" w:hanging="360"/>
      </w:pPr>
      <w:rPr>
        <w:rFonts w:hint="default"/>
      </w:rPr>
    </w:lvl>
    <w:lvl w:ilvl="1" w:tplc="FFFFFFFF">
      <w:start w:val="1"/>
      <w:numFmt w:val="bullet"/>
      <w:lvlText w:val="o"/>
      <w:lvlJc w:val="left"/>
      <w:pPr>
        <w:ind w:left="3107" w:hanging="360"/>
      </w:pPr>
      <w:rPr>
        <w:rFonts w:hint="default" w:ascii="Courier New" w:hAnsi="Courier New" w:cs="Courier New"/>
      </w:rPr>
    </w:lvl>
    <w:lvl w:ilvl="2" w:tplc="FFFFFFFF" w:tentative="1">
      <w:start w:val="1"/>
      <w:numFmt w:val="bullet"/>
      <w:lvlText w:val=""/>
      <w:lvlJc w:val="left"/>
      <w:pPr>
        <w:ind w:left="3827" w:hanging="360"/>
      </w:pPr>
      <w:rPr>
        <w:rFonts w:hint="default" w:ascii="Wingdings" w:hAnsi="Wingdings"/>
      </w:rPr>
    </w:lvl>
    <w:lvl w:ilvl="3" w:tplc="FFFFFFFF" w:tentative="1">
      <w:start w:val="1"/>
      <w:numFmt w:val="bullet"/>
      <w:lvlText w:val=""/>
      <w:lvlJc w:val="left"/>
      <w:pPr>
        <w:ind w:left="4547" w:hanging="360"/>
      </w:pPr>
      <w:rPr>
        <w:rFonts w:hint="default" w:ascii="Symbol" w:hAnsi="Symbol"/>
      </w:rPr>
    </w:lvl>
    <w:lvl w:ilvl="4" w:tplc="FFFFFFFF" w:tentative="1">
      <w:start w:val="1"/>
      <w:numFmt w:val="bullet"/>
      <w:lvlText w:val="o"/>
      <w:lvlJc w:val="left"/>
      <w:pPr>
        <w:ind w:left="5267" w:hanging="360"/>
      </w:pPr>
      <w:rPr>
        <w:rFonts w:hint="default" w:ascii="Courier New" w:hAnsi="Courier New" w:cs="Courier New"/>
      </w:rPr>
    </w:lvl>
    <w:lvl w:ilvl="5" w:tplc="FFFFFFFF" w:tentative="1">
      <w:start w:val="1"/>
      <w:numFmt w:val="bullet"/>
      <w:lvlText w:val=""/>
      <w:lvlJc w:val="left"/>
      <w:pPr>
        <w:ind w:left="5987" w:hanging="360"/>
      </w:pPr>
      <w:rPr>
        <w:rFonts w:hint="default" w:ascii="Wingdings" w:hAnsi="Wingdings"/>
      </w:rPr>
    </w:lvl>
    <w:lvl w:ilvl="6" w:tplc="FFFFFFFF" w:tentative="1">
      <w:start w:val="1"/>
      <w:numFmt w:val="bullet"/>
      <w:lvlText w:val=""/>
      <w:lvlJc w:val="left"/>
      <w:pPr>
        <w:ind w:left="6707" w:hanging="360"/>
      </w:pPr>
      <w:rPr>
        <w:rFonts w:hint="default" w:ascii="Symbol" w:hAnsi="Symbol"/>
      </w:rPr>
    </w:lvl>
    <w:lvl w:ilvl="7" w:tplc="FFFFFFFF" w:tentative="1">
      <w:start w:val="1"/>
      <w:numFmt w:val="bullet"/>
      <w:lvlText w:val="o"/>
      <w:lvlJc w:val="left"/>
      <w:pPr>
        <w:ind w:left="7427" w:hanging="360"/>
      </w:pPr>
      <w:rPr>
        <w:rFonts w:hint="default" w:ascii="Courier New" w:hAnsi="Courier New" w:cs="Courier New"/>
      </w:rPr>
    </w:lvl>
    <w:lvl w:ilvl="8" w:tplc="FFFFFFFF" w:tentative="1">
      <w:start w:val="1"/>
      <w:numFmt w:val="bullet"/>
      <w:lvlText w:val=""/>
      <w:lvlJc w:val="left"/>
      <w:pPr>
        <w:ind w:left="8147" w:hanging="360"/>
      </w:pPr>
      <w:rPr>
        <w:rFonts w:hint="default" w:ascii="Wingdings" w:hAnsi="Wingdings"/>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6D947D0"/>
    <w:multiLevelType w:val="hybridMultilevel"/>
    <w:tmpl w:val="2F1ED682"/>
    <w:lvl w:ilvl="0" w:tplc="041D000F">
      <w:start w:val="1"/>
      <w:numFmt w:val="decimal"/>
      <w:lvlText w:val="%1."/>
      <w:lvlJc w:val="left"/>
      <w:pPr>
        <w:ind w:left="1664" w:hanging="360"/>
      </w:pPr>
      <w:rPr>
        <w:rFonts w:hint="default"/>
      </w:rPr>
    </w:lvl>
    <w:lvl w:ilvl="1" w:tplc="FFFFFFFF" w:tentative="1">
      <w:start w:val="1"/>
      <w:numFmt w:val="bullet"/>
      <w:lvlText w:val="o"/>
      <w:lvlJc w:val="left"/>
      <w:pPr>
        <w:ind w:left="3107" w:hanging="360"/>
      </w:pPr>
      <w:rPr>
        <w:rFonts w:hint="default" w:ascii="Courier New" w:hAnsi="Courier New" w:cs="Courier New"/>
      </w:rPr>
    </w:lvl>
    <w:lvl w:ilvl="2" w:tplc="FFFFFFFF" w:tentative="1">
      <w:start w:val="1"/>
      <w:numFmt w:val="bullet"/>
      <w:lvlText w:val=""/>
      <w:lvlJc w:val="left"/>
      <w:pPr>
        <w:ind w:left="3827" w:hanging="360"/>
      </w:pPr>
      <w:rPr>
        <w:rFonts w:hint="default" w:ascii="Wingdings" w:hAnsi="Wingdings"/>
      </w:rPr>
    </w:lvl>
    <w:lvl w:ilvl="3" w:tplc="FFFFFFFF" w:tentative="1">
      <w:start w:val="1"/>
      <w:numFmt w:val="bullet"/>
      <w:lvlText w:val=""/>
      <w:lvlJc w:val="left"/>
      <w:pPr>
        <w:ind w:left="4547" w:hanging="360"/>
      </w:pPr>
      <w:rPr>
        <w:rFonts w:hint="default" w:ascii="Symbol" w:hAnsi="Symbol"/>
      </w:rPr>
    </w:lvl>
    <w:lvl w:ilvl="4" w:tplc="FFFFFFFF" w:tentative="1">
      <w:start w:val="1"/>
      <w:numFmt w:val="bullet"/>
      <w:lvlText w:val="o"/>
      <w:lvlJc w:val="left"/>
      <w:pPr>
        <w:ind w:left="5267" w:hanging="360"/>
      </w:pPr>
      <w:rPr>
        <w:rFonts w:hint="default" w:ascii="Courier New" w:hAnsi="Courier New" w:cs="Courier New"/>
      </w:rPr>
    </w:lvl>
    <w:lvl w:ilvl="5" w:tplc="FFFFFFFF" w:tentative="1">
      <w:start w:val="1"/>
      <w:numFmt w:val="bullet"/>
      <w:lvlText w:val=""/>
      <w:lvlJc w:val="left"/>
      <w:pPr>
        <w:ind w:left="5987" w:hanging="360"/>
      </w:pPr>
      <w:rPr>
        <w:rFonts w:hint="default" w:ascii="Wingdings" w:hAnsi="Wingdings"/>
      </w:rPr>
    </w:lvl>
    <w:lvl w:ilvl="6" w:tplc="FFFFFFFF" w:tentative="1">
      <w:start w:val="1"/>
      <w:numFmt w:val="bullet"/>
      <w:lvlText w:val=""/>
      <w:lvlJc w:val="left"/>
      <w:pPr>
        <w:ind w:left="6707" w:hanging="360"/>
      </w:pPr>
      <w:rPr>
        <w:rFonts w:hint="default" w:ascii="Symbol" w:hAnsi="Symbol"/>
      </w:rPr>
    </w:lvl>
    <w:lvl w:ilvl="7" w:tplc="FFFFFFFF" w:tentative="1">
      <w:start w:val="1"/>
      <w:numFmt w:val="bullet"/>
      <w:lvlText w:val="o"/>
      <w:lvlJc w:val="left"/>
      <w:pPr>
        <w:ind w:left="7427" w:hanging="360"/>
      </w:pPr>
      <w:rPr>
        <w:rFonts w:hint="default" w:ascii="Courier New" w:hAnsi="Courier New" w:cs="Courier New"/>
      </w:rPr>
    </w:lvl>
    <w:lvl w:ilvl="8" w:tplc="FFFFFFFF" w:tentative="1">
      <w:start w:val="1"/>
      <w:numFmt w:val="bullet"/>
      <w:lvlText w:val=""/>
      <w:lvlJc w:val="left"/>
      <w:pPr>
        <w:ind w:left="8147" w:hanging="360"/>
      </w:pPr>
      <w:rPr>
        <w:rFonts w:hint="default" w:ascii="Wingdings" w:hAnsi="Wingdings"/>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1"/>
  </w:num>
  <w:num w:numId="2" w16cid:durableId="1367871050">
    <w:abstractNumId w:val="16"/>
  </w:num>
  <w:num w:numId="3" w16cid:durableId="164058872">
    <w:abstractNumId w:val="0"/>
  </w:num>
  <w:num w:numId="4" w16cid:durableId="861477783">
    <w:abstractNumId w:val="6"/>
  </w:num>
  <w:num w:numId="5" w16cid:durableId="1280868239">
    <w:abstractNumId w:val="18"/>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5"/>
  </w:num>
  <w:num w:numId="14" w16cid:durableId="36130748">
    <w:abstractNumId w:val="10"/>
  </w:num>
  <w:num w:numId="15" w16cid:durableId="560679449">
    <w:abstractNumId w:val="7"/>
  </w:num>
  <w:num w:numId="16" w16cid:durableId="1420566503">
    <w:abstractNumId w:val="14"/>
  </w:num>
  <w:num w:numId="17" w16cid:durableId="256527698">
    <w:abstractNumId w:val="5"/>
  </w:num>
  <w:num w:numId="18" w16cid:durableId="1090539201">
    <w:abstractNumId w:val="11"/>
  </w:num>
  <w:num w:numId="19" w16cid:durableId="1846439597">
    <w:abstractNumId w:val="20"/>
  </w:num>
  <w:num w:numId="20" w16cid:durableId="1953239967">
    <w:abstractNumId w:val="15"/>
    <w:lvlOverride w:ilvl="0">
      <w:startOverride w:val="1"/>
    </w:lvlOverride>
  </w:num>
  <w:num w:numId="21" w16cid:durableId="1214273842">
    <w:abstractNumId w:val="19"/>
  </w:num>
  <w:num w:numId="22" w16cid:durableId="866338012">
    <w:abstractNumId w:val="13"/>
  </w:num>
  <w:num w:numId="23" w16cid:durableId="60644979">
    <w:abstractNumId w:val="8"/>
  </w:num>
  <w:num w:numId="24" w16cid:durableId="169275591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293"/>
    <w:rsid w:val="000051D5"/>
    <w:rsid w:val="00006D2A"/>
    <w:rsid w:val="00010D47"/>
    <w:rsid w:val="00016CF0"/>
    <w:rsid w:val="00025932"/>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96192"/>
    <w:rsid w:val="000A611A"/>
    <w:rsid w:val="000B12D9"/>
    <w:rsid w:val="000B4536"/>
    <w:rsid w:val="000B7715"/>
    <w:rsid w:val="000C4EB0"/>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631"/>
    <w:rsid w:val="00250F24"/>
    <w:rsid w:val="002523C5"/>
    <w:rsid w:val="0025380B"/>
    <w:rsid w:val="0025703A"/>
    <w:rsid w:val="00262F3D"/>
    <w:rsid w:val="00263281"/>
    <w:rsid w:val="00263E08"/>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D6216"/>
    <w:rsid w:val="002E1009"/>
    <w:rsid w:val="002E263F"/>
    <w:rsid w:val="002E6F81"/>
    <w:rsid w:val="002E6FC8"/>
    <w:rsid w:val="002F08BA"/>
    <w:rsid w:val="002F2CFF"/>
    <w:rsid w:val="002F568B"/>
    <w:rsid w:val="002F7818"/>
    <w:rsid w:val="003066D0"/>
    <w:rsid w:val="00311401"/>
    <w:rsid w:val="003167DB"/>
    <w:rsid w:val="003203D7"/>
    <w:rsid w:val="00320F86"/>
    <w:rsid w:val="003221AD"/>
    <w:rsid w:val="00324171"/>
    <w:rsid w:val="00326C24"/>
    <w:rsid w:val="00337F99"/>
    <w:rsid w:val="003410BD"/>
    <w:rsid w:val="0034307B"/>
    <w:rsid w:val="00345EB1"/>
    <w:rsid w:val="00350CC4"/>
    <w:rsid w:val="00352CC5"/>
    <w:rsid w:val="00360E0D"/>
    <w:rsid w:val="0036357D"/>
    <w:rsid w:val="0036594C"/>
    <w:rsid w:val="00367D19"/>
    <w:rsid w:val="00371BED"/>
    <w:rsid w:val="0037383E"/>
    <w:rsid w:val="00384019"/>
    <w:rsid w:val="003854F1"/>
    <w:rsid w:val="0039118E"/>
    <w:rsid w:val="00396DAC"/>
    <w:rsid w:val="00397F54"/>
    <w:rsid w:val="003A0D43"/>
    <w:rsid w:val="003B2A4B"/>
    <w:rsid w:val="003D099E"/>
    <w:rsid w:val="003D21A2"/>
    <w:rsid w:val="003D29D2"/>
    <w:rsid w:val="003D6DF1"/>
    <w:rsid w:val="003E0705"/>
    <w:rsid w:val="003E2FF7"/>
    <w:rsid w:val="003F1013"/>
    <w:rsid w:val="003F1ACF"/>
    <w:rsid w:val="00404948"/>
    <w:rsid w:val="004050DE"/>
    <w:rsid w:val="00406BEA"/>
    <w:rsid w:val="00413A60"/>
    <w:rsid w:val="004230F7"/>
    <w:rsid w:val="0043167E"/>
    <w:rsid w:val="0043409A"/>
    <w:rsid w:val="00446255"/>
    <w:rsid w:val="00451935"/>
    <w:rsid w:val="00460ED0"/>
    <w:rsid w:val="00465651"/>
    <w:rsid w:val="00470CE7"/>
    <w:rsid w:val="00470F4F"/>
    <w:rsid w:val="00472112"/>
    <w:rsid w:val="00472482"/>
    <w:rsid w:val="004735F1"/>
    <w:rsid w:val="00480DC7"/>
    <w:rsid w:val="004876F6"/>
    <w:rsid w:val="0049236A"/>
    <w:rsid w:val="00492718"/>
    <w:rsid w:val="004A355D"/>
    <w:rsid w:val="004A4970"/>
    <w:rsid w:val="004A52F3"/>
    <w:rsid w:val="004B2183"/>
    <w:rsid w:val="004B2A01"/>
    <w:rsid w:val="004C3536"/>
    <w:rsid w:val="004D4B4A"/>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D5144"/>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63B1"/>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2E01"/>
    <w:rsid w:val="00733A9C"/>
    <w:rsid w:val="00736574"/>
    <w:rsid w:val="007367E0"/>
    <w:rsid w:val="00737215"/>
    <w:rsid w:val="00754905"/>
    <w:rsid w:val="00760038"/>
    <w:rsid w:val="00762EE0"/>
    <w:rsid w:val="00765C41"/>
    <w:rsid w:val="00771100"/>
    <w:rsid w:val="007726C8"/>
    <w:rsid w:val="00774944"/>
    <w:rsid w:val="007759DD"/>
    <w:rsid w:val="0078609F"/>
    <w:rsid w:val="007917BA"/>
    <w:rsid w:val="007A334E"/>
    <w:rsid w:val="007A5C6F"/>
    <w:rsid w:val="007B0100"/>
    <w:rsid w:val="007D4241"/>
    <w:rsid w:val="007D4317"/>
    <w:rsid w:val="007D4EA3"/>
    <w:rsid w:val="007E4E5C"/>
    <w:rsid w:val="007E74C9"/>
    <w:rsid w:val="007F1CFF"/>
    <w:rsid w:val="007F5DD5"/>
    <w:rsid w:val="00806DC6"/>
    <w:rsid w:val="00821A1B"/>
    <w:rsid w:val="008262E9"/>
    <w:rsid w:val="008272ED"/>
    <w:rsid w:val="00827E69"/>
    <w:rsid w:val="00831C35"/>
    <w:rsid w:val="008340BF"/>
    <w:rsid w:val="00835C4D"/>
    <w:rsid w:val="0083755F"/>
    <w:rsid w:val="00843F48"/>
    <w:rsid w:val="00851423"/>
    <w:rsid w:val="008569C6"/>
    <w:rsid w:val="00857848"/>
    <w:rsid w:val="008654B6"/>
    <w:rsid w:val="00866EB5"/>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656E"/>
    <w:rsid w:val="009A07DC"/>
    <w:rsid w:val="009A32ED"/>
    <w:rsid w:val="009B1F6B"/>
    <w:rsid w:val="009C0D12"/>
    <w:rsid w:val="009C192E"/>
    <w:rsid w:val="009C2E3E"/>
    <w:rsid w:val="009C6C0C"/>
    <w:rsid w:val="009D3512"/>
    <w:rsid w:val="009D6819"/>
    <w:rsid w:val="009D6D1C"/>
    <w:rsid w:val="009E0CF9"/>
    <w:rsid w:val="009E531B"/>
    <w:rsid w:val="009E6C56"/>
    <w:rsid w:val="009E7DCF"/>
    <w:rsid w:val="009F18CB"/>
    <w:rsid w:val="009F4A56"/>
    <w:rsid w:val="009F4E65"/>
    <w:rsid w:val="00A006A5"/>
    <w:rsid w:val="00A05942"/>
    <w:rsid w:val="00A07BEC"/>
    <w:rsid w:val="00A264BE"/>
    <w:rsid w:val="00A272CA"/>
    <w:rsid w:val="00A33051"/>
    <w:rsid w:val="00A407AD"/>
    <w:rsid w:val="00A40923"/>
    <w:rsid w:val="00A41C05"/>
    <w:rsid w:val="00A42426"/>
    <w:rsid w:val="00A4554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4F06"/>
    <w:rsid w:val="00B75EDE"/>
    <w:rsid w:val="00B7675E"/>
    <w:rsid w:val="00B77D88"/>
    <w:rsid w:val="00B77FAF"/>
    <w:rsid w:val="00B83715"/>
    <w:rsid w:val="00B84336"/>
    <w:rsid w:val="00B851B9"/>
    <w:rsid w:val="00B86453"/>
    <w:rsid w:val="00B90054"/>
    <w:rsid w:val="00B92C14"/>
    <w:rsid w:val="00B96AFF"/>
    <w:rsid w:val="00B97D4E"/>
    <w:rsid w:val="00BA0066"/>
    <w:rsid w:val="00BA6927"/>
    <w:rsid w:val="00BB69DB"/>
    <w:rsid w:val="00BC322E"/>
    <w:rsid w:val="00BC44CD"/>
    <w:rsid w:val="00BC48A6"/>
    <w:rsid w:val="00BC5BC4"/>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6DC2"/>
    <w:rsid w:val="00CB0493"/>
    <w:rsid w:val="00CB17FF"/>
    <w:rsid w:val="00CB1ED7"/>
    <w:rsid w:val="00CC167C"/>
    <w:rsid w:val="00CC52D9"/>
    <w:rsid w:val="00CD6647"/>
    <w:rsid w:val="00CE4B73"/>
    <w:rsid w:val="00CF70BB"/>
    <w:rsid w:val="00D00BD7"/>
    <w:rsid w:val="00D074DB"/>
    <w:rsid w:val="00D139CF"/>
    <w:rsid w:val="00D20779"/>
    <w:rsid w:val="00D37E7F"/>
    <w:rsid w:val="00D40C95"/>
    <w:rsid w:val="00D47AD7"/>
    <w:rsid w:val="00D51529"/>
    <w:rsid w:val="00D62468"/>
    <w:rsid w:val="00D67C88"/>
    <w:rsid w:val="00D839D6"/>
    <w:rsid w:val="00D85218"/>
    <w:rsid w:val="00D915B1"/>
    <w:rsid w:val="00DA299D"/>
    <w:rsid w:val="00DA65C4"/>
    <w:rsid w:val="00DE09D8"/>
    <w:rsid w:val="00DE4447"/>
    <w:rsid w:val="00DE5DA2"/>
    <w:rsid w:val="00DE63C6"/>
    <w:rsid w:val="00DF0033"/>
    <w:rsid w:val="00E00B9B"/>
    <w:rsid w:val="00E0243F"/>
    <w:rsid w:val="00E026BF"/>
    <w:rsid w:val="00E03504"/>
    <w:rsid w:val="00E07B1B"/>
    <w:rsid w:val="00E11853"/>
    <w:rsid w:val="00E25374"/>
    <w:rsid w:val="00E411B6"/>
    <w:rsid w:val="00E43BA7"/>
    <w:rsid w:val="00E52A86"/>
    <w:rsid w:val="00E5306E"/>
    <w:rsid w:val="00E54B47"/>
    <w:rsid w:val="00E553BF"/>
    <w:rsid w:val="00E55D93"/>
    <w:rsid w:val="00E61294"/>
    <w:rsid w:val="00E7237C"/>
    <w:rsid w:val="00E77C46"/>
    <w:rsid w:val="00E86CE8"/>
    <w:rsid w:val="00E90E82"/>
    <w:rsid w:val="00E97F4A"/>
    <w:rsid w:val="00EA00CB"/>
    <w:rsid w:val="00EA1BAA"/>
    <w:rsid w:val="00EA3FCD"/>
    <w:rsid w:val="00EA42A0"/>
    <w:rsid w:val="00EB6714"/>
    <w:rsid w:val="00EC0A68"/>
    <w:rsid w:val="00EC241F"/>
    <w:rsid w:val="00EC3C32"/>
    <w:rsid w:val="00EC5006"/>
    <w:rsid w:val="00ED49C3"/>
    <w:rsid w:val="00ED6CE8"/>
    <w:rsid w:val="00ED7AA6"/>
    <w:rsid w:val="00EE2A56"/>
    <w:rsid w:val="00EE3818"/>
    <w:rsid w:val="00F22264"/>
    <w:rsid w:val="00F2564D"/>
    <w:rsid w:val="00F35B05"/>
    <w:rsid w:val="00F413D9"/>
    <w:rsid w:val="00F5135F"/>
    <w:rsid w:val="00F51F78"/>
    <w:rsid w:val="00F70A21"/>
    <w:rsid w:val="00F86F47"/>
    <w:rsid w:val="00F90B64"/>
    <w:rsid w:val="00FB2F0F"/>
    <w:rsid w:val="00FB5086"/>
    <w:rsid w:val="00FB5411"/>
    <w:rsid w:val="00FB6392"/>
    <w:rsid w:val="00FC4F36"/>
    <w:rsid w:val="00FD3C70"/>
    <w:rsid w:val="00FD6820"/>
    <w:rsid w:val="00FE12D8"/>
    <w:rsid w:val="00FF7C02"/>
    <w:rsid w:val="024801E3"/>
    <w:rsid w:val="11E7CE82"/>
    <w:rsid w:val="1946E10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Heading1">
    <w:name w:val="heading 1"/>
    <w:aliases w:val="Rubrik VGR"/>
    <w:next w:val="Normal"/>
    <w:link w:val="Heading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Heading2">
    <w:name w:val="heading 2"/>
    <w:aliases w:val="Rubrik 2 VGR"/>
    <w:basedOn w:val="Normal"/>
    <w:next w:val="Normal"/>
    <w:link w:val="Heading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Heading1Char" w:customStyle="1">
    <w:name w:val="Heading 1 Char"/>
    <w:aliases w:val="Rubrik VGR Char"/>
    <w:link w:val="Heading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8D124E"/>
    <w:rPr>
      <w:rFonts w:ascii="Verdana" w:hAnsi="Verdana" w:eastAsiaTheme="majorEastAsia" w:cstheme="majorBidi"/>
      <w:bCs/>
      <w:color w:val="000000" w:themeColor="text1"/>
      <w:sz w:val="36"/>
      <w:szCs w:val="26"/>
    </w:rPr>
  </w:style>
  <w:style w:type="character" w:styleId="Heading3Char" w:customStyle="1">
    <w:name w:val="Heading 3 Char"/>
    <w:aliases w:val="Rubrik 3 VGR Char"/>
    <w:basedOn w:val="DefaultParagraphFont"/>
    <w:link w:val="Heading3"/>
    <w:uiPriority w:val="3"/>
    <w:rsid w:val="008D124E"/>
    <w:rPr>
      <w:rFonts w:ascii="Verdana" w:hAnsi="Verdana" w:eastAsiaTheme="majorEastAsia" w:cstheme="majorBidi"/>
      <w:bCs/>
      <w:color w:val="000000" w:themeColor="text1"/>
      <w:sz w:val="28"/>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250631"/>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2E1009"/>
    <w:pPr>
      <w:tabs>
        <w:tab w:val="right" w:leader="dot" w:pos="8779"/>
      </w:tabs>
      <w:ind w:right="142"/>
    </w:pPr>
    <w:rPr>
      <w:rFonts w:eastAsia="MS Gothic"/>
      <w:noProof/>
    </w:r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DefaultParagraphFon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DefaultParagraphFont"/>
    <w:link w:val="UnderrubrikVGR"/>
    <w:uiPriority w:val="3"/>
    <w:rsid w:val="00B14487"/>
    <w:rPr>
      <w:rFonts w:ascii="Verdana" w:hAnsi="Verdana"/>
      <w:sz w:val="32"/>
      <w:szCs w:val="44"/>
    </w:rPr>
  </w:style>
  <w:style w:type="paragraph" w:styleId="TOC2">
    <w:name w:val="toc 2"/>
    <w:basedOn w:val="Normal"/>
    <w:next w:val="Normal"/>
    <w:autoRedefine/>
    <w:uiPriority w:val="39"/>
    <w:unhideWhenUsed/>
    <w:rsid w:val="00BC6590"/>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Heading9Char" w:customStyle="1">
    <w:name w:val="Heading 9 Char"/>
    <w:basedOn w:val="DefaultParagraphFont"/>
    <w:link w:val="Heading9"/>
    <w:uiPriority w:val="9"/>
    <w:semiHidden/>
    <w:rsid w:val="009A32ED"/>
    <w:rPr>
      <w:rFonts w:asciiTheme="majorHAnsi" w:hAnsiTheme="majorHAnsi" w:eastAsiaTheme="majorEastAsia"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styleId="BodyTextChar" w:customStyle="1">
    <w:name w:val="Body Text Char"/>
    <w:aliases w:val="(=Löpande text) Char"/>
    <w:basedOn w:val="DefaultParagraphFont"/>
    <w:link w:val="Body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DefaultParagraphFont"/>
    <w:link w:val="Tabell"/>
    <w:rsid w:val="00831C35"/>
    <w:rPr>
      <w:rFonts w:ascii="Georgia" w:hAnsi="Georgia"/>
      <w:sz w:val="24"/>
      <w:szCs w:val="24"/>
    </w:rPr>
  </w:style>
  <w:style w:type="character" w:styleId="FollowedHyperlink">
    <w:name w:val="FollowedHyperlink"/>
    <w:basedOn w:val="DefaultParagraphFont"/>
    <w:uiPriority w:val="99"/>
    <w:semiHidden/>
    <w:unhideWhenUsed/>
    <w:rsid w:val="00B97D4E"/>
    <w:rPr>
      <w:color w:val="9EA2A2" w:themeColor="followedHyperlink"/>
      <w:u w:val="single"/>
    </w:rPr>
  </w:style>
  <w:style w:type="character" w:styleId="UnresolvedMention">
    <w:name w:val="Unresolved Mention"/>
    <w:basedOn w:val="DefaultParagraphFont"/>
    <w:uiPriority w:val="99"/>
    <w:semiHidden/>
    <w:unhideWhenUsed/>
    <w:rsid w:val="00672EC3"/>
    <w:rPr>
      <w:color w:val="605E5C"/>
      <w:shd w:val="clear" w:color="auto" w:fill="E1DFDD"/>
    </w:rPr>
  </w:style>
  <w:style w:type="paragraph" w:styleId="Subtitle">
    <w:name w:val="Subtitle"/>
    <w:basedOn w:val="Normal"/>
    <w:next w:val="Normal"/>
    <w:link w:val="SubtitleChar"/>
    <w:qFormat/>
    <w:rsid w:val="00866EB5"/>
    <w:pPr>
      <w:numPr>
        <w:ilvl w:val="1"/>
      </w:numPr>
      <w:spacing w:after="160"/>
      <w:ind w:left="567"/>
    </w:pPr>
    <w:rPr>
      <w:rFonts w:asciiTheme="minorHAnsi" w:hAnsiTheme="minorHAnsi" w:eastAsiaTheme="minorEastAsia" w:cstheme="minorBidi"/>
      <w:color w:val="5A5A5A" w:themeColor="text1" w:themeTint="A5"/>
      <w:spacing w:val="15"/>
      <w:sz w:val="22"/>
      <w:szCs w:val="22"/>
    </w:rPr>
  </w:style>
  <w:style w:type="character" w:styleId="SubtitleChar" w:customStyle="1">
    <w:name w:val="Subtitle Char"/>
    <w:basedOn w:val="DefaultParagraphFont"/>
    <w:link w:val="Subtitle"/>
    <w:rsid w:val="00866EB5"/>
    <w:rPr>
      <w:rFonts w:asciiTheme="minorHAnsi" w:hAnsiTheme="minorHAnsi" w:eastAsiaTheme="minorEastAsia" w:cstheme="minorBidi"/>
      <w:color w:val="5A5A5A" w:themeColor="text1" w:themeTint="A5"/>
      <w:spacing w:val="15"/>
      <w:sz w:val="22"/>
      <w:szCs w:val="22"/>
    </w:rPr>
  </w:style>
  <w:style w:type="paragraph" w:styleId="TOCHeading">
    <w:name w:val="TOC Heading"/>
    <w:basedOn w:val="Heading1"/>
    <w:next w:val="Normal"/>
    <w:uiPriority w:val="39"/>
    <w:unhideWhenUsed/>
    <w:qFormat/>
    <w:rsid w:val="002E1009"/>
    <w:pPr>
      <w:keepLines/>
      <w:spacing w:before="240" w:after="0" w:line="259" w:lineRule="auto"/>
      <w:ind w:left="0"/>
      <w:contextualSpacing w:val="0"/>
      <w:outlineLvl w:val="9"/>
    </w:pPr>
    <w:rPr>
      <w:rFonts w:asciiTheme="majorHAnsi" w:hAnsiTheme="majorHAnsi" w:eastAsiaTheme="majorEastAsia"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Ehlers-Danlos syndrom (EDS) Barnmorskemottagningar Göteborg och Södra Bohuslän VGR</dc:title>
  <dc:subject/>
  <dc:creator/>
  <keywords/>
  <lastModifiedBy>Johanna Wahll</lastModifiedBy>
  <revision>2</revision>
  <dcterms:created xsi:type="dcterms:W3CDTF">2025-12-03T23:10:00.0000000Z</dcterms:created>
  <dcterms:modified xsi:type="dcterms:W3CDTF">2025-12-04T09:11:22.0000000Z</dcterms:modified>
</coreProperties>
</file>