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7F24745" w:rsidR="00184167" w:rsidRDefault="00A2426C" w:rsidP="009A32ED">
      <w:pPr>
        <w:pStyle w:val="Heading1"/>
      </w:pPr>
      <w:r>
        <w:t>Dubbelseende hos vuxna patienter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Heading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78CF957D" w14:textId="003948D3" w:rsidR="009A32ED" w:rsidRDefault="00A2426C" w:rsidP="009A32ED">
      <w:pPr>
        <w:ind w:right="-143"/>
      </w:pPr>
      <w:r>
        <w:t>Ny rutin</w:t>
      </w:r>
    </w:p>
    <w:p w14:paraId="1FC6584C" w14:textId="5F8C09A4" w:rsidR="00B405A1" w:rsidRPr="00C83212" w:rsidRDefault="009A32ED" w:rsidP="00C83212">
      <w:pPr>
        <w:pStyle w:val="Heading2"/>
        <w:ind w:right="-143"/>
        <w:rPr>
          <w:rFonts w:ascii="Georgia" w:hAnsi="Georgia"/>
          <w:sz w:val="24"/>
          <w:szCs w:val="24"/>
        </w:rPr>
      </w:pPr>
      <w:bookmarkStart w:id="3" w:name="_Toc100327185"/>
      <w:bookmarkStart w:id="4" w:name="_Toc181866757"/>
      <w:bookmarkStart w:id="5" w:name="_Toc72840807"/>
      <w:r>
        <w:t>S</w:t>
      </w:r>
      <w:r w:rsidR="00A2426C">
        <w:t>yfte</w:t>
      </w:r>
      <w:bookmarkEnd w:id="3"/>
      <w:bookmarkEnd w:id="4"/>
      <w:r w:rsidR="00A2426C">
        <w:br/>
      </w:r>
      <w:r w:rsidR="00CD6425">
        <w:rPr>
          <w:rFonts w:ascii="Georgia" w:hAnsi="Georgia"/>
          <w:sz w:val="24"/>
          <w:szCs w:val="24"/>
        </w:rPr>
        <w:t>En undersökningsrutin för vuxna patienter som söker för binokulärt dubbelseende eller skelning.</w:t>
      </w:r>
      <w:r w:rsidR="008930E8">
        <w:rPr>
          <w:rFonts w:ascii="Georgia" w:hAnsi="Georgia"/>
          <w:sz w:val="24"/>
          <w:szCs w:val="24"/>
        </w:rPr>
        <w:br/>
      </w:r>
    </w:p>
    <w:p w14:paraId="463A169C" w14:textId="6443F3BA" w:rsidR="00036000" w:rsidRPr="008930E8" w:rsidRDefault="009A32ED" w:rsidP="00036000">
      <w:pPr>
        <w:spacing w:after="0"/>
      </w:pPr>
      <w:bookmarkStart w:id="6" w:name="_Toc100327186"/>
      <w:bookmarkStart w:id="7" w:name="_Toc181866759"/>
      <w:bookmarkEnd w:id="5"/>
      <w:r w:rsidRPr="008930E8">
        <w:rPr>
          <w:rFonts w:ascii="Verdana" w:hAnsi="Verdana"/>
          <w:sz w:val="36"/>
          <w:szCs w:val="36"/>
        </w:rPr>
        <w:t xml:space="preserve">Bakgrund </w:t>
      </w:r>
      <w:bookmarkEnd w:id="6"/>
      <w:bookmarkEnd w:id="7"/>
      <w:r w:rsidR="00036000">
        <w:br/>
      </w:r>
      <w:r w:rsidR="00036000" w:rsidRPr="008930E8">
        <w:t xml:space="preserve">Definieras av att patienten ser dubbelt i någon blickriktning om patienten tittar med båda ögonen och att dubbelseendet försvinner om ett öga, oavsett vilket, täcks för. </w:t>
      </w:r>
    </w:p>
    <w:p w14:paraId="3D8248FF" w14:textId="77777777" w:rsidR="00036000" w:rsidRPr="00036000" w:rsidRDefault="00036000" w:rsidP="00036000">
      <w:pPr>
        <w:spacing w:after="0" w:line="288" w:lineRule="auto"/>
        <w:ind w:left="992"/>
        <w:rPr>
          <w:rFonts w:ascii="Times New Roman" w:hAnsi="Times New Roman"/>
        </w:rPr>
      </w:pPr>
    </w:p>
    <w:p w14:paraId="3B575657" w14:textId="7FBF05B2" w:rsidR="00036000" w:rsidRDefault="00036000" w:rsidP="00036000">
      <w:pPr>
        <w:spacing w:line="288" w:lineRule="auto"/>
      </w:pPr>
      <w:r w:rsidRPr="00036000">
        <w:t xml:space="preserve">Binokulärt dubbelseende hos vuxna kan till exempel orsakas av ögonmuskel-pareser, endokrin oftalmopati och dekompenserad fori. Det kan också orsakas av sjukdomar eller skador i makula som orsakar att två helt olika bilder, i färg eller storlek, presenteras för hjärnan. Dubbelseende är vanligt hos patienter med diabetes, Parkinson, MS (spec. INO), MG och maligna sjukdomar. </w:t>
      </w:r>
      <w:bookmarkStart w:id="8" w:name="_Toc100327187"/>
      <w:bookmarkStart w:id="9" w:name="_Toc181866760"/>
    </w:p>
    <w:p w14:paraId="470E9733" w14:textId="77777777" w:rsidR="00E316B6" w:rsidRDefault="00E316B6" w:rsidP="00036000">
      <w:pPr>
        <w:spacing w:line="288" w:lineRule="auto"/>
      </w:pPr>
    </w:p>
    <w:p w14:paraId="74FFB929" w14:textId="77777777" w:rsidR="00E316B6" w:rsidRPr="00E316B6" w:rsidRDefault="00E316B6" w:rsidP="00E316B6">
      <w:pPr>
        <w:keepNext/>
        <w:keepLines/>
        <w:widowControl w:val="0"/>
        <w:autoSpaceDE w:val="0"/>
        <w:autoSpaceDN w:val="0"/>
        <w:adjustRightInd w:val="0"/>
        <w:spacing w:before="240" w:after="0" w:line="288" w:lineRule="auto"/>
        <w:textAlignment w:val="center"/>
        <w:rPr>
          <w:rFonts w:ascii="Calibri" w:hAnsi="Calibri"/>
          <w:b/>
          <w:color w:val="000000"/>
          <w:sz w:val="32"/>
          <w:szCs w:val="32"/>
        </w:rPr>
      </w:pPr>
      <w:r w:rsidRPr="00E316B6">
        <w:rPr>
          <w:rFonts w:ascii="Calibri" w:hAnsi="Calibri"/>
          <w:b/>
          <w:color w:val="000000"/>
          <w:sz w:val="32"/>
          <w:szCs w:val="32"/>
        </w:rPr>
        <w:t xml:space="preserve">Prioritering och bokning vid förstabesök </w:t>
      </w:r>
    </w:p>
    <w:p w14:paraId="116F4F16" w14:textId="4056AF95" w:rsidR="00E316B6" w:rsidRPr="00E316B6" w:rsidRDefault="00E316B6" w:rsidP="00E316B6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textAlignment w:val="center"/>
        <w:rPr>
          <w:rFonts w:ascii="Calibri" w:hAnsi="Calibri"/>
          <w:b/>
          <w:color w:val="000000"/>
          <w:sz w:val="26"/>
          <w:szCs w:val="18"/>
        </w:rPr>
      </w:pPr>
      <w:r>
        <w:rPr>
          <w:rFonts w:ascii="Times New Roman" w:hAnsi="Times New Roman"/>
          <w:b/>
          <w:color w:val="000000"/>
        </w:rPr>
        <w:t>A</w:t>
      </w:r>
      <w:r w:rsidRPr="00E316B6">
        <w:rPr>
          <w:rFonts w:ascii="Times New Roman" w:hAnsi="Times New Roman"/>
          <w:b/>
          <w:color w:val="000000"/>
        </w:rPr>
        <w:t xml:space="preserve">kut dubbelseende följ länk:  </w:t>
      </w:r>
      <w:hyperlink r:id="rId11" w:history="1">
        <w:r w:rsidRPr="00E316B6">
          <w:rPr>
            <w:rFonts w:ascii="Times New Roman" w:hAnsi="Times New Roman"/>
            <w:bCs/>
            <w:color w:val="006298" w:themeColor="hyperlink"/>
            <w:u w:val="single"/>
          </w:rPr>
          <w:t>Prioritering av jourpatienter</w:t>
        </w:r>
      </w:hyperlink>
    </w:p>
    <w:p w14:paraId="7639B5C3" w14:textId="77777777" w:rsidR="00E316B6" w:rsidRPr="00E316B6" w:rsidRDefault="00E316B6" w:rsidP="00E316B6">
      <w:pPr>
        <w:spacing w:after="0" w:line="288" w:lineRule="auto"/>
        <w:ind w:left="992"/>
        <w:rPr>
          <w:rFonts w:ascii="Times New Roman" w:hAnsi="Times New Roman"/>
          <w:bCs/>
        </w:rPr>
      </w:pPr>
    </w:p>
    <w:p w14:paraId="1EFEF194" w14:textId="77777777" w:rsidR="00E316B6" w:rsidRDefault="00E316B6" w:rsidP="00E316B6">
      <w:pPr>
        <w:spacing w:after="0" w:line="288" w:lineRule="auto"/>
        <w:rPr>
          <w:bCs/>
        </w:rPr>
      </w:pPr>
      <w:r w:rsidRPr="00E316B6">
        <w:rPr>
          <w:bCs/>
        </w:rPr>
        <w:t>Binokulärt dubbelseende som inte debuterat akut, men inte tidigare är utrett, bedöms till läkare, prio 30, orsak AAM3, åtgärd Neuro.</w:t>
      </w:r>
    </w:p>
    <w:p w14:paraId="78A3B8AC" w14:textId="77777777" w:rsidR="00B27E25" w:rsidRDefault="00B27E25" w:rsidP="00E316B6">
      <w:pPr>
        <w:spacing w:after="0" w:line="288" w:lineRule="auto"/>
        <w:rPr>
          <w:bCs/>
        </w:rPr>
      </w:pPr>
    </w:p>
    <w:p w14:paraId="0BE36313" w14:textId="77777777" w:rsidR="00B27E25" w:rsidRPr="00B27E25" w:rsidRDefault="00B27E25" w:rsidP="00B27E25">
      <w:pPr>
        <w:keepNext/>
        <w:keepLines/>
        <w:spacing w:before="240" w:after="40" w:line="240" w:lineRule="auto"/>
        <w:ind w:left="992"/>
        <w:outlineLvl w:val="2"/>
        <w:rPr>
          <w:rFonts w:asciiTheme="majorHAnsi" w:eastAsiaTheme="majorEastAsia" w:hAnsiTheme="majorHAnsi" w:cstheme="majorHAnsi"/>
          <w:b/>
          <w:color w:val="000000" w:themeColor="text1"/>
          <w:sz w:val="32"/>
          <w:szCs w:val="32"/>
        </w:rPr>
      </w:pPr>
      <w:r w:rsidRPr="00B27E25">
        <w:rPr>
          <w:rFonts w:asciiTheme="majorHAnsi" w:eastAsiaTheme="majorEastAsia" w:hAnsiTheme="majorHAnsi" w:cstheme="majorHAnsi"/>
          <w:b/>
          <w:color w:val="000000" w:themeColor="text1"/>
          <w:sz w:val="32"/>
          <w:szCs w:val="32"/>
        </w:rPr>
        <w:t>Undersökning</w:t>
      </w:r>
    </w:p>
    <w:p w14:paraId="2D5C7FEF" w14:textId="48C9C759" w:rsidR="00B27E25" w:rsidRPr="00B27E25" w:rsidRDefault="00B27E25" w:rsidP="00B27E25">
      <w:pPr>
        <w:spacing w:line="288" w:lineRule="auto"/>
        <w:ind w:left="992"/>
        <w:contextualSpacing/>
      </w:pPr>
      <w:r w:rsidRPr="00B27E25">
        <w:t>Sedvanlig ögonläkarundersökning innefattande ögonbotten-bedömning och visusprövning ligger som grund till nedanstående</w:t>
      </w:r>
      <w:r w:rsidR="005D0E7D">
        <w:t>:</w:t>
      </w:r>
    </w:p>
    <w:p w14:paraId="50A4B7DC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Anamnes. </w:t>
      </w:r>
    </w:p>
    <w:p w14:paraId="5A2E4A10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</w:pPr>
      <w:r w:rsidRPr="00B27E25">
        <w:rPr>
          <w:b/>
          <w:bCs/>
        </w:rPr>
        <w:t>Inspektion</w:t>
      </w:r>
      <w:r w:rsidRPr="00B27E25">
        <w:t>. Titta efter tvångshuvudhållning (TVH</w:t>
      </w:r>
      <w:r w:rsidRPr="00B27E25">
        <w:rPr>
          <w:b/>
          <w:bCs/>
        </w:rPr>
        <w:t>)</w:t>
      </w:r>
      <w:r w:rsidRPr="00B27E25">
        <w:t>, ptos och ansiktsasymmetri. Görs med fördel vid binokulär synprövning som alltid bör utföras av läkare vid denna frågeställning</w:t>
      </w:r>
    </w:p>
    <w:p w14:paraId="3CDC2B2B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</w:pPr>
      <w:r w:rsidRPr="00B27E25">
        <w:rPr>
          <w:b/>
          <w:bCs/>
        </w:rPr>
        <w:t>Uteslut</w:t>
      </w:r>
      <w:r w:rsidRPr="00B27E25">
        <w:t xml:space="preserve"> monokulär diplopi.</w:t>
      </w:r>
    </w:p>
    <w:p w14:paraId="6570E4EA" w14:textId="77777777" w:rsidR="00B27E25" w:rsidRPr="00B27E25" w:rsidRDefault="00B27E25" w:rsidP="00B27E25">
      <w:pPr>
        <w:numPr>
          <w:ilvl w:val="2"/>
          <w:numId w:val="14"/>
        </w:numPr>
        <w:spacing w:line="288" w:lineRule="auto"/>
        <w:contextualSpacing/>
      </w:pPr>
      <w:r w:rsidRPr="00B27E25">
        <w:rPr>
          <w:b/>
          <w:bCs/>
        </w:rPr>
        <w:t>Refraktionering</w:t>
      </w:r>
      <w:r w:rsidRPr="00B27E25">
        <w:t xml:space="preserve"> (överväg cykloplegisk refraktion)</w:t>
      </w:r>
    </w:p>
    <w:p w14:paraId="370ACC1C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Samsynstest. </w:t>
      </w:r>
      <w:r w:rsidRPr="00B27E25">
        <w:t>Bagolini och/eller Lang</w:t>
      </w:r>
    </w:p>
    <w:p w14:paraId="3445259D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Cover/uncovertest. (CT) </w:t>
      </w:r>
      <w:r w:rsidRPr="00B27E25">
        <w:t>Alltid i minst 3 blickriktningar (primärposition, blick höger och blick vänster), ofta behövs 5 blickriktningar på LH.</w:t>
      </w:r>
      <w:r w:rsidRPr="00B27E25">
        <w:rPr>
          <w:b/>
          <w:bCs/>
        </w:rPr>
        <w:t xml:space="preserve"> </w:t>
      </w:r>
      <w:r w:rsidRPr="00B27E25">
        <w:t>På NH räcker det oftast med primärposition.</w:t>
      </w:r>
    </w:p>
    <w:p w14:paraId="5BC0D0E6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Ögonmotorik.</w:t>
      </w:r>
    </w:p>
    <w:p w14:paraId="0F1AF1BB" w14:textId="77777777" w:rsidR="00B27E25" w:rsidRPr="00B27E25" w:rsidRDefault="00B27E25" w:rsidP="00B27E25">
      <w:pPr>
        <w:numPr>
          <w:ilvl w:val="1"/>
          <w:numId w:val="14"/>
        </w:numPr>
        <w:spacing w:line="288" w:lineRule="auto"/>
        <w:contextualSpacing/>
        <w:rPr>
          <w:b/>
          <w:bCs/>
        </w:rPr>
      </w:pPr>
      <w:r w:rsidRPr="00B27E25">
        <w:rPr>
          <w:b/>
          <w:bCs/>
        </w:rPr>
        <w:t>Motilitet</w:t>
      </w:r>
    </w:p>
    <w:p w14:paraId="17B8552C" w14:textId="77777777" w:rsidR="00B27E25" w:rsidRPr="00B27E25" w:rsidRDefault="00B27E25" w:rsidP="00B27E25">
      <w:pPr>
        <w:numPr>
          <w:ilvl w:val="2"/>
          <w:numId w:val="14"/>
        </w:numPr>
        <w:spacing w:line="288" w:lineRule="auto"/>
        <w:contextualSpacing/>
      </w:pPr>
      <w:r w:rsidRPr="00B27E25">
        <w:t>Duktioner</w:t>
      </w:r>
    </w:p>
    <w:p w14:paraId="15A84258" w14:textId="77777777" w:rsidR="00B27E25" w:rsidRPr="00B27E25" w:rsidRDefault="00B27E25" w:rsidP="00B27E25">
      <w:pPr>
        <w:numPr>
          <w:ilvl w:val="2"/>
          <w:numId w:val="14"/>
        </w:numPr>
        <w:spacing w:line="288" w:lineRule="auto"/>
        <w:contextualSpacing/>
      </w:pPr>
      <w:r w:rsidRPr="00B27E25">
        <w:t>Versioner</w:t>
      </w:r>
    </w:p>
    <w:p w14:paraId="7305D6C6" w14:textId="77777777" w:rsidR="00B27E25" w:rsidRPr="00B27E25" w:rsidRDefault="00B27E25" w:rsidP="00B27E25">
      <w:pPr>
        <w:numPr>
          <w:ilvl w:val="1"/>
          <w:numId w:val="14"/>
        </w:numPr>
        <w:spacing w:line="288" w:lineRule="auto"/>
        <w:contextualSpacing/>
      </w:pPr>
      <w:r w:rsidRPr="00B27E25">
        <w:t>Konvergens</w:t>
      </w:r>
    </w:p>
    <w:p w14:paraId="420D5B99" w14:textId="77777777" w:rsidR="00B27E25" w:rsidRPr="00B27E25" w:rsidRDefault="00B27E25" w:rsidP="00B27E25">
      <w:pPr>
        <w:numPr>
          <w:ilvl w:val="1"/>
          <w:numId w:val="14"/>
        </w:numPr>
        <w:spacing w:line="288" w:lineRule="auto"/>
        <w:contextualSpacing/>
      </w:pPr>
      <w:r w:rsidRPr="00B27E25">
        <w:t>Nystagmus</w:t>
      </w:r>
    </w:p>
    <w:p w14:paraId="157FC531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Synfält enligt Donders </w:t>
      </w:r>
      <w:r w:rsidRPr="00B27E25">
        <w:t>konfrontationstest</w:t>
      </w:r>
    </w:p>
    <w:p w14:paraId="61BC9CA6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Pupiller. </w:t>
      </w:r>
      <w:r w:rsidRPr="00B27E25">
        <w:t>Test av indirekt och direkt pupillreaktion. RAPD. Anisokori? Och isåfall är det störst skillnad i ljus eller mörker?</w:t>
      </w:r>
    </w:p>
    <w:p w14:paraId="1BD280D2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rFonts w:asciiTheme="majorHAnsi" w:hAnsiTheme="majorHAnsi" w:cstheme="majorHAnsi"/>
          <w:b/>
          <w:color w:val="000000"/>
          <w:sz w:val="32"/>
          <w:szCs w:val="32"/>
        </w:rPr>
      </w:pPr>
      <w:r w:rsidRPr="00B27E25">
        <w:rPr>
          <w:rFonts w:asciiTheme="majorHAnsi" w:hAnsiTheme="majorHAnsi" w:cstheme="majorHAnsi"/>
          <w:b/>
          <w:color w:val="000000"/>
          <w:sz w:val="32"/>
          <w:szCs w:val="32"/>
        </w:rPr>
        <w:t>Utökad undersökning</w:t>
      </w:r>
    </w:p>
    <w:p w14:paraId="75A4BD12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 xml:space="preserve">Bielshowskys 3-stegstest. </w:t>
      </w:r>
      <w:r w:rsidRPr="00B27E25">
        <w:t xml:space="preserve">Alltid vid vertikal diplopi. </w:t>
      </w:r>
    </w:p>
    <w:p w14:paraId="4BF65200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Följerörelser</w:t>
      </w:r>
    </w:p>
    <w:p w14:paraId="43B4AA95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Sackader</w:t>
      </w:r>
    </w:p>
    <w:p w14:paraId="0500F524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</w:pPr>
      <w:r w:rsidRPr="00B27E25">
        <w:t>Uttröttbarhet vid blick uppåt i 2 minuter (misstanke MG)</w:t>
      </w:r>
    </w:p>
    <w:p w14:paraId="10C925D8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</w:pPr>
      <w:r w:rsidRPr="00B27E25">
        <w:rPr>
          <w:b/>
          <w:bCs/>
        </w:rPr>
        <w:t xml:space="preserve">LEES </w:t>
      </w:r>
      <w:r w:rsidRPr="00B27E25">
        <w:t>screen, KM-screen</w:t>
      </w:r>
    </w:p>
    <w:p w14:paraId="0FBD990D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</w:pPr>
      <w:r w:rsidRPr="00B27E25">
        <w:rPr>
          <w:b/>
          <w:bCs/>
        </w:rPr>
        <w:t>Duktionsmätning</w:t>
      </w:r>
      <w:r w:rsidRPr="00B27E25">
        <w:t xml:space="preserve"> med hjälp av Humphrey</w:t>
      </w:r>
    </w:p>
    <w:p w14:paraId="77A5496F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SST/Ishihara</w:t>
      </w:r>
    </w:p>
    <w:p w14:paraId="1AFF0CA1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Cykloplegisk refraktion</w:t>
      </w:r>
    </w:p>
    <w:p w14:paraId="45944625" w14:textId="77777777" w:rsidR="00B27E25" w:rsidRPr="00B27E25" w:rsidRDefault="00B27E25" w:rsidP="00B27E25">
      <w:pPr>
        <w:numPr>
          <w:ilvl w:val="0"/>
          <w:numId w:val="14"/>
        </w:numPr>
        <w:spacing w:line="288" w:lineRule="auto"/>
        <w:ind w:left="1712" w:hanging="357"/>
        <w:contextualSpacing/>
        <w:rPr>
          <w:b/>
          <w:bCs/>
        </w:rPr>
      </w:pPr>
      <w:r w:rsidRPr="00B27E25">
        <w:rPr>
          <w:b/>
          <w:bCs/>
        </w:rPr>
        <w:t>Forced duktion test</w:t>
      </w:r>
    </w:p>
    <w:p w14:paraId="6453C21F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rFonts w:ascii="Calibri" w:hAnsi="Calibri"/>
          <w:b/>
          <w:color w:val="000000"/>
          <w:sz w:val="26"/>
          <w:szCs w:val="18"/>
        </w:rPr>
      </w:pPr>
    </w:p>
    <w:p w14:paraId="7C4B0071" w14:textId="77777777" w:rsidR="00B27E25" w:rsidRPr="00B27E25" w:rsidRDefault="00B27E25" w:rsidP="00B27E25">
      <w:pPr>
        <w:spacing w:line="288" w:lineRule="auto"/>
        <w:ind w:left="992"/>
        <w:rPr>
          <w:rFonts w:ascii="Times New Roman" w:hAnsi="Times New Roman"/>
        </w:rPr>
      </w:pPr>
    </w:p>
    <w:p w14:paraId="645CDF71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rFonts w:ascii="Calibri" w:hAnsi="Calibri"/>
          <w:b/>
          <w:color w:val="000000"/>
          <w:sz w:val="32"/>
          <w:szCs w:val="32"/>
        </w:rPr>
      </w:pPr>
      <w:r w:rsidRPr="00B27E25">
        <w:rPr>
          <w:rFonts w:ascii="Calibri" w:hAnsi="Calibri"/>
          <w:b/>
          <w:color w:val="000000"/>
          <w:sz w:val="32"/>
          <w:szCs w:val="32"/>
        </w:rPr>
        <w:t>Bilkörning</w:t>
      </w:r>
    </w:p>
    <w:p w14:paraId="59F4DD92" w14:textId="77777777" w:rsidR="00B27E25" w:rsidRPr="00B27E25" w:rsidRDefault="00B27E25" w:rsidP="00B27E25">
      <w:pPr>
        <w:spacing w:line="288" w:lineRule="auto"/>
        <w:ind w:left="992"/>
      </w:pPr>
      <w:r w:rsidRPr="00B27E25">
        <w:t xml:space="preserve">Vid konstaterat binokulärt dubbelseende ska patienten informeras om vad som gäller angående bilkörning. </w:t>
      </w:r>
    </w:p>
    <w:p w14:paraId="21E51CFB" w14:textId="77777777" w:rsidR="00B27E25" w:rsidRPr="00B27E25" w:rsidRDefault="00B27E25" w:rsidP="00B27E25">
      <w:pPr>
        <w:spacing w:line="288" w:lineRule="auto"/>
        <w:ind w:left="992"/>
        <w:rPr>
          <w:color w:val="006298" w:themeColor="hyperlink"/>
          <w:u w:val="single"/>
        </w:rPr>
      </w:pPr>
      <w:hyperlink r:id="rId12" w:history="1">
        <w:r w:rsidRPr="00B27E25">
          <w:rPr>
            <w:color w:val="006298" w:themeColor="hyperlink"/>
            <w:u w:val="single"/>
          </w:rPr>
          <w:t>Föreskrifter (TSFS 2024:65) om ändring i Transportstyrelsens föreskrifter och allmänna råd (TSFS 2010:125) om medicinska krav för innehavare av körkort m.m.</w:t>
        </w:r>
      </w:hyperlink>
    </w:p>
    <w:p w14:paraId="1E8546E9" w14:textId="2B642F37" w:rsidR="00B27E25" w:rsidRPr="00B27E25" w:rsidRDefault="00B27E25" w:rsidP="00E646EE">
      <w:pPr>
        <w:spacing w:line="288" w:lineRule="auto"/>
        <w:ind w:left="992"/>
      </w:pPr>
      <w:r w:rsidRPr="00B27E25">
        <w:t xml:space="preserve">Tillägg </w:t>
      </w:r>
      <w:hyperlink r:id="rId13" w:history="1">
        <w:r w:rsidRPr="00B27E25">
          <w:rPr>
            <w:color w:val="006298" w:themeColor="hyperlink"/>
            <w:u w:val="single"/>
          </w:rPr>
          <w:t>till Transportstyrelsens föreskrifter och allmänna råd (TSFS 2010:125) om medicinska krav för innehav av körkort m.m. i dess lydelse från och med den 1 februari 2025</w:t>
        </w:r>
      </w:hyperlink>
    </w:p>
    <w:p w14:paraId="79FE0AEB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rFonts w:ascii="Calibri" w:hAnsi="Calibri"/>
          <w:b/>
          <w:color w:val="000000"/>
          <w:sz w:val="32"/>
          <w:szCs w:val="32"/>
        </w:rPr>
      </w:pPr>
      <w:r w:rsidRPr="00B27E25">
        <w:rPr>
          <w:rFonts w:ascii="Calibri" w:hAnsi="Calibri"/>
          <w:b/>
          <w:color w:val="000000"/>
          <w:sz w:val="32"/>
          <w:szCs w:val="32"/>
        </w:rPr>
        <w:t>Dekompenserad fori</w:t>
      </w:r>
    </w:p>
    <w:p w14:paraId="21F5D501" w14:textId="77777777" w:rsidR="00B27E25" w:rsidRPr="00B27E25" w:rsidRDefault="00B27E25" w:rsidP="00B27E25">
      <w:pPr>
        <w:spacing w:line="288" w:lineRule="auto"/>
        <w:ind w:left="992"/>
      </w:pPr>
      <w:r w:rsidRPr="00B27E25">
        <w:t>Om dekompenserad fori konstateras, hänvisa till extern optiker för utprovning av prismaglasögon.</w:t>
      </w:r>
    </w:p>
    <w:p w14:paraId="6E696CB3" w14:textId="24167133" w:rsidR="00B27E25" w:rsidRPr="00B27E25" w:rsidRDefault="00B27E25" w:rsidP="00E646EE">
      <w:pPr>
        <w:spacing w:line="288" w:lineRule="auto"/>
        <w:ind w:left="992"/>
      </w:pPr>
      <w:r w:rsidRPr="00B27E25">
        <w:t>Multisjuk patient med prismabehov kan sättas upp till sjukhusoptiker, Orsak BAORT, åtgärd dip.</w:t>
      </w:r>
    </w:p>
    <w:p w14:paraId="5D7C0B08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rFonts w:ascii="Calibri" w:hAnsi="Calibri"/>
          <w:b/>
          <w:color w:val="000000"/>
          <w:sz w:val="32"/>
          <w:szCs w:val="32"/>
        </w:rPr>
      </w:pPr>
      <w:r w:rsidRPr="00B27E25">
        <w:rPr>
          <w:rFonts w:ascii="Calibri" w:hAnsi="Calibri"/>
          <w:b/>
          <w:color w:val="000000"/>
          <w:sz w:val="32"/>
          <w:szCs w:val="32"/>
        </w:rPr>
        <w:t>Fortsatt utredning</w:t>
      </w:r>
    </w:p>
    <w:p w14:paraId="7AC0236B" w14:textId="77777777" w:rsidR="00B27E25" w:rsidRPr="00B27E25" w:rsidRDefault="00B27E25" w:rsidP="00B27E25">
      <w:pPr>
        <w:keepNext/>
        <w:keepLines/>
        <w:widowControl w:val="0"/>
        <w:autoSpaceDE w:val="0"/>
        <w:autoSpaceDN w:val="0"/>
        <w:adjustRightInd w:val="0"/>
        <w:spacing w:before="240" w:line="288" w:lineRule="auto"/>
        <w:ind w:left="992"/>
        <w:textAlignment w:val="center"/>
        <w:rPr>
          <w:bCs/>
          <w:color w:val="000000"/>
        </w:rPr>
      </w:pPr>
      <w:r w:rsidRPr="00B27E25">
        <w:rPr>
          <w:bCs/>
          <w:color w:val="000000"/>
        </w:rPr>
        <w:t xml:space="preserve">Fortsatt utredning bestäms beroende på utfall av ovanstående undersökningar. Vid oklara fall eller om allvarlig differentialdiagnos övervägs, var liberal att konsultera neurolog- och/eller neurooftalmolog. </w:t>
      </w:r>
    </w:p>
    <w:p w14:paraId="381BC731" w14:textId="77777777" w:rsidR="00B27E25" w:rsidRPr="00B27E25" w:rsidRDefault="00B27E25" w:rsidP="00B27E25">
      <w:pPr>
        <w:spacing w:line="288" w:lineRule="auto"/>
        <w:ind w:left="992"/>
      </w:pPr>
      <w:r w:rsidRPr="00B27E25">
        <w:t xml:space="preserve">Om bakomliggande sjukdom misstänks eller konstateras kan också ortoptistbesök planeras. Sätts upp till ortoptist med Orsak BAORT och Åtgärd dip. Undersök gärna möjligheten till ortoptistkonsultation samma dag. </w:t>
      </w:r>
    </w:p>
    <w:p w14:paraId="1CB57E71" w14:textId="77777777" w:rsidR="00B27E25" w:rsidRPr="00B27E25" w:rsidRDefault="00B27E25" w:rsidP="00B27E25">
      <w:pPr>
        <w:spacing w:line="288" w:lineRule="auto"/>
        <w:ind w:left="992"/>
        <w:rPr>
          <w:rFonts w:ascii="Times New Roman" w:hAnsi="Times New Roman"/>
        </w:rPr>
      </w:pPr>
    </w:p>
    <w:p w14:paraId="79C06E25" w14:textId="77777777" w:rsidR="00B27E25" w:rsidRPr="00B27E25" w:rsidRDefault="00B27E25" w:rsidP="00B27E25">
      <w:pPr>
        <w:spacing w:line="288" w:lineRule="auto"/>
        <w:ind w:left="0"/>
        <w:rPr>
          <w:rFonts w:ascii="Times New Roman" w:hAnsi="Times New Roman"/>
          <w:b/>
          <w:bCs/>
        </w:rPr>
      </w:pPr>
    </w:p>
    <w:p w14:paraId="664E6B03" w14:textId="77777777" w:rsidR="00B27E25" w:rsidRPr="00B27E25" w:rsidRDefault="00B27E25" w:rsidP="00B27E25">
      <w:pPr>
        <w:spacing w:line="288" w:lineRule="auto"/>
        <w:ind w:left="992"/>
        <w:rPr>
          <w:rFonts w:ascii="Times New Roman" w:hAnsi="Times New Roman"/>
        </w:rPr>
      </w:pPr>
    </w:p>
    <w:p w14:paraId="696C4FBE" w14:textId="77777777" w:rsidR="00B27E25" w:rsidRPr="00B27E25" w:rsidRDefault="00B27E25" w:rsidP="00B27E25">
      <w:pPr>
        <w:spacing w:line="288" w:lineRule="auto"/>
        <w:ind w:left="0"/>
        <w:contextualSpacing/>
        <w:rPr>
          <w:rFonts w:ascii="Times New Roman" w:hAnsi="Times New Roman"/>
        </w:rPr>
      </w:pPr>
    </w:p>
    <w:p w14:paraId="16F68F47" w14:textId="77777777" w:rsidR="00B27E25" w:rsidRPr="00E316B6" w:rsidRDefault="00B27E25" w:rsidP="00E316B6">
      <w:pPr>
        <w:spacing w:after="0" w:line="288" w:lineRule="auto"/>
        <w:rPr>
          <w:bCs/>
        </w:rPr>
      </w:pPr>
    </w:p>
    <w:p w14:paraId="3586786F" w14:textId="77777777" w:rsidR="00E316B6" w:rsidRPr="00E316B6" w:rsidRDefault="00E316B6" w:rsidP="00E316B6">
      <w:pPr>
        <w:spacing w:line="288" w:lineRule="auto"/>
        <w:ind w:left="992"/>
        <w:rPr>
          <w:rFonts w:ascii="Times New Roman" w:hAnsi="Times New Roman"/>
          <w:bCs/>
        </w:rPr>
      </w:pPr>
    </w:p>
    <w:bookmarkEnd w:id="8"/>
    <w:bookmarkEnd w:id="9"/>
    <w:p w14:paraId="42F746CD" w14:textId="77777777" w:rsidR="00E316B6" w:rsidRPr="008930E8" w:rsidRDefault="00E316B6" w:rsidP="00036000">
      <w:pPr>
        <w:spacing w:line="288" w:lineRule="auto"/>
      </w:pPr>
    </w:p>
    <w:sectPr w:rsidR="00E316B6" w:rsidRPr="008930E8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76BB8" w14:textId="77777777" w:rsidR="007268AB" w:rsidRDefault="007268AB">
      <w:r>
        <w:separator/>
      </w:r>
    </w:p>
  </w:endnote>
  <w:endnote w:type="continuationSeparator" w:id="0">
    <w:p w14:paraId="73D7D624" w14:textId="77777777" w:rsidR="007268AB" w:rsidRDefault="007268AB">
      <w:r>
        <w:continuationSeparator/>
      </w:r>
    </w:p>
  </w:endnote>
  <w:endnote w:type="continuationNotice" w:id="1">
    <w:p w14:paraId="227B9B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E646EE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947AA1" w14:textId="77777777" w:rsidR="007268AB" w:rsidRDefault="007268AB"/>
  </w:footnote>
  <w:footnote w:type="continuationSeparator" w:id="0">
    <w:p w14:paraId="4AE53D34" w14:textId="77777777" w:rsidR="007268AB" w:rsidRDefault="007268AB">
      <w:r>
        <w:continuationSeparator/>
      </w:r>
    </w:p>
  </w:footnote>
  <w:footnote w:type="continuationNotice" w:id="1">
    <w:p w14:paraId="121A4431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1D"/>
    <w:rsid w:val="000051D5"/>
    <w:rsid w:val="00006D2A"/>
    <w:rsid w:val="00010D47"/>
    <w:rsid w:val="00016CF0"/>
    <w:rsid w:val="00016D9E"/>
    <w:rsid w:val="00030DDD"/>
    <w:rsid w:val="000313BB"/>
    <w:rsid w:val="00033ED5"/>
    <w:rsid w:val="00036000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ACB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8FC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F77B4"/>
    <w:rsid w:val="00211487"/>
    <w:rsid w:val="00211D91"/>
    <w:rsid w:val="00217DEC"/>
    <w:rsid w:val="00235B57"/>
    <w:rsid w:val="00246B90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D5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D97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49C6"/>
    <w:rsid w:val="004A355D"/>
    <w:rsid w:val="004A4970"/>
    <w:rsid w:val="004B2183"/>
    <w:rsid w:val="004B2A01"/>
    <w:rsid w:val="004C3536"/>
    <w:rsid w:val="004D7BA3"/>
    <w:rsid w:val="004E2B64"/>
    <w:rsid w:val="004E48D8"/>
    <w:rsid w:val="004F4518"/>
    <w:rsid w:val="004F4C62"/>
    <w:rsid w:val="00501433"/>
    <w:rsid w:val="00511CC4"/>
    <w:rsid w:val="00527DF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1419"/>
    <w:rsid w:val="005A54ED"/>
    <w:rsid w:val="005A5D5B"/>
    <w:rsid w:val="005A6081"/>
    <w:rsid w:val="005A627D"/>
    <w:rsid w:val="005C0045"/>
    <w:rsid w:val="005C084E"/>
    <w:rsid w:val="005C4606"/>
    <w:rsid w:val="005D0B0C"/>
    <w:rsid w:val="005D0E7D"/>
    <w:rsid w:val="005D7041"/>
    <w:rsid w:val="005E02B3"/>
    <w:rsid w:val="005E1E24"/>
    <w:rsid w:val="005F6DB3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30E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843"/>
    <w:rsid w:val="0091295C"/>
    <w:rsid w:val="00914059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6279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002"/>
    <w:rsid w:val="00A242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7261E"/>
    <w:rsid w:val="00A81198"/>
    <w:rsid w:val="00A81E48"/>
    <w:rsid w:val="00A82035"/>
    <w:rsid w:val="00A90D77"/>
    <w:rsid w:val="00A92E07"/>
    <w:rsid w:val="00AA0B3A"/>
    <w:rsid w:val="00AA6B05"/>
    <w:rsid w:val="00AA6EB4"/>
    <w:rsid w:val="00AA767D"/>
    <w:rsid w:val="00AB0CC9"/>
    <w:rsid w:val="00AC3FF6"/>
    <w:rsid w:val="00AD73EC"/>
    <w:rsid w:val="00AD7AD5"/>
    <w:rsid w:val="00AE5BC7"/>
    <w:rsid w:val="00AE6D1B"/>
    <w:rsid w:val="00AF5AAF"/>
    <w:rsid w:val="00AF7CA0"/>
    <w:rsid w:val="00B017D8"/>
    <w:rsid w:val="00B046D8"/>
    <w:rsid w:val="00B13F4C"/>
    <w:rsid w:val="00B14487"/>
    <w:rsid w:val="00B16219"/>
    <w:rsid w:val="00B16C59"/>
    <w:rsid w:val="00B27E25"/>
    <w:rsid w:val="00B33FDD"/>
    <w:rsid w:val="00B359CC"/>
    <w:rsid w:val="00B36107"/>
    <w:rsid w:val="00B405A1"/>
    <w:rsid w:val="00B41571"/>
    <w:rsid w:val="00B41789"/>
    <w:rsid w:val="00B46C03"/>
    <w:rsid w:val="00B553DB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C6EEE"/>
    <w:rsid w:val="00BE7978"/>
    <w:rsid w:val="00C01F0D"/>
    <w:rsid w:val="00C07DDB"/>
    <w:rsid w:val="00C36C59"/>
    <w:rsid w:val="00C4115D"/>
    <w:rsid w:val="00C43BDD"/>
    <w:rsid w:val="00C44CD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212"/>
    <w:rsid w:val="00C85DA1"/>
    <w:rsid w:val="00C9071C"/>
    <w:rsid w:val="00C908FF"/>
    <w:rsid w:val="00C92F81"/>
    <w:rsid w:val="00C97BD3"/>
    <w:rsid w:val="00CA39EF"/>
    <w:rsid w:val="00CA521F"/>
    <w:rsid w:val="00CB0493"/>
    <w:rsid w:val="00CB17FF"/>
    <w:rsid w:val="00CB1ED7"/>
    <w:rsid w:val="00CC167C"/>
    <w:rsid w:val="00CC52D9"/>
    <w:rsid w:val="00CD6425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72F94"/>
    <w:rsid w:val="00D85218"/>
    <w:rsid w:val="00D915B1"/>
    <w:rsid w:val="00D96D9D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316B6"/>
    <w:rsid w:val="00E411B6"/>
    <w:rsid w:val="00E52A86"/>
    <w:rsid w:val="00E54B47"/>
    <w:rsid w:val="00E553BF"/>
    <w:rsid w:val="00E55D93"/>
    <w:rsid w:val="00E608B4"/>
    <w:rsid w:val="00E61294"/>
    <w:rsid w:val="00E646E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3053"/>
    <w:rsid w:val="00ED49C3"/>
    <w:rsid w:val="00ED6CE8"/>
    <w:rsid w:val="00ED7AA6"/>
    <w:rsid w:val="00EE2A56"/>
    <w:rsid w:val="00EE3818"/>
    <w:rsid w:val="00F06842"/>
    <w:rsid w:val="00F22264"/>
    <w:rsid w:val="00F2564D"/>
    <w:rsid w:val="00F35B05"/>
    <w:rsid w:val="00F413D9"/>
    <w:rsid w:val="00F5135F"/>
    <w:rsid w:val="00F51F78"/>
    <w:rsid w:val="00F7270C"/>
    <w:rsid w:val="00F86F47"/>
    <w:rsid w:val="00F90B64"/>
    <w:rsid w:val="00FB2F0F"/>
    <w:rsid w:val="00FB469D"/>
    <w:rsid w:val="00FB5086"/>
    <w:rsid w:val="00FB5411"/>
    <w:rsid w:val="00FB6392"/>
    <w:rsid w:val="00FC4F36"/>
    <w:rsid w:val="00FD3C70"/>
    <w:rsid w:val="00FD6820"/>
    <w:rsid w:val="00FE12D8"/>
    <w:rsid w:val="00FF43C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transportstyrelsen.se/globalassets/global/vag/korkort/medicinska-krav/kompletterande-upplysningar-version-6-t.pdf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hyperlink" Target="https://www.transportstyrelsen.se/TSFS/TSFS%202024_65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02-675416934-243/surrogate/Prioritering%20av%20jourpatienter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539</Words>
  <Characters>3074</Characters>
  <Application>Microsoft Office Word</Application>
  <DocSecurity>4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3606</CharactersWithSpaces>
  <SharedDoc>false</SharedDoc>
  <HyperlinkBase/>
  <HLinks>
    <vt:vector size="18" baseType="variant">
      <vt:variant>
        <vt:i4>524319</vt:i4>
      </vt:variant>
      <vt:variant>
        <vt:i4>6</vt:i4>
      </vt:variant>
      <vt:variant>
        <vt:i4>0</vt:i4>
      </vt:variant>
      <vt:variant>
        <vt:i4>5</vt:i4>
      </vt:variant>
      <vt:variant>
        <vt:lpwstr>https://www.transportstyrelsen.se/globalassets/global/vag/korkort/medicinska-krav/kompletterande-upplysningar-version-6-t.pdf</vt:lpwstr>
      </vt:variant>
      <vt:variant>
        <vt:lpwstr/>
      </vt:variant>
      <vt:variant>
        <vt:i4>3276894</vt:i4>
      </vt:variant>
      <vt:variant>
        <vt:i4>3</vt:i4>
      </vt:variant>
      <vt:variant>
        <vt:i4>0</vt:i4>
      </vt:variant>
      <vt:variant>
        <vt:i4>5</vt:i4>
      </vt:variant>
      <vt:variant>
        <vt:lpwstr>https://www.transportstyrelsen.se/TSFS/TSFS 2024_65.pdf</vt:lpwstr>
      </vt:variant>
      <vt:variant>
        <vt:lpwstr/>
      </vt:variant>
      <vt:variant>
        <vt:i4>7209003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https://mellanarkiv-offentlig.vgregion.se/alfresco/s/archive/stream/public/v1/source/available/sofia/nu10102-675416934-243/surrogate/Prioritering av jourpatienter.pdf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Dubbelseende hos vuxna patienter</dc:title>
  <dc:subject/>
  <dc:creator/>
  <keywords/>
  <lastModifiedBy/>
  <revision>1</revision>
  <dcterms:created xsi:type="dcterms:W3CDTF">2024-11-25T21:20:00.0000000Z</dcterms:created>
  <dcterms:modified xsi:type="dcterms:W3CDTF">2025-04-14T11:11:00.0000000Z</dcterms:modified>
</coreProperties>
</file>