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1AE3A" w14:textId="77777777" w:rsidR="00246238" w:rsidRDefault="00246238" w:rsidP="00F35B05">
      <w:pPr>
        <w:pStyle w:val="Heading2"/>
        <w:sectPr w:rsidR="00246238" w:rsidSect="0024623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365297" w14:textId="77777777" w:rsidR="00246238" w:rsidRPr="00246238" w:rsidRDefault="00246238" w:rsidP="00246238">
      <w:pPr>
        <w:spacing w:after="0" w:line="240" w:lineRule="auto"/>
        <w:ind w:left="0" w:right="0"/>
        <w:rPr>
          <w:szCs w:val="20"/>
        </w:rPr>
      </w:pPr>
    </w:p>
    <w:p w14:paraId="570B6330" w14:textId="77777777" w:rsidR="00246238" w:rsidRPr="00246238" w:rsidRDefault="00246238" w:rsidP="00246238">
      <w:pPr>
        <w:spacing w:after="0" w:line="240" w:lineRule="auto"/>
        <w:ind w:left="0" w:right="0"/>
        <w:rPr>
          <w:szCs w:val="20"/>
        </w:rPr>
      </w:pPr>
    </w:p>
    <w:p w14:paraId="6AE91DD9" w14:textId="77777777" w:rsidR="00246238" w:rsidRPr="00246238" w:rsidRDefault="00246238" w:rsidP="0024623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46238">
        <w:rPr>
          <w:szCs w:val="20"/>
        </w:rPr>
        <w:tab/>
      </w:r>
    </w:p>
    <w:p w14:paraId="0C2AFFE0" w14:textId="2976A407" w:rsidR="00246238" w:rsidRPr="00246238" w:rsidRDefault="00246238" w:rsidP="00246238">
      <w:pPr>
        <w:spacing w:after="0" w:line="240" w:lineRule="auto"/>
        <w:ind w:left="0" w:right="-568"/>
        <w:rPr>
          <w:szCs w:val="20"/>
        </w:rPr>
      </w:pPr>
      <w:r w:rsidRPr="0024623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948ACD" wp14:editId="50B777A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DB510" w14:textId="77777777" w:rsidR="00246238" w:rsidRPr="003D37FD" w:rsidRDefault="00246238" w:rsidP="0024623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30405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948AC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29DB510" w14:textId="77777777" w:rsidR="00246238" w:rsidRPr="003D37FD" w:rsidRDefault="00246238" w:rsidP="0024623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30405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46238" w:rsidRPr="00246238" w14:paraId="68BFC958" w14:textId="77777777" w:rsidTr="00B8623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8A6F988" w14:textId="77777777" w:rsidR="00246238" w:rsidRPr="00246238" w:rsidRDefault="00246238" w:rsidP="00246238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4623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Barnögon - Akut skelning och akut dubbelseende hos barn</w:t>
            </w:r>
          </w:p>
        </w:tc>
      </w:tr>
    </w:tbl>
    <w:p w14:paraId="209C273D" w14:textId="77777777" w:rsidR="00246238" w:rsidRPr="00246238" w:rsidRDefault="00246238" w:rsidP="00246238">
      <w:pPr>
        <w:spacing w:after="0" w:line="240" w:lineRule="auto"/>
        <w:ind w:left="0" w:right="0"/>
      </w:pPr>
    </w:p>
    <w:p w14:paraId="219A02B7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Prio av nybesök/remiss: Inom 48 timmar.</w:t>
      </w:r>
    </w:p>
    <w:p w14:paraId="2C66D8C2" w14:textId="77777777" w:rsidR="00246238" w:rsidRPr="00246238" w:rsidRDefault="00246238" w:rsidP="00246238">
      <w:pPr>
        <w:spacing w:after="0" w:line="240" w:lineRule="auto"/>
        <w:ind w:left="0" w:right="0"/>
      </w:pPr>
    </w:p>
    <w:p w14:paraId="00965FC0" w14:textId="77777777" w:rsidR="00246238" w:rsidRPr="00246238" w:rsidRDefault="00246238" w:rsidP="00246238">
      <w:pPr>
        <w:spacing w:after="0" w:line="240" w:lineRule="auto"/>
        <w:ind w:left="0" w:right="0"/>
        <w:rPr>
          <w:b/>
          <w:sz w:val="26"/>
          <w:szCs w:val="26"/>
        </w:rPr>
      </w:pPr>
      <w:r w:rsidRPr="00246238">
        <w:rPr>
          <w:b/>
          <w:sz w:val="26"/>
          <w:szCs w:val="26"/>
        </w:rPr>
        <w:t xml:space="preserve">Utredning vid första besöket: </w:t>
      </w:r>
    </w:p>
    <w:p w14:paraId="23E3F0FD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Anamnes: Trauma, huvudvärk, öroninflammation, tidigare skelning, infektion, vaccinering.</w:t>
      </w:r>
    </w:p>
    <w:p w14:paraId="7AA0E224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Undersökning: Visus, motilitet, samsyn, konvergens, ögonbotten, skia, pupillreaktion.</w:t>
      </w:r>
    </w:p>
    <w:p w14:paraId="09106852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Pares?</w:t>
      </w:r>
    </w:p>
    <w:p w14:paraId="557EB694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Latent skelning som blivit manifest?</w:t>
      </w:r>
    </w:p>
    <w:p w14:paraId="792F2CB8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Hyperopi som kan förklara skelning?</w:t>
      </w:r>
    </w:p>
    <w:p w14:paraId="21D390B2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Esotropi? Exotropi?</w:t>
      </w:r>
    </w:p>
    <w:p w14:paraId="4C62CE43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Katarakt? Retinoblastom?</w:t>
      </w:r>
    </w:p>
    <w:p w14:paraId="058FB2C4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Om pares eller ingen säker förklaring till skelningen remiss till barnkliniken för neurologisk utredning.</w:t>
      </w:r>
    </w:p>
    <w:p w14:paraId="74C9B52F" w14:textId="77777777" w:rsidR="00246238" w:rsidRPr="00246238" w:rsidRDefault="00246238" w:rsidP="00246238">
      <w:pPr>
        <w:spacing w:after="0" w:line="240" w:lineRule="auto"/>
        <w:ind w:left="0" w:right="0"/>
      </w:pPr>
    </w:p>
    <w:p w14:paraId="7938BDD0" w14:textId="77777777" w:rsidR="00246238" w:rsidRPr="00246238" w:rsidRDefault="00246238" w:rsidP="00246238">
      <w:pPr>
        <w:spacing w:after="0" w:line="240" w:lineRule="auto"/>
        <w:ind w:left="0" w:right="0"/>
        <w:rPr>
          <w:b/>
          <w:sz w:val="26"/>
          <w:szCs w:val="26"/>
        </w:rPr>
      </w:pPr>
      <w:r w:rsidRPr="00246238">
        <w:rPr>
          <w:b/>
          <w:sz w:val="26"/>
          <w:szCs w:val="26"/>
        </w:rPr>
        <w:t xml:space="preserve">Intervall till uppföljande besök: </w:t>
      </w:r>
    </w:p>
    <w:p w14:paraId="10D6CA94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Beroende på orsak. Om hög hyperopi som förklaring till skelning och glasögonförskrivning är gjord 2-3 månader.</w:t>
      </w:r>
    </w:p>
    <w:p w14:paraId="1B26468A" w14:textId="77777777" w:rsidR="00246238" w:rsidRPr="00246238" w:rsidRDefault="00246238" w:rsidP="00246238">
      <w:pPr>
        <w:spacing w:after="0" w:line="240" w:lineRule="auto"/>
        <w:ind w:left="0" w:right="0"/>
      </w:pPr>
      <w:r w:rsidRPr="00246238">
        <w:t>Intervall för uppföljning beroende på vad utredning visat och om amblyopi och amblyopibehandling.</w:t>
      </w:r>
    </w:p>
    <w:p w14:paraId="266CED82" w14:textId="77777777" w:rsidR="00246238" w:rsidRPr="00246238" w:rsidRDefault="00246238" w:rsidP="00246238">
      <w:pPr>
        <w:spacing w:after="0" w:line="240" w:lineRule="auto"/>
        <w:ind w:left="0" w:right="0"/>
      </w:pPr>
    </w:p>
    <w:p w14:paraId="3BE051BE" w14:textId="77777777" w:rsidR="00246238" w:rsidRPr="00246238" w:rsidRDefault="00246238" w:rsidP="0024623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4623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5214552">
    <w:abstractNumId w:val="17"/>
  </w:num>
  <w:num w:numId="2" w16cid:durableId="1321814101">
    <w:abstractNumId w:val="14"/>
  </w:num>
  <w:num w:numId="3" w16cid:durableId="818690906">
    <w:abstractNumId w:val="0"/>
  </w:num>
  <w:num w:numId="4" w16cid:durableId="1821264263">
    <w:abstractNumId w:val="6"/>
  </w:num>
  <w:num w:numId="5" w16cid:durableId="809245766">
    <w:abstractNumId w:val="15"/>
  </w:num>
  <w:num w:numId="6" w16cid:durableId="1795828775">
    <w:abstractNumId w:val="2"/>
  </w:num>
  <w:num w:numId="7" w16cid:durableId="1746025611">
    <w:abstractNumId w:val="11"/>
  </w:num>
  <w:num w:numId="8" w16cid:durableId="2120681095">
    <w:abstractNumId w:val="8"/>
  </w:num>
  <w:num w:numId="9" w16cid:durableId="734082912">
    <w:abstractNumId w:val="1"/>
  </w:num>
  <w:num w:numId="10" w16cid:durableId="802384554">
    <w:abstractNumId w:val="1"/>
  </w:num>
  <w:num w:numId="11" w16cid:durableId="1388718877">
    <w:abstractNumId w:val="3"/>
  </w:num>
  <w:num w:numId="12" w16cid:durableId="1541090335">
    <w:abstractNumId w:val="4"/>
  </w:num>
  <w:num w:numId="13" w16cid:durableId="92484337">
    <w:abstractNumId w:val="13"/>
  </w:num>
  <w:num w:numId="14" w16cid:durableId="563683657">
    <w:abstractNumId w:val="9"/>
  </w:num>
  <w:num w:numId="15" w16cid:durableId="698747260">
    <w:abstractNumId w:val="7"/>
  </w:num>
  <w:num w:numId="16" w16cid:durableId="1596672656">
    <w:abstractNumId w:val="12"/>
  </w:num>
  <w:num w:numId="17" w16cid:durableId="1636597385">
    <w:abstractNumId w:val="5"/>
  </w:num>
  <w:num w:numId="18" w16cid:durableId="1698772170">
    <w:abstractNumId w:val="10"/>
  </w:num>
  <w:num w:numId="19" w16cid:durableId="19421032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23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125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Akut skelning och akut dubbelseende hos barn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2022-05-12T03:34:00.0000000Z</dcterms:created>
  <dcterms:modified xsi:type="dcterms:W3CDTF">2022-05-12T03:34:00.0000000Z</dcterms:modified>
</coreProperties>
</file>