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B447AE" w:rsidP="0014147C" w:rsidRDefault="00B447AE" w14:paraId="22C9ECB9" w14:textId="77777777">
      <w:pPr>
        <w:pStyle w:val="Heading2"/>
        <w:ind w:left="0"/>
        <w:sectPr w:rsidR="00B447AE" w:rsidSect="00B447A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35161" w:rsidR="00B447AE" w:rsidP="00D41F5B" w:rsidRDefault="00B447AE" w14:paraId="15B40AA8" w14:textId="136E4ADC">
      <w:pPr>
        <w:pStyle w:val="Heading1"/>
        <w:pBdr>
          <w:bottom w:val="single" w:color="auto" w:sz="4" w:space="1"/>
        </w:pBdr>
      </w:pPr>
      <w:r w:rsidRPr="00B447A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5DA573C" wp14:editId="5E33347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B447AE" w:rsidP="00B447AE" w:rsidRDefault="00B447AE" w14:paraId="54519E8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15500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 w14:anchorId="30C78A06">
              <v:shapetype id="_x0000_t202" coordsize="21600,21600" o:spt="202" path="m,l,21600r21600,l21600,xe" w14:anchorId="75DA573C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B447AE" w:rsidP="00B447AE" w:rsidRDefault="00B447AE" w14:paraId="5B24C26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15500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14147C">
        <w:t>Postoperativa återbesöksrutiner efter vitreoretinala op</w:t>
      </w:r>
      <w:r w:rsidR="00492B2D">
        <w:t>erationer</w:t>
      </w:r>
    </w:p>
    <w:p w:rsidR="7746711D" w:rsidP="778F11E5" w:rsidRDefault="7746711D" w14:paraId="5296B6BE" w14:textId="720F0BD4">
      <w:r w:rsidRPr="24ABEC3A">
        <w:rPr>
          <w:rStyle w:val="Heading2Char"/>
          <w:sz w:val="36"/>
          <w:szCs w:val="36"/>
        </w:rPr>
        <w:t>Reviderat i denna version</w:t>
      </w:r>
      <w:r>
        <w:br/>
      </w:r>
      <w:r w:rsidR="4794A1EF">
        <w:t>Informationen i tabellen är uppdaterad.</w:t>
      </w:r>
    </w:p>
    <w:p w:rsidRPr="00114E58" w:rsidR="00B447AE" w:rsidP="003A3696" w:rsidRDefault="00B447AE" w14:paraId="370992C4" w14:textId="77777777">
      <w:pPr>
        <w:pStyle w:val="Heading3"/>
      </w:pPr>
      <w:r w:rsidRPr="00114E58">
        <w:t>Förberedande åtgärder:</w:t>
      </w:r>
    </w:p>
    <w:p w:rsidRPr="00B447AE" w:rsidR="00B447AE" w:rsidP="00B447AE" w:rsidRDefault="00B447AE" w14:paraId="05504AD7" w14:textId="77777777">
      <w:pPr>
        <w:spacing w:after="0" w:line="240" w:lineRule="auto"/>
        <w:ind w:left="0" w:right="0"/>
        <w:rPr>
          <w:szCs w:val="20"/>
        </w:rPr>
      </w:pPr>
    </w:p>
    <w:p w:rsidRPr="00B447AE" w:rsidR="00B447AE" w:rsidP="00D41F5B" w:rsidRDefault="00B447AE" w14:paraId="7453C137" w14:textId="4C24389B">
      <w:pPr>
        <w:rPr>
          <w:szCs w:val="20"/>
        </w:rPr>
      </w:pPr>
      <w:r w:rsidRPr="00B447AE">
        <w:rPr>
          <w:szCs w:val="20"/>
        </w:rPr>
        <w:t xml:space="preserve">Första postop besöket: Okorrigerat visus på aktuellt öga. </w:t>
      </w:r>
    </w:p>
    <w:p w:rsidRPr="00B447AE" w:rsidR="00B447AE" w:rsidP="00D41F5B" w:rsidRDefault="00B447AE" w14:paraId="4C285424" w14:textId="249C7810">
      <w:pPr>
        <w:rPr>
          <w:szCs w:val="20"/>
        </w:rPr>
      </w:pPr>
      <w:r w:rsidRPr="00B447AE">
        <w:rPr>
          <w:szCs w:val="20"/>
        </w:rPr>
        <w:t>Efterföljande återbesök: Korrigerat visus enligt autorefraktorvärde.</w:t>
      </w:r>
    </w:p>
    <w:p w:rsidRPr="00B447AE" w:rsidR="00B447AE" w:rsidP="00D41F5B" w:rsidRDefault="00B447AE" w14:paraId="4230B7FA" w14:textId="21B6CAEA">
      <w:pPr>
        <w:rPr>
          <w:szCs w:val="20"/>
        </w:rPr>
      </w:pPr>
      <w:r w:rsidRPr="00B447AE">
        <w:rPr>
          <w:szCs w:val="20"/>
        </w:rPr>
        <w:t>Ögontryck med Luftpuff-tonometer eller I-care.</w:t>
      </w:r>
    </w:p>
    <w:p w:rsidRPr="00B447AE" w:rsidR="00B447AE" w:rsidP="00114E58" w:rsidRDefault="00B447AE" w14:paraId="6E31B259" w14:textId="3931A778">
      <w:pPr>
        <w:rPr>
          <w:szCs w:val="20"/>
        </w:rPr>
      </w:pPr>
      <w:r w:rsidRPr="00B447AE">
        <w:rPr>
          <w:szCs w:val="20"/>
        </w:rPr>
        <w:t>Dilaterande droppar: Tropikamid och Phenylephrine, 15-20 minuter inför läkarbesöket.</w:t>
      </w:r>
    </w:p>
    <w:p w:rsidR="00114E58" w:rsidP="00114E58" w:rsidRDefault="00B447AE" w14:paraId="0393E497" w14:textId="77777777">
      <w:pPr>
        <w:rPr>
          <w:szCs w:val="20"/>
        </w:rPr>
      </w:pPr>
      <w:r w:rsidRPr="00B447AE">
        <w:rPr>
          <w:szCs w:val="20"/>
        </w:rPr>
        <w:t>Om läkaren önskar andra förberedelser får man informera förberedande personal.</w:t>
      </w:r>
    </w:p>
    <w:p w:rsidRPr="00114E58" w:rsidR="00B447AE" w:rsidP="00114E58" w:rsidRDefault="00B447AE" w14:paraId="73C33E6C" w14:textId="1E33FCA9">
      <w:pPr>
        <w:pStyle w:val="Heading3"/>
        <w:rPr>
          <w:szCs w:val="20"/>
        </w:rPr>
      </w:pPr>
      <w:r w:rsidRPr="00B447AE">
        <w:rPr>
          <w:szCs w:val="20"/>
        </w:rPr>
        <w:br/>
      </w:r>
      <w:r w:rsidRPr="00114E58">
        <w:rPr>
          <w:lang w:eastAsia="ar-SA"/>
        </w:rPr>
        <w:t>Vid återbesök efter operation, kontrollera:</w:t>
      </w:r>
    </w:p>
    <w:p w:rsidRPr="00B447AE" w:rsidR="00B447AE" w:rsidP="00114E58" w:rsidRDefault="00B447AE" w14:paraId="243EB151" w14:textId="77777777">
      <w:pPr>
        <w:pStyle w:val="ListBullet"/>
        <w:rPr>
          <w:sz w:val="20"/>
          <w:szCs w:val="20"/>
        </w:rPr>
      </w:pPr>
      <w:r w:rsidRPr="00B447AE">
        <w:rPr>
          <w:szCs w:val="20"/>
        </w:rPr>
        <w:t>Postop inflammation</w:t>
      </w:r>
    </w:p>
    <w:p w:rsidRPr="00B447AE" w:rsidR="00B447AE" w:rsidP="00114E58" w:rsidRDefault="00B447AE" w14:paraId="1425427A" w14:textId="77777777">
      <w:pPr>
        <w:pStyle w:val="ListBullet"/>
        <w:rPr>
          <w:sz w:val="20"/>
          <w:szCs w:val="20"/>
        </w:rPr>
      </w:pPr>
      <w:r w:rsidRPr="00B447AE">
        <w:rPr>
          <w:szCs w:val="20"/>
        </w:rPr>
        <w:t>Ögontryck</w:t>
      </w:r>
    </w:p>
    <w:p w:rsidRPr="00B447AE" w:rsidR="00B447AE" w:rsidP="00114E58" w:rsidRDefault="00B447AE" w14:paraId="7473F1D2" w14:textId="77777777">
      <w:pPr>
        <w:pStyle w:val="ListBullet"/>
        <w:rPr>
          <w:sz w:val="20"/>
          <w:szCs w:val="20"/>
        </w:rPr>
      </w:pPr>
      <w:r w:rsidRPr="00B447AE">
        <w:rPr>
          <w:szCs w:val="20"/>
        </w:rPr>
        <w:t>Kvarvarande gas</w:t>
      </w:r>
    </w:p>
    <w:p w:rsidRPr="00B447AE" w:rsidR="00B447AE" w:rsidP="00114E58" w:rsidRDefault="00B447AE" w14:paraId="1F110BA3" w14:textId="77777777">
      <w:pPr>
        <w:pStyle w:val="ListBullet"/>
        <w:rPr>
          <w:sz w:val="20"/>
          <w:szCs w:val="20"/>
        </w:rPr>
      </w:pPr>
      <w:r w:rsidRPr="00B447AE">
        <w:rPr>
          <w:szCs w:val="20"/>
        </w:rPr>
        <w:t>PVR-tendens</w:t>
      </w:r>
    </w:p>
    <w:p w:rsidRPr="00B447AE" w:rsidR="00B447AE" w:rsidP="00114E58" w:rsidRDefault="00B447AE" w14:paraId="6BF839EA" w14:textId="77777777">
      <w:pPr>
        <w:pStyle w:val="ListBullet"/>
        <w:rPr>
          <w:sz w:val="20"/>
          <w:szCs w:val="20"/>
        </w:rPr>
      </w:pPr>
      <w:r w:rsidRPr="00B447AE">
        <w:rPr>
          <w:szCs w:val="20"/>
        </w:rPr>
        <w:t>Intilliggande retina, kontroll av retina i vätskefasen</w:t>
      </w:r>
    </w:p>
    <w:p w:rsidRPr="00B447AE" w:rsidR="00B447AE" w:rsidP="00114E58" w:rsidRDefault="00B447AE" w14:paraId="2CD2ADB6" w14:textId="77777777">
      <w:pPr>
        <w:pStyle w:val="ListBullet"/>
        <w:rPr>
          <w:sz w:val="20"/>
          <w:szCs w:val="20"/>
        </w:rPr>
      </w:pPr>
      <w:r w:rsidRPr="00B447AE">
        <w:rPr>
          <w:szCs w:val="20"/>
        </w:rPr>
        <w:t>Subretinal vätska</w:t>
      </w:r>
    </w:p>
    <w:p w:rsidRPr="00B447AE" w:rsidR="00B447AE" w:rsidP="00114E58" w:rsidRDefault="00B447AE" w14:paraId="295EE195" w14:textId="77777777">
      <w:pPr>
        <w:pStyle w:val="ListBullet"/>
        <w:rPr>
          <w:sz w:val="20"/>
          <w:szCs w:val="20"/>
        </w:rPr>
      </w:pPr>
      <w:r w:rsidRPr="00B447AE">
        <w:rPr>
          <w:szCs w:val="20"/>
        </w:rPr>
        <w:t>Linsstatus</w:t>
      </w:r>
    </w:p>
    <w:p w:rsidRPr="00B447AE" w:rsidR="00B447AE" w:rsidP="00114E58" w:rsidRDefault="00B447AE" w14:paraId="3800C907" w14:textId="77777777">
      <w:pPr>
        <w:pStyle w:val="ListBullet"/>
        <w:rPr>
          <w:sz w:val="20"/>
          <w:szCs w:val="20"/>
        </w:rPr>
      </w:pPr>
      <w:r w:rsidRPr="00B447AE">
        <w:rPr>
          <w:szCs w:val="20"/>
        </w:rPr>
        <w:t>Glöm ej att dilatera andra ögat och inspektera näthinnan i periferin, åtminstone en gång</w:t>
      </w:r>
    </w:p>
    <w:p w:rsidRPr="00B447AE" w:rsidR="00B447AE" w:rsidP="00B447AE" w:rsidRDefault="00B447AE" w14:paraId="112CD85A" w14:textId="77777777">
      <w:pPr>
        <w:suppressAutoHyphens/>
        <w:spacing w:before="100" w:beforeAutospacing="1" w:after="100" w:afterAutospacing="1" w:line="240" w:lineRule="auto"/>
        <w:ind w:left="0" w:right="0"/>
        <w:rPr>
          <w:rFonts w:ascii="Palatino Linotype" w:hAnsi="Palatino Linotype"/>
          <w:szCs w:val="20"/>
        </w:rPr>
      </w:pPr>
    </w:p>
    <w:p w:rsidRPr="00B447AE" w:rsidR="00B447AE" w:rsidP="00B447AE" w:rsidRDefault="00B447AE" w14:paraId="0074C120" w14:textId="77777777">
      <w:pPr>
        <w:suppressAutoHyphens/>
        <w:spacing w:before="100" w:beforeAutospacing="1" w:after="100" w:afterAutospacing="1" w:line="240" w:lineRule="auto"/>
        <w:ind w:left="0" w:right="0"/>
        <w:rPr>
          <w:rFonts w:ascii="Palatino Linotype" w:hAnsi="Palatino Linotype"/>
          <w:szCs w:val="20"/>
        </w:rPr>
      </w:pPr>
    </w:p>
    <w:p w:rsidRPr="00B447AE" w:rsidR="00B447AE" w:rsidP="00B447AE" w:rsidRDefault="00B447AE" w14:paraId="1A21A698" w14:textId="77777777">
      <w:pPr>
        <w:suppressAutoHyphens/>
        <w:spacing w:before="100" w:beforeAutospacing="1" w:after="100" w:afterAutospacing="1" w:line="240" w:lineRule="auto"/>
        <w:ind w:left="0" w:right="0"/>
        <w:rPr>
          <w:rFonts w:ascii="Palatino Linotype" w:hAnsi="Palatino Linotype"/>
          <w:sz w:val="20"/>
          <w:szCs w:val="20"/>
        </w:rPr>
      </w:pPr>
    </w:p>
    <w:p w:rsidRPr="00B447AE" w:rsidR="00B447AE" w:rsidP="00B447AE" w:rsidRDefault="00B447AE" w14:paraId="1800D104" w14:textId="77777777">
      <w:pPr>
        <w:spacing w:before="100" w:beforeAutospacing="1" w:after="100" w:afterAutospacing="1" w:line="240" w:lineRule="auto"/>
        <w:ind w:left="0" w:right="0"/>
        <w:rPr>
          <w:rFonts w:ascii="Palatino Linotype" w:hAnsi="Palatino Linotype"/>
          <w:sz w:val="6"/>
          <w:szCs w:val="20"/>
        </w:rPr>
      </w:pPr>
    </w:p>
    <w:p w:rsidRPr="00B447AE" w:rsidR="00B447AE" w:rsidP="00B447AE" w:rsidRDefault="00B447AE" w14:paraId="725F437B" w14:textId="77777777">
      <w:pPr>
        <w:spacing w:before="100" w:beforeAutospacing="1" w:after="100" w:afterAutospacing="1" w:line="240" w:lineRule="auto"/>
        <w:ind w:left="0" w:right="0"/>
        <w:rPr>
          <w:rFonts w:ascii="Palatino Linotype" w:hAnsi="Palatino Linotype"/>
          <w:sz w:val="6"/>
          <w:szCs w:val="20"/>
        </w:rPr>
      </w:pPr>
    </w:p>
    <w:p w:rsidRPr="00B447AE" w:rsidR="00B447AE" w:rsidP="00B447AE" w:rsidRDefault="00B447AE" w14:paraId="4BACB0A5" w14:textId="77777777">
      <w:pPr>
        <w:spacing w:before="100" w:beforeAutospacing="1" w:after="100" w:afterAutospacing="1" w:line="240" w:lineRule="auto"/>
        <w:ind w:left="0" w:right="0"/>
        <w:rPr>
          <w:rFonts w:ascii="Palatino Linotype" w:hAnsi="Palatino Linotype"/>
          <w:sz w:val="6"/>
          <w:szCs w:val="20"/>
        </w:rPr>
      </w:pPr>
    </w:p>
    <w:p w:rsidRPr="00B447AE" w:rsidR="00B447AE" w:rsidP="00B447AE" w:rsidRDefault="00B447AE" w14:paraId="3B017BD7" w14:textId="77777777">
      <w:pPr>
        <w:spacing w:before="100" w:beforeAutospacing="1" w:after="100" w:afterAutospacing="1" w:line="240" w:lineRule="auto"/>
        <w:ind w:left="0" w:right="0"/>
        <w:rPr>
          <w:rFonts w:ascii="Palatino Linotype" w:hAnsi="Palatino Linotype"/>
          <w:sz w:val="6"/>
          <w:szCs w:val="20"/>
        </w:rPr>
      </w:pPr>
    </w:p>
    <w:tbl>
      <w:tblPr>
        <w:tblW w:w="8949" w:type="dxa"/>
        <w:tblInd w:w="63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5"/>
        <w:gridCol w:w="2391"/>
        <w:gridCol w:w="2268"/>
        <w:gridCol w:w="2145"/>
      </w:tblGrid>
      <w:tr w:rsidRPr="00B447AE" w:rsidR="00B447AE" w:rsidTr="24ABEC3A" w14:paraId="7A222113" w14:textId="77777777">
        <w:tc>
          <w:tcPr>
            <w:tcW w:w="2145" w:type="dxa"/>
            <w:tcBorders>
              <w:top w:val="double" w:color="auto" w:sz="4" w:space="0"/>
              <w:left w:val="double" w:color="auto" w:sz="4" w:space="0"/>
            </w:tcBorders>
            <w:shd w:val="clear" w:color="auto" w:fill="CCFFCC"/>
          </w:tcPr>
          <w:p w:rsidRPr="00B447AE" w:rsidR="00B447AE" w:rsidP="00B447AE" w:rsidRDefault="00B447AE" w14:paraId="42F8AF09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Palatino Linotype" w:hAnsi="Palatino Linotype"/>
                <w:sz w:val="18"/>
                <w:szCs w:val="20"/>
              </w:rPr>
            </w:pPr>
          </w:p>
        </w:tc>
        <w:tc>
          <w:tcPr>
            <w:tcW w:w="2391" w:type="dxa"/>
            <w:tcBorders>
              <w:top w:val="double" w:color="auto" w:sz="4" w:space="0"/>
            </w:tcBorders>
            <w:shd w:val="clear" w:color="auto" w:fill="CCFFCC"/>
            <w:vAlign w:val="center"/>
          </w:tcPr>
          <w:p w:rsidRPr="00B447AE" w:rsidR="00B447AE" w:rsidP="00B447AE" w:rsidRDefault="00B447AE" w14:paraId="595FD47E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Återbesök 1</w:t>
            </w:r>
          </w:p>
        </w:tc>
        <w:tc>
          <w:tcPr>
            <w:tcW w:w="2268" w:type="dxa"/>
            <w:tcBorders>
              <w:top w:val="double" w:color="auto" w:sz="4" w:space="0"/>
            </w:tcBorders>
            <w:shd w:val="clear" w:color="auto" w:fill="CCFFCC"/>
            <w:vAlign w:val="center"/>
          </w:tcPr>
          <w:p w:rsidRPr="00B447AE" w:rsidR="00B447AE" w:rsidP="00B447AE" w:rsidRDefault="00B447AE" w14:paraId="4C67D903" w14:textId="77777777">
            <w:pPr>
              <w:keepNext/>
              <w:spacing w:before="100" w:beforeAutospacing="1" w:after="100" w:afterAutospacing="1" w:line="240" w:lineRule="auto"/>
              <w:ind w:left="0" w:right="0"/>
              <w:outlineLvl w:val="6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Återbesök 2</w:t>
            </w:r>
          </w:p>
        </w:tc>
        <w:tc>
          <w:tcPr>
            <w:tcW w:w="2145" w:type="dxa"/>
            <w:tcBorders>
              <w:top w:val="double" w:color="auto" w:sz="4" w:space="0"/>
              <w:right w:val="double" w:color="auto" w:sz="4" w:space="0"/>
            </w:tcBorders>
            <w:shd w:val="clear" w:color="auto" w:fill="CCFFCC"/>
            <w:vAlign w:val="center"/>
          </w:tcPr>
          <w:p w:rsidRPr="00B447AE" w:rsidR="00B447AE" w:rsidP="00B447AE" w:rsidRDefault="00B447AE" w14:paraId="46FD2FDE" w14:textId="77777777">
            <w:pPr>
              <w:keepNext/>
              <w:spacing w:before="100" w:beforeAutospacing="1" w:after="100" w:afterAutospacing="1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Återbesök 3 etc</w:t>
            </w:r>
          </w:p>
        </w:tc>
      </w:tr>
      <w:tr w:rsidRPr="00B447AE" w:rsidR="00B447AE" w:rsidTr="24ABEC3A" w14:paraId="7F22B3CD" w14:textId="77777777">
        <w:tc>
          <w:tcPr>
            <w:tcW w:w="2145" w:type="dxa"/>
            <w:tcBorders>
              <w:left w:val="double" w:color="auto" w:sz="4" w:space="0"/>
            </w:tcBorders>
            <w:shd w:val="clear" w:color="auto" w:fill="FFFFCC"/>
            <w:vAlign w:val="center"/>
          </w:tcPr>
          <w:p w:rsidRPr="00B447AE" w:rsidR="00B447AE" w:rsidP="00B447AE" w:rsidRDefault="00B447AE" w14:paraId="0A5BD668" w14:textId="77777777">
            <w:pPr>
              <w:keepNext/>
              <w:spacing w:before="100" w:beforeAutospacing="1" w:after="100" w:afterAutospacing="1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AMOTIO</w:t>
            </w:r>
            <w:r w:rsidRPr="00B447AE">
              <w:rPr>
                <w:rFonts w:ascii="Arial" w:hAnsi="Arial" w:cs="Arial"/>
                <w:sz w:val="18"/>
                <w:szCs w:val="20"/>
              </w:rPr>
              <w:br/>
            </w: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Extern op</w:t>
            </w:r>
          </w:p>
        </w:tc>
        <w:tc>
          <w:tcPr>
            <w:tcW w:w="2391" w:type="dxa"/>
            <w:shd w:val="clear" w:color="auto" w:fill="FFFFCC"/>
          </w:tcPr>
          <w:p w:rsidRPr="00B447AE" w:rsidR="00B447AE" w:rsidP="00B447AE" w:rsidRDefault="00B447AE" w14:paraId="003D1B0B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  <w:r w:rsidRPr="00B447AE">
              <w:rPr>
                <w:rFonts w:ascii="Arial" w:hAnsi="Arial" w:cs="Arial"/>
                <w:sz w:val="18"/>
                <w:szCs w:val="20"/>
              </w:rPr>
              <w:t>1-2 veckor (enligt remissvar från SU/Mölndal)</w:t>
            </w:r>
          </w:p>
        </w:tc>
        <w:tc>
          <w:tcPr>
            <w:tcW w:w="2268" w:type="dxa"/>
            <w:shd w:val="clear" w:color="auto" w:fill="FFFFCC"/>
          </w:tcPr>
          <w:p w:rsidRPr="00B447AE" w:rsidR="00B447AE" w:rsidP="00B447AE" w:rsidRDefault="00B447AE" w14:paraId="43431E82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  <w:r w:rsidRPr="00B447AE">
              <w:rPr>
                <w:rFonts w:ascii="Arial" w:hAnsi="Arial" w:cs="Arial"/>
                <w:sz w:val="18"/>
                <w:szCs w:val="20"/>
              </w:rPr>
              <w:t>1 mån efter återbesök 1</w:t>
            </w:r>
          </w:p>
        </w:tc>
        <w:tc>
          <w:tcPr>
            <w:tcW w:w="2145" w:type="dxa"/>
            <w:tcBorders>
              <w:right w:val="double" w:color="auto" w:sz="4" w:space="0"/>
            </w:tcBorders>
            <w:shd w:val="clear" w:color="auto" w:fill="FFFFCC"/>
          </w:tcPr>
          <w:p w:rsidRPr="00B447AE" w:rsidR="00B447AE" w:rsidP="00B447AE" w:rsidRDefault="00B447AE" w14:paraId="00F62CD6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Pr="00B447AE" w:rsidR="00B447AE" w:rsidTr="24ABEC3A" w14:paraId="707B06C8" w14:textId="77777777">
        <w:tc>
          <w:tcPr>
            <w:tcW w:w="2145" w:type="dxa"/>
            <w:tcBorders>
              <w:left w:val="double" w:color="auto" w:sz="4" w:space="0"/>
            </w:tcBorders>
            <w:vAlign w:val="center"/>
          </w:tcPr>
          <w:p w:rsidRPr="00B447AE" w:rsidR="00B447AE" w:rsidP="00B447AE" w:rsidRDefault="00B447AE" w14:paraId="7158CA2A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AMOTIO</w:t>
            </w: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br/>
            </w: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Vitrektomi med gastamponad</w:t>
            </w:r>
          </w:p>
        </w:tc>
        <w:tc>
          <w:tcPr>
            <w:tcW w:w="2391" w:type="dxa"/>
          </w:tcPr>
          <w:p w:rsidRPr="00B447AE" w:rsidR="00B447AE" w:rsidP="00B447AE" w:rsidRDefault="00B447AE" w14:paraId="76509B06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  <w:r w:rsidRPr="00B447AE">
              <w:rPr>
                <w:rFonts w:ascii="Arial" w:hAnsi="Arial" w:cs="Arial"/>
                <w:sz w:val="18"/>
                <w:szCs w:val="20"/>
              </w:rPr>
              <w:t>1-2 veckor</w:t>
            </w:r>
          </w:p>
        </w:tc>
        <w:tc>
          <w:tcPr>
            <w:tcW w:w="2268" w:type="dxa"/>
          </w:tcPr>
          <w:p w:rsidRPr="00B447AE" w:rsidR="00B447AE" w:rsidP="00B447AE" w:rsidRDefault="00B447AE" w14:paraId="0D58396E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  <w:r w:rsidRPr="00B447AE">
              <w:rPr>
                <w:rFonts w:ascii="Arial" w:hAnsi="Arial" w:cs="Arial"/>
                <w:sz w:val="18"/>
                <w:szCs w:val="20"/>
              </w:rPr>
              <w:t>Kontroll varannan vecka tills gasen är resorberad</w:t>
            </w:r>
          </w:p>
        </w:tc>
        <w:tc>
          <w:tcPr>
            <w:tcW w:w="2145" w:type="dxa"/>
            <w:tcBorders>
              <w:right w:val="double" w:color="auto" w:sz="4" w:space="0"/>
            </w:tcBorders>
          </w:tcPr>
          <w:p w:rsidRPr="00B447AE" w:rsidR="00B447AE" w:rsidP="24ABEC3A" w:rsidRDefault="00B447AE" w14:paraId="0C9FFB5E" w14:textId="1BA24B26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B447AE" w:rsidR="00B447AE" w:rsidTr="24ABEC3A" w14:paraId="615B1677" w14:textId="77777777">
        <w:tc>
          <w:tcPr>
            <w:tcW w:w="2145" w:type="dxa"/>
            <w:tcBorders>
              <w:left w:val="double" w:color="auto" w:sz="4" w:space="0"/>
            </w:tcBorders>
            <w:shd w:val="clear" w:color="auto" w:fill="FFFFCC"/>
            <w:vAlign w:val="center"/>
          </w:tcPr>
          <w:p w:rsidRPr="00B447AE" w:rsidR="00B447AE" w:rsidP="00B447AE" w:rsidRDefault="00B447AE" w14:paraId="3AC02B5B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Epiretinalt membran</w:t>
            </w:r>
          </w:p>
        </w:tc>
        <w:tc>
          <w:tcPr>
            <w:tcW w:w="2391" w:type="dxa"/>
            <w:shd w:val="clear" w:color="auto" w:fill="FFFFCC"/>
          </w:tcPr>
          <w:p w:rsidRPr="00B447AE" w:rsidR="00B447AE" w:rsidP="24ABEC3A" w:rsidRDefault="00B447AE" w14:paraId="794C0FE8" w14:textId="3501CD09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24ABEC3A">
              <w:rPr>
                <w:rFonts w:ascii="Arial" w:hAnsi="Arial" w:cs="Arial"/>
                <w:sz w:val="18"/>
                <w:szCs w:val="18"/>
              </w:rPr>
              <w:t>2 veckor</w:t>
            </w:r>
          </w:p>
        </w:tc>
        <w:tc>
          <w:tcPr>
            <w:tcW w:w="2268" w:type="dxa"/>
            <w:shd w:val="clear" w:color="auto" w:fill="FFFFCC"/>
          </w:tcPr>
          <w:p w:rsidRPr="00B447AE" w:rsidR="00B447AE" w:rsidP="24ABEC3A" w:rsidRDefault="00B447AE" w14:paraId="760B2CEA" w14:textId="3F871359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45" w:type="dxa"/>
            <w:tcBorders>
              <w:right w:val="double" w:color="auto" w:sz="4" w:space="0"/>
            </w:tcBorders>
            <w:shd w:val="clear" w:color="auto" w:fill="FFFFCC"/>
          </w:tcPr>
          <w:p w:rsidRPr="00B447AE" w:rsidR="00B447AE" w:rsidP="00B447AE" w:rsidRDefault="00B447AE" w14:paraId="25C7141B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Pr="00B447AE" w:rsidR="00B447AE" w:rsidTr="24ABEC3A" w14:paraId="6E2EED86" w14:textId="77777777">
        <w:tc>
          <w:tcPr>
            <w:tcW w:w="2145" w:type="dxa"/>
            <w:tcBorders>
              <w:left w:val="double" w:color="auto" w:sz="4" w:space="0"/>
            </w:tcBorders>
            <w:vAlign w:val="center"/>
          </w:tcPr>
          <w:p w:rsidRPr="00B447AE" w:rsidR="00B447AE" w:rsidP="00B447AE" w:rsidRDefault="00B447AE" w14:paraId="7E79B815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PDR, övr vitrektomier</w:t>
            </w:r>
          </w:p>
        </w:tc>
        <w:tc>
          <w:tcPr>
            <w:tcW w:w="2391" w:type="dxa"/>
          </w:tcPr>
          <w:p w:rsidRPr="00B447AE" w:rsidR="00B447AE" w:rsidP="00B447AE" w:rsidRDefault="00B447AE" w14:paraId="1E97EA34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  <w:r w:rsidRPr="00B447AE">
              <w:rPr>
                <w:rFonts w:ascii="Arial" w:hAnsi="Arial" w:cs="Arial"/>
                <w:sz w:val="18"/>
                <w:szCs w:val="20"/>
              </w:rPr>
              <w:t>1-2 veckor</w:t>
            </w:r>
          </w:p>
        </w:tc>
        <w:tc>
          <w:tcPr>
            <w:tcW w:w="2268" w:type="dxa"/>
          </w:tcPr>
          <w:p w:rsidRPr="00B447AE" w:rsidR="00B447AE" w:rsidP="24ABEC3A" w:rsidRDefault="00B447AE" w14:paraId="45008802" w14:textId="2427F82D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24ABEC3A">
              <w:rPr>
                <w:rFonts w:ascii="Arial" w:hAnsi="Arial" w:cs="Arial"/>
                <w:sz w:val="18"/>
                <w:szCs w:val="18"/>
              </w:rPr>
              <w:t>Om helt lugnt</w:t>
            </w:r>
            <w:r w:rsidRPr="24ABEC3A" w:rsidR="7579695B">
              <w:rPr>
                <w:rFonts w:ascii="Arial" w:hAnsi="Arial" w:cs="Arial"/>
                <w:sz w:val="18"/>
                <w:szCs w:val="18"/>
              </w:rPr>
              <w:t>,</w:t>
            </w:r>
            <w:r w:rsidRPr="24ABEC3A">
              <w:rPr>
                <w:rFonts w:ascii="Arial" w:hAnsi="Arial" w:cs="Arial"/>
                <w:sz w:val="18"/>
                <w:szCs w:val="18"/>
              </w:rPr>
              <w:t xml:space="preserve"> kontroll hos diabetesläkare om 1-2 mån</w:t>
            </w:r>
          </w:p>
        </w:tc>
        <w:tc>
          <w:tcPr>
            <w:tcW w:w="2145" w:type="dxa"/>
            <w:tcBorders>
              <w:right w:val="double" w:color="auto" w:sz="4" w:space="0"/>
            </w:tcBorders>
          </w:tcPr>
          <w:p w:rsidRPr="00B447AE" w:rsidR="00B447AE" w:rsidP="00B447AE" w:rsidRDefault="00B447AE" w14:paraId="406E9AA1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Pr="00B447AE" w:rsidR="00B447AE" w:rsidTr="24ABEC3A" w14:paraId="566F3DAE" w14:textId="77777777">
        <w:tc>
          <w:tcPr>
            <w:tcW w:w="2145" w:type="dxa"/>
            <w:tcBorders>
              <w:left w:val="double" w:color="auto" w:sz="4" w:space="0"/>
            </w:tcBorders>
            <w:shd w:val="clear" w:color="auto" w:fill="FFFFCC"/>
            <w:vAlign w:val="center"/>
          </w:tcPr>
          <w:p w:rsidRPr="00B447AE" w:rsidR="00B447AE" w:rsidP="00B447AE" w:rsidRDefault="00B447AE" w14:paraId="195B221F" w14:textId="77777777">
            <w:pPr>
              <w:keepNext/>
              <w:spacing w:before="100" w:beforeAutospacing="1" w:after="100" w:afterAutospacing="1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Makulahål</w:t>
            </w:r>
          </w:p>
        </w:tc>
        <w:tc>
          <w:tcPr>
            <w:tcW w:w="2391" w:type="dxa"/>
            <w:shd w:val="clear" w:color="auto" w:fill="FFFFCC"/>
          </w:tcPr>
          <w:p w:rsidRPr="00B447AE" w:rsidR="00B447AE" w:rsidP="24ABEC3A" w:rsidRDefault="00B447AE" w14:paraId="5838BD3A" w14:textId="353BD66C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24ABEC3A">
              <w:rPr>
                <w:rFonts w:ascii="Arial" w:hAnsi="Arial" w:cs="Arial"/>
                <w:sz w:val="18"/>
                <w:szCs w:val="18"/>
              </w:rPr>
              <w:t>2 veckor</w:t>
            </w:r>
            <w:r w:rsidRPr="24ABEC3A" w:rsidR="2DC8E3ED">
              <w:rPr>
                <w:rFonts w:ascii="Arial" w:hAnsi="Arial" w:cs="Arial"/>
                <w:sz w:val="18"/>
                <w:szCs w:val="18"/>
              </w:rPr>
              <w:t>. O</w:t>
            </w:r>
            <w:r w:rsidRPr="24ABEC3A" w:rsidR="58CF24E5">
              <w:rPr>
                <w:rFonts w:ascii="Arial" w:hAnsi="Arial" w:cs="Arial"/>
                <w:sz w:val="18"/>
                <w:szCs w:val="18"/>
              </w:rPr>
              <w:t>m gas kvar då</w:t>
            </w:r>
            <w:r w:rsidRPr="24ABEC3A" w:rsidR="729DADEF">
              <w:rPr>
                <w:rFonts w:ascii="Arial" w:hAnsi="Arial" w:cs="Arial"/>
                <w:sz w:val="18"/>
                <w:szCs w:val="18"/>
              </w:rPr>
              <w:t xml:space="preserve"> -</w:t>
            </w:r>
            <w:r w:rsidRPr="24ABEC3A" w:rsidR="0A8D1BA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24ABEC3A" w:rsidR="5E634B9F">
              <w:rPr>
                <w:rFonts w:ascii="Arial" w:hAnsi="Arial" w:cs="Arial"/>
                <w:sz w:val="18"/>
                <w:szCs w:val="18"/>
              </w:rPr>
              <w:t>ko</w:t>
            </w:r>
            <w:r w:rsidRPr="24ABEC3A" w:rsidR="0A8D1BA9">
              <w:rPr>
                <w:rFonts w:ascii="Arial" w:hAnsi="Arial" w:cs="Arial"/>
                <w:sz w:val="18"/>
                <w:szCs w:val="18"/>
              </w:rPr>
              <w:t>ntroll tills gas är borta</w:t>
            </w:r>
            <w:r>
              <w:br/>
            </w:r>
          </w:p>
        </w:tc>
        <w:tc>
          <w:tcPr>
            <w:tcW w:w="2268" w:type="dxa"/>
            <w:shd w:val="clear" w:color="auto" w:fill="FFFFCC"/>
          </w:tcPr>
          <w:p w:rsidRPr="00B447AE" w:rsidR="00B447AE" w:rsidP="24ABEC3A" w:rsidRDefault="00B447AE" w14:paraId="13C03C3B" w14:textId="5B15CB6F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45" w:type="dxa"/>
            <w:tcBorders>
              <w:right w:val="double" w:color="auto" w:sz="4" w:space="0"/>
            </w:tcBorders>
            <w:shd w:val="clear" w:color="auto" w:fill="FFFFCC"/>
          </w:tcPr>
          <w:p w:rsidRPr="00B447AE" w:rsidR="00B447AE" w:rsidP="00B447AE" w:rsidRDefault="00B447AE" w14:paraId="50D354F6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Pr="00B447AE" w:rsidR="00B447AE" w:rsidTr="24ABEC3A" w14:paraId="1A0550FC" w14:textId="77777777">
        <w:trPr>
          <w:trHeight w:val="1124"/>
        </w:trPr>
        <w:tc>
          <w:tcPr>
            <w:tcW w:w="2145" w:type="dxa"/>
            <w:tcBorders>
              <w:left w:val="double" w:color="auto" w:sz="4" w:space="0"/>
            </w:tcBorders>
            <w:vAlign w:val="center"/>
          </w:tcPr>
          <w:p w:rsidRPr="00B447AE" w:rsidR="00B447AE" w:rsidP="00B447AE" w:rsidRDefault="00B447AE" w14:paraId="049E0DA9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Silikonolja</w:t>
            </w:r>
          </w:p>
        </w:tc>
        <w:tc>
          <w:tcPr>
            <w:tcW w:w="2391" w:type="dxa"/>
          </w:tcPr>
          <w:p w:rsidRPr="00B447AE" w:rsidR="00B447AE" w:rsidP="24ABEC3A" w:rsidRDefault="00B447AE" w14:paraId="3E7ED0E1" w14:textId="2FE3326D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br/>
            </w:r>
            <w:r w:rsidRPr="24ABEC3A">
              <w:rPr>
                <w:rFonts w:ascii="Arial" w:hAnsi="Arial" w:cs="Arial"/>
                <w:sz w:val="18"/>
                <w:szCs w:val="18"/>
              </w:rPr>
              <w:t>1-2 veckor</w:t>
            </w:r>
          </w:p>
        </w:tc>
        <w:tc>
          <w:tcPr>
            <w:tcW w:w="2268" w:type="dxa"/>
          </w:tcPr>
          <w:p w:rsidRPr="00B447AE" w:rsidR="00B447AE" w:rsidP="00B447AE" w:rsidRDefault="00B447AE" w14:paraId="22202254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  <w:r w:rsidRPr="00B447AE">
              <w:rPr>
                <w:rFonts w:ascii="Arial" w:hAnsi="Arial" w:cs="Arial"/>
                <w:sz w:val="18"/>
                <w:szCs w:val="20"/>
              </w:rPr>
              <w:t>Återbesök med 3 veckors intervall (risk för reamotio under oljan, tryckstegring)</w:t>
            </w:r>
          </w:p>
        </w:tc>
        <w:tc>
          <w:tcPr>
            <w:tcW w:w="2145" w:type="dxa"/>
            <w:tcBorders>
              <w:right w:val="double" w:color="auto" w:sz="4" w:space="0"/>
            </w:tcBorders>
          </w:tcPr>
          <w:p w:rsidRPr="00B447AE" w:rsidR="00B447AE" w:rsidP="24ABEC3A" w:rsidRDefault="00B447AE" w14:paraId="45D1BB25" w14:textId="2F59F193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24ABEC3A">
              <w:rPr>
                <w:rFonts w:ascii="Arial" w:hAnsi="Arial" w:cs="Arial"/>
                <w:sz w:val="18"/>
                <w:szCs w:val="18"/>
              </w:rPr>
              <w:t>Planera oljeevakuering?</w:t>
            </w:r>
            <w:r>
              <w:br/>
            </w:r>
            <w:r w:rsidRPr="24ABEC3A" w:rsidR="03F1F28C">
              <w:rPr>
                <w:rFonts w:ascii="Arial" w:hAnsi="Arial" w:cs="Arial"/>
                <w:sz w:val="18"/>
                <w:szCs w:val="18"/>
              </w:rPr>
              <w:t>Kontakt BAS!</w:t>
            </w:r>
          </w:p>
        </w:tc>
      </w:tr>
      <w:tr w:rsidRPr="00B447AE" w:rsidR="00B447AE" w:rsidTr="24ABEC3A" w14:paraId="7D8C5BC6" w14:textId="77777777">
        <w:trPr>
          <w:trHeight w:val="300"/>
        </w:trPr>
        <w:tc>
          <w:tcPr>
            <w:tcW w:w="2145" w:type="dxa"/>
            <w:tcBorders>
              <w:left w:val="double" w:color="auto" w:sz="4" w:space="0"/>
              <w:bottom w:val="double" w:color="auto" w:sz="4" w:space="0"/>
            </w:tcBorders>
            <w:shd w:val="clear" w:color="auto" w:fill="FFFFCC"/>
            <w:vAlign w:val="center"/>
          </w:tcPr>
          <w:p w:rsidRPr="00B447AE" w:rsidR="00B447AE" w:rsidP="00B447AE" w:rsidRDefault="00B447AE" w14:paraId="5900A584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B447AE">
              <w:rPr>
                <w:rFonts w:ascii="Arial" w:hAnsi="Arial" w:cs="Arial"/>
                <w:b/>
                <w:bCs/>
                <w:sz w:val="18"/>
                <w:szCs w:val="20"/>
              </w:rPr>
              <w:t>Skleralfixerad IOL</w:t>
            </w:r>
          </w:p>
        </w:tc>
        <w:tc>
          <w:tcPr>
            <w:tcW w:w="2391" w:type="dxa"/>
            <w:tcBorders>
              <w:bottom w:val="double" w:color="auto" w:sz="4" w:space="0"/>
            </w:tcBorders>
            <w:shd w:val="clear" w:color="auto" w:fill="FFFFCC"/>
          </w:tcPr>
          <w:p w:rsidRPr="00B447AE" w:rsidR="00B447AE" w:rsidP="24ABEC3A" w:rsidRDefault="00B447AE" w14:paraId="08DAAE38" w14:textId="3A324E11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24ABEC3A">
              <w:rPr>
                <w:rFonts w:ascii="Arial" w:hAnsi="Arial" w:cs="Arial"/>
                <w:sz w:val="18"/>
                <w:szCs w:val="18"/>
              </w:rPr>
              <w:t xml:space="preserve">1-2 </w:t>
            </w:r>
            <w:r w:rsidRPr="24ABEC3A" w:rsidR="22125483">
              <w:rPr>
                <w:rFonts w:ascii="Arial" w:hAnsi="Arial" w:cs="Arial"/>
                <w:sz w:val="18"/>
                <w:szCs w:val="18"/>
              </w:rPr>
              <w:t>mån!</w:t>
            </w:r>
          </w:p>
        </w:tc>
        <w:tc>
          <w:tcPr>
            <w:tcW w:w="2268" w:type="dxa"/>
            <w:tcBorders>
              <w:bottom w:val="double" w:color="auto" w:sz="4" w:space="0"/>
            </w:tcBorders>
            <w:shd w:val="clear" w:color="auto" w:fill="FFFFCC"/>
          </w:tcPr>
          <w:p w:rsidRPr="00B447AE" w:rsidR="00B447AE" w:rsidP="24ABEC3A" w:rsidRDefault="00B447AE" w14:paraId="485A5816" w14:textId="57801382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45" w:type="dxa"/>
            <w:tcBorders>
              <w:bottom w:val="double" w:color="auto" w:sz="4" w:space="0"/>
              <w:right w:val="double" w:color="auto" w:sz="4" w:space="0"/>
            </w:tcBorders>
            <w:shd w:val="clear" w:color="auto" w:fill="FFFFCC"/>
          </w:tcPr>
          <w:p w:rsidRPr="00B447AE" w:rsidR="00B447AE" w:rsidP="00B447AE" w:rsidRDefault="00B447AE" w14:paraId="4CF2113E" w14:textId="77777777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</w:p>
        </w:tc>
      </w:tr>
    </w:tbl>
    <w:p w:rsidRPr="00B447AE" w:rsidR="00B447AE" w:rsidP="00B447AE" w:rsidRDefault="00B447AE" w14:paraId="0CA9BC7C" w14:textId="77777777">
      <w:pPr>
        <w:spacing w:before="100" w:beforeAutospacing="1" w:after="100" w:afterAutospacing="1" w:line="240" w:lineRule="auto"/>
        <w:ind w:left="0" w:right="0"/>
        <w:rPr>
          <w:rFonts w:ascii="Palatino Linotype" w:hAnsi="Palatino Linotype"/>
          <w:b/>
          <w:bCs/>
          <w:sz w:val="12"/>
          <w:szCs w:val="20"/>
          <w:lang w:eastAsia="ar-SA"/>
        </w:rPr>
      </w:pPr>
    </w:p>
    <w:p w:rsidRPr="00114E58" w:rsidR="00114E58" w:rsidP="00114E58" w:rsidRDefault="00B447AE" w14:paraId="66B096C5" w14:textId="77777777">
      <w:pPr>
        <w:rPr>
          <w:b/>
          <w:bCs/>
          <w:sz w:val="20"/>
        </w:rPr>
      </w:pPr>
      <w:r w:rsidRPr="00114E58">
        <w:rPr>
          <w:b/>
          <w:bCs/>
          <w:lang w:eastAsia="ar-SA"/>
        </w:rPr>
        <w:t>Störst risk för reamotio finns en månad efter operationen.</w:t>
      </w:r>
    </w:p>
    <w:p w:rsidRPr="00B447AE" w:rsidR="00B447AE" w:rsidP="00114E58" w:rsidRDefault="00B447AE" w14:paraId="610C384C" w14:textId="76A711E5">
      <w:pPr>
        <w:pStyle w:val="Heading3"/>
        <w:rPr>
          <w:lang w:eastAsia="ar-SA"/>
        </w:rPr>
      </w:pPr>
      <w:r>
        <w:br/>
      </w:r>
      <w:r w:rsidRPr="24ABEC3A">
        <w:rPr>
          <w:lang w:eastAsia="ar-SA"/>
        </w:rPr>
        <w:t>Postop droppbehandling</w:t>
      </w:r>
    </w:p>
    <w:p w:rsidRPr="00B447AE" w:rsidR="00B447AE" w:rsidP="00B447AE" w:rsidRDefault="00B447AE" w14:paraId="2CD8B72B" w14:textId="77777777">
      <w:pPr>
        <w:suppressAutoHyphens/>
        <w:spacing w:after="0" w:line="240" w:lineRule="auto"/>
        <w:ind w:left="0" w:right="0"/>
        <w:rPr>
          <w:szCs w:val="20"/>
          <w:lang w:eastAsia="ar-SA"/>
        </w:rPr>
      </w:pPr>
    </w:p>
    <w:p w:rsidRPr="004C5A6E" w:rsidR="00B447AE" w:rsidP="000510F2" w:rsidRDefault="00B447AE" w14:paraId="10F7B441" w14:textId="77777777">
      <w:pPr>
        <w:rPr>
          <w:b/>
          <w:bCs/>
          <w:lang w:eastAsia="ar-SA"/>
        </w:rPr>
      </w:pPr>
      <w:r w:rsidRPr="004C5A6E">
        <w:rPr>
          <w:b/>
          <w:bCs/>
          <w:lang w:eastAsia="ar-SA"/>
        </w:rPr>
        <w:t>Makulakirurgi och amotio:</w:t>
      </w:r>
    </w:p>
    <w:p w:rsidR="008D4DBE" w:rsidP="000510F2" w:rsidRDefault="00B447AE" w14:paraId="30D0976B" w14:textId="529C72E1">
      <w:pPr>
        <w:rPr>
          <w:lang w:eastAsia="ar-SA"/>
        </w:rPr>
      </w:pPr>
      <w:r w:rsidRPr="24ABEC3A">
        <w:rPr>
          <w:b/>
          <w:bCs/>
          <w:lang w:eastAsia="ar-SA"/>
        </w:rPr>
        <w:t>Standardbehandling:</w:t>
      </w:r>
      <w:r>
        <w:br/>
      </w:r>
      <w:r w:rsidRPr="24ABEC3A">
        <w:rPr>
          <w:lang w:eastAsia="ar-SA"/>
        </w:rPr>
        <w:t>Isopto-Maxidex x 3, antibiotikasalva (t ex Chloromycetin) vid skav</w:t>
      </w:r>
      <w:r w:rsidRPr="24ABEC3A" w:rsidR="0E759387">
        <w:rPr>
          <w:lang w:eastAsia="ar-SA"/>
        </w:rPr>
        <w:t>.</w:t>
      </w:r>
    </w:p>
    <w:p w:rsidRPr="009F2803" w:rsidR="00B447AE" w:rsidP="000510F2" w:rsidRDefault="00B447AE" w14:paraId="4917FA17" w14:textId="2C6B70BC">
      <w:pPr>
        <w:rPr>
          <w:lang w:eastAsia="ar-SA"/>
        </w:rPr>
      </w:pPr>
      <w:r w:rsidRPr="00B447AE">
        <w:rPr>
          <w:lang w:eastAsia="ar-SA"/>
        </w:rPr>
        <w:br/>
      </w:r>
      <w:r w:rsidRPr="004C5A6E">
        <w:rPr>
          <w:b/>
          <w:bCs/>
        </w:rPr>
        <w:t>Vid kombinerad op med IOL:</w:t>
      </w:r>
      <w:r w:rsidRPr="00B447AE">
        <w:rPr>
          <w:rFonts w:ascii="Palatino Linotype" w:hAnsi="Palatino Linotype"/>
          <w:szCs w:val="20"/>
          <w:lang w:eastAsia="ar-SA"/>
        </w:rPr>
        <w:br/>
      </w:r>
      <w:r w:rsidRPr="005D7774">
        <w:t>Isopto-Maxidex x 5</w:t>
      </w:r>
    </w:p>
    <w:p w:rsidR="00FA2AF3" w:rsidP="00BF27AF" w:rsidRDefault="00B447AE" w14:paraId="26A5FBBD" w14:textId="33569B05">
      <w:pPr>
        <w:rPr>
          <w:lang w:eastAsia="ar-SA"/>
        </w:rPr>
      </w:pPr>
      <w:r w:rsidRPr="00B447AE">
        <w:rPr>
          <w:lang w:eastAsia="ar-SA"/>
        </w:rPr>
        <w:t>Sedvanlig behandlingstid fyra veckor (det kan alltid anpassas till den enskilde patienten).</w:t>
      </w:r>
    </w:p>
    <w:p w:rsidRPr="00FA2AF3" w:rsidR="00BF27AF" w:rsidP="00BF27AF" w:rsidRDefault="00BF27AF" w14:paraId="54757228" w14:textId="77777777">
      <w:pPr>
        <w:rPr>
          <w:lang w:eastAsia="ar-SA"/>
        </w:rPr>
      </w:pPr>
    </w:p>
    <w:p w:rsidR="24ABEC3A" w:rsidP="24ABEC3A" w:rsidRDefault="24ABEC3A" w14:paraId="17D33522" w14:textId="4A428515">
      <w:pPr>
        <w:rPr>
          <w:lang w:eastAsia="ar-SA"/>
        </w:rPr>
      </w:pPr>
    </w:p>
    <w:p w:rsidR="24ABEC3A" w:rsidP="24ABEC3A" w:rsidRDefault="24ABEC3A" w14:paraId="0D51D285" w14:textId="3D42DCD6">
      <w:pPr>
        <w:rPr>
          <w:lang w:eastAsia="ar-SA"/>
        </w:rPr>
      </w:pPr>
    </w:p>
    <w:p w:rsidR="24ABEC3A" w:rsidP="24ABEC3A" w:rsidRDefault="24ABEC3A" w14:paraId="373FB348" w14:textId="3FAA6011">
      <w:pPr>
        <w:rPr>
          <w:lang w:eastAsia="ar-SA"/>
        </w:rPr>
      </w:pPr>
    </w:p>
    <w:p w:rsidR="24ABEC3A" w:rsidP="24ABEC3A" w:rsidRDefault="24ABEC3A" w14:paraId="49235A84" w14:textId="7F88899A">
      <w:pPr>
        <w:rPr>
          <w:lang w:eastAsia="ar-SA"/>
        </w:rPr>
      </w:pPr>
    </w:p>
    <w:p w:rsidR="24ABEC3A" w:rsidP="24ABEC3A" w:rsidRDefault="24ABEC3A" w14:paraId="2DB83DF6" w14:textId="292665BD">
      <w:pPr>
        <w:rPr>
          <w:lang w:eastAsia="ar-SA"/>
        </w:rPr>
      </w:pPr>
    </w:p>
    <w:p w:rsidR="24ABEC3A" w:rsidP="24ABEC3A" w:rsidRDefault="24ABEC3A" w14:paraId="539B483E" w14:textId="3E2BE0B6">
      <w:pPr>
        <w:rPr>
          <w:lang w:eastAsia="ar-SA"/>
        </w:rPr>
      </w:pPr>
    </w:p>
    <w:p w:rsidRPr="004C5A6E" w:rsidR="00B447AE" w:rsidP="000510F2" w:rsidRDefault="00B447AE" w14:paraId="15A39AA5" w14:textId="207BD006">
      <w:pPr>
        <w:rPr>
          <w:b/>
          <w:bCs/>
          <w:lang w:eastAsia="ar-SA"/>
        </w:rPr>
      </w:pPr>
      <w:r w:rsidRPr="004C5A6E">
        <w:rPr>
          <w:b/>
          <w:bCs/>
          <w:lang w:eastAsia="ar-SA"/>
        </w:rPr>
        <w:t>Vitrektomi vid diabetesretinopati</w:t>
      </w:r>
      <w:r w:rsidR="004C5A6E">
        <w:rPr>
          <w:b/>
          <w:bCs/>
          <w:lang w:eastAsia="ar-SA"/>
        </w:rPr>
        <w:t>:</w:t>
      </w:r>
    </w:p>
    <w:p w:rsidRPr="00B447AE" w:rsidR="00B447AE" w:rsidP="000510F2" w:rsidRDefault="00B447AE" w14:paraId="40706DCE" w14:textId="77777777">
      <w:pPr>
        <w:rPr>
          <w:lang w:eastAsia="ar-SA"/>
        </w:rPr>
      </w:pPr>
      <w:r w:rsidRPr="00B447AE">
        <w:rPr>
          <w:lang w:eastAsia="ar-SA"/>
        </w:rPr>
        <w:t>Isopto-Maxidex x 3</w:t>
      </w:r>
      <w:r w:rsidRPr="00B447AE">
        <w:rPr>
          <w:lang w:eastAsia="ar-SA"/>
        </w:rPr>
        <w:br/>
      </w:r>
      <w:r w:rsidRPr="00B447AE">
        <w:rPr>
          <w:lang w:eastAsia="ar-SA"/>
        </w:rPr>
        <w:t>Dilantia x 2</w:t>
      </w:r>
      <w:r w:rsidRPr="00B447AE">
        <w:rPr>
          <w:lang w:eastAsia="ar-SA"/>
        </w:rPr>
        <w:br/>
      </w:r>
      <w:r w:rsidRPr="00B447AE">
        <w:rPr>
          <w:lang w:eastAsia="ar-SA"/>
        </w:rPr>
        <w:t>Antibiotikasalva vid skav</w:t>
      </w:r>
    </w:p>
    <w:p w:rsidRPr="00B447AE" w:rsidR="00B447AE" w:rsidP="000510F2" w:rsidRDefault="00B447AE" w14:paraId="343144B7" w14:textId="77777777">
      <w:pPr>
        <w:rPr>
          <w:lang w:eastAsia="ar-SA"/>
        </w:rPr>
      </w:pPr>
      <w:r w:rsidRPr="00B447AE">
        <w:rPr>
          <w:lang w:eastAsia="ar-SA"/>
        </w:rPr>
        <w:t xml:space="preserve">Sedvanlig behandlingstid 5-6 veckor, men i vissa fall behövs längre behandlingsperioder. Om oljetamponad använts, ev Isopto-Maxidex x 1 tills oljan evakuerats. Pat med IOL och/eller irisrubeos behöver ofta högre steroiddos och eventuellt kraftigare dilatantia. </w:t>
      </w:r>
    </w:p>
    <w:p w:rsidRPr="00B447AE" w:rsidR="00B447AE" w:rsidP="000510F2" w:rsidRDefault="00B447AE" w14:paraId="6125E1E4" w14:textId="77777777">
      <w:pPr>
        <w:rPr>
          <w:rFonts w:ascii="Palatino Linotype" w:hAnsi="Palatino Linotype"/>
          <w:szCs w:val="20"/>
          <w:lang w:eastAsia="ar-SA"/>
        </w:rPr>
      </w:pPr>
    </w:p>
    <w:p w:rsidRPr="000510F2" w:rsidR="00B447AE" w:rsidP="000510F2" w:rsidRDefault="00B447AE" w14:paraId="0557D7A0" w14:textId="77777777">
      <w:pPr>
        <w:rPr>
          <w:b/>
          <w:bCs/>
          <w:lang w:eastAsia="ar-SA"/>
        </w:rPr>
      </w:pPr>
      <w:r w:rsidRPr="000510F2">
        <w:rPr>
          <w:b/>
          <w:bCs/>
          <w:lang w:eastAsia="ar-SA"/>
        </w:rPr>
        <w:t>Vid postop tryckstegring</w:t>
      </w:r>
    </w:p>
    <w:p w:rsidRPr="00B447AE" w:rsidR="00B447AE" w:rsidP="000510F2" w:rsidRDefault="00B447AE" w14:paraId="15F7C8E7" w14:textId="75DFA9A3">
      <w:pPr>
        <w:rPr>
          <w:lang w:eastAsia="ar-SA"/>
        </w:rPr>
      </w:pPr>
      <w:r w:rsidRPr="00B447AE">
        <w:rPr>
          <w:lang w:eastAsia="ar-SA"/>
        </w:rPr>
        <w:t>Tryckbehandling ges vid behov och ibland profylaktiskt. Ge tryck</w:t>
      </w:r>
      <w:r w:rsidR="004C5A6E">
        <w:rPr>
          <w:lang w:eastAsia="ar-SA"/>
        </w:rPr>
        <w:t>-</w:t>
      </w:r>
      <w:r w:rsidRPr="00B447AE">
        <w:rPr>
          <w:lang w:eastAsia="ar-SA"/>
        </w:rPr>
        <w:t>sänkande droppar vid högt tryck.</w:t>
      </w:r>
    </w:p>
    <w:p w:rsidRPr="00B447AE" w:rsidR="00B447AE" w:rsidP="004C5A6E" w:rsidRDefault="00B447AE" w14:paraId="5DE30D19" w14:textId="77777777">
      <w:pPr>
        <w:ind w:left="0"/>
        <w:rPr>
          <w:szCs w:val="20"/>
          <w:lang w:eastAsia="ar-SA"/>
        </w:rPr>
      </w:pPr>
    </w:p>
    <w:p w:rsidR="004C5A6E" w:rsidP="004C5A6E" w:rsidRDefault="00B447AE" w14:paraId="16EF5013" w14:textId="77777777">
      <w:pPr>
        <w:rPr>
          <w:rFonts w:ascii="Palatino Linotype" w:hAnsi="Palatino Linotype"/>
          <w:i/>
          <w:iCs/>
          <w:szCs w:val="20"/>
          <w:lang w:eastAsia="ar-SA"/>
        </w:rPr>
      </w:pPr>
      <w:r w:rsidRPr="004C5A6E">
        <w:rPr>
          <w:b/>
          <w:bCs/>
        </w:rPr>
        <w:t>Rekommenderas:</w:t>
      </w:r>
      <w:r w:rsidRPr="00B447AE">
        <w:rPr>
          <w:rFonts w:ascii="Palatino Linotype" w:hAnsi="Palatino Linotype"/>
          <w:szCs w:val="20"/>
          <w:lang w:eastAsia="ar-SA"/>
        </w:rPr>
        <w:br/>
      </w:r>
      <w:r w:rsidRPr="004C5A6E">
        <w:t>AZARGA x 2 för patienter utan kontraindikationer</w:t>
      </w:r>
      <w:r w:rsidR="004C5A6E">
        <w:rPr>
          <w:rFonts w:ascii="Palatino Linotype" w:hAnsi="Palatino Linotype"/>
          <w:i/>
          <w:iCs/>
          <w:szCs w:val="20"/>
          <w:lang w:eastAsia="ar-SA"/>
        </w:rPr>
        <w:t xml:space="preserve"> </w:t>
      </w:r>
    </w:p>
    <w:p w:rsidRPr="004C5A6E" w:rsidR="00B447AE" w:rsidP="004C5A6E" w:rsidRDefault="00B447AE" w14:paraId="74DBB76B" w14:textId="77777777">
      <w:pPr>
        <w:rPr>
          <w:rFonts w:ascii="Palatino Linotype" w:hAnsi="Palatino Linotype"/>
          <w:i/>
          <w:iCs/>
          <w:szCs w:val="20"/>
          <w:lang w:eastAsia="ar-SA"/>
        </w:rPr>
      </w:pPr>
      <w:r w:rsidRPr="00B447AE">
        <w:rPr>
          <w:lang w:eastAsia="ar-SA"/>
        </w:rPr>
        <w:t xml:space="preserve">Undvik prostaglandinanaloger. </w:t>
      </w:r>
    </w:p>
    <w:p w:rsidRPr="00B447AE" w:rsidR="00B447AE" w:rsidP="00B447AE" w:rsidRDefault="00B447AE" w14:paraId="2C1867E7" w14:textId="77777777">
      <w:pPr>
        <w:spacing w:before="100" w:beforeAutospacing="1" w:after="100" w:afterAutospacing="1" w:line="240" w:lineRule="auto"/>
        <w:ind w:left="0" w:right="0"/>
        <w:rPr>
          <w:rFonts w:ascii="Palatino Linotype" w:hAnsi="Palatino Linotype"/>
          <w:szCs w:val="20"/>
          <w:lang w:eastAsia="ar-SA"/>
        </w:rPr>
      </w:pPr>
    </w:p>
    <w:p w:rsidRPr="00B447AE" w:rsidR="00B447AE" w:rsidP="00B447AE" w:rsidRDefault="00B447AE" w14:paraId="3F56CF47" w14:textId="77777777">
      <w:pPr>
        <w:spacing w:before="100" w:beforeAutospacing="1" w:after="100" w:afterAutospacing="1" w:line="240" w:lineRule="auto"/>
        <w:ind w:left="0" w:right="0"/>
        <w:rPr>
          <w:rFonts w:ascii="Palatino Linotype" w:hAnsi="Palatino Linotype"/>
          <w:szCs w:val="20"/>
          <w:lang w:eastAsia="ar-SA"/>
        </w:rPr>
      </w:pPr>
    </w:p>
    <w:p w:rsidRPr="00B447AE" w:rsidR="00B447AE" w:rsidP="00B447AE" w:rsidRDefault="00B447AE" w14:paraId="005A9FC7" w14:textId="77777777">
      <w:pPr>
        <w:spacing w:after="0" w:line="240" w:lineRule="auto"/>
        <w:ind w:left="0" w:right="0"/>
        <w:rPr>
          <w:szCs w:val="20"/>
          <w:lang w:eastAsia="ar-SA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447A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A3B24" w:rsidRDefault="00FA3B24" w14:paraId="2E8BC55B" w14:textId="77777777">
      <w:r>
        <w:separator/>
      </w:r>
    </w:p>
  </w:endnote>
  <w:endnote w:type="continuationSeparator" w:id="0">
    <w:p w:rsidR="00FA3B24" w:rsidRDefault="00FA3B24" w14:paraId="19C6BDD5" w14:textId="77777777">
      <w:r>
        <w:continuationSeparator/>
      </w:r>
    </w:p>
  </w:endnote>
  <w:endnote w:type="continuationNotice" w:id="1">
    <w:p w:rsidR="00FA3B24" w:rsidRDefault="00FA3B24" w14:paraId="1558D7F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A3B24" w:rsidRDefault="00FA3B24" w14:paraId="1B0A3A03" w14:textId="77777777"/>
  </w:footnote>
  <w:footnote w:type="continuationSeparator" w:id="0">
    <w:p w:rsidR="00FA3B24" w:rsidRDefault="00FA3B24" w14:paraId="73C25DAD" w14:textId="77777777">
      <w:r>
        <w:continuationSeparator/>
      </w:r>
    </w:p>
  </w:footnote>
  <w:footnote w:type="continuationNotice" w:id="1">
    <w:p w:rsidR="00FA3B24" w:rsidRDefault="00FA3B24" w14:paraId="03E72B0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285F558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52FCE74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EE74D28"/>
    <w:multiLevelType w:val="hybridMultilevel"/>
    <w:tmpl w:val="3286B970"/>
    <w:lvl w:ilvl="0" w:tplc="FFFFFFFF">
      <w:start w:val="1"/>
      <w:numFmt w:val="bullet"/>
      <w:lvlText w:val=""/>
      <w:lvlJc w:val="left"/>
      <w:pPr>
        <w:ind w:left="77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9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21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93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5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7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9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81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53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56254429">
    <w:abstractNumId w:val="18"/>
  </w:num>
  <w:num w:numId="2" w16cid:durableId="1535003057">
    <w:abstractNumId w:val="15"/>
  </w:num>
  <w:num w:numId="3" w16cid:durableId="1230266565">
    <w:abstractNumId w:val="0"/>
  </w:num>
  <w:num w:numId="4" w16cid:durableId="1073433229">
    <w:abstractNumId w:val="6"/>
  </w:num>
  <w:num w:numId="5" w16cid:durableId="1385640479">
    <w:abstractNumId w:val="16"/>
  </w:num>
  <w:num w:numId="6" w16cid:durableId="516694024">
    <w:abstractNumId w:val="2"/>
  </w:num>
  <w:num w:numId="7" w16cid:durableId="2044669138">
    <w:abstractNumId w:val="12"/>
  </w:num>
  <w:num w:numId="8" w16cid:durableId="636034264">
    <w:abstractNumId w:val="9"/>
  </w:num>
  <w:num w:numId="9" w16cid:durableId="1334455595">
    <w:abstractNumId w:val="1"/>
  </w:num>
  <w:num w:numId="10" w16cid:durableId="2109428681">
    <w:abstractNumId w:val="1"/>
  </w:num>
  <w:num w:numId="11" w16cid:durableId="373820921">
    <w:abstractNumId w:val="3"/>
  </w:num>
  <w:num w:numId="12" w16cid:durableId="728725594">
    <w:abstractNumId w:val="4"/>
  </w:num>
  <w:num w:numId="13" w16cid:durableId="2033023183">
    <w:abstractNumId w:val="14"/>
  </w:num>
  <w:num w:numId="14" w16cid:durableId="1551914545">
    <w:abstractNumId w:val="10"/>
  </w:num>
  <w:num w:numId="15" w16cid:durableId="1725644379">
    <w:abstractNumId w:val="7"/>
  </w:num>
  <w:num w:numId="16" w16cid:durableId="1982224362">
    <w:abstractNumId w:val="13"/>
  </w:num>
  <w:num w:numId="17" w16cid:durableId="1810317860">
    <w:abstractNumId w:val="5"/>
  </w:num>
  <w:num w:numId="18" w16cid:durableId="627199179">
    <w:abstractNumId w:val="11"/>
  </w:num>
  <w:num w:numId="19" w16cid:durableId="1481776282">
    <w:abstractNumId w:val="17"/>
  </w:num>
  <w:num w:numId="20" w16cid:durableId="1788116782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0F2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E58"/>
    <w:rsid w:val="00131B08"/>
    <w:rsid w:val="00132A59"/>
    <w:rsid w:val="00133337"/>
    <w:rsid w:val="00133A0F"/>
    <w:rsid w:val="0013580F"/>
    <w:rsid w:val="00137B6D"/>
    <w:rsid w:val="0014070B"/>
    <w:rsid w:val="0014147C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66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285"/>
    <w:rsid w:val="00384019"/>
    <w:rsid w:val="003854F1"/>
    <w:rsid w:val="0039118E"/>
    <w:rsid w:val="00397F54"/>
    <w:rsid w:val="003A0D43"/>
    <w:rsid w:val="003A3696"/>
    <w:rsid w:val="003B2A4B"/>
    <w:rsid w:val="003D099E"/>
    <w:rsid w:val="003D21A2"/>
    <w:rsid w:val="003D29D2"/>
    <w:rsid w:val="003D3217"/>
    <w:rsid w:val="003E0705"/>
    <w:rsid w:val="003E2FF7"/>
    <w:rsid w:val="003F1013"/>
    <w:rsid w:val="003F1ACF"/>
    <w:rsid w:val="00404948"/>
    <w:rsid w:val="00406BEA"/>
    <w:rsid w:val="00407567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B2D"/>
    <w:rsid w:val="00493C21"/>
    <w:rsid w:val="004A355D"/>
    <w:rsid w:val="004A4970"/>
    <w:rsid w:val="004B2183"/>
    <w:rsid w:val="004B2A01"/>
    <w:rsid w:val="004C2559"/>
    <w:rsid w:val="004C5A6E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45B"/>
    <w:rsid w:val="005578FA"/>
    <w:rsid w:val="00565129"/>
    <w:rsid w:val="00565CD0"/>
    <w:rsid w:val="00567820"/>
    <w:rsid w:val="005770AD"/>
    <w:rsid w:val="00581414"/>
    <w:rsid w:val="00582490"/>
    <w:rsid w:val="005826FA"/>
    <w:rsid w:val="00596923"/>
    <w:rsid w:val="00597E28"/>
    <w:rsid w:val="005A2E3B"/>
    <w:rsid w:val="005A54ED"/>
    <w:rsid w:val="005A5D5B"/>
    <w:rsid w:val="005A6081"/>
    <w:rsid w:val="005A627D"/>
    <w:rsid w:val="005B5D87"/>
    <w:rsid w:val="005C0045"/>
    <w:rsid w:val="005C084E"/>
    <w:rsid w:val="005C4606"/>
    <w:rsid w:val="005D0B0C"/>
    <w:rsid w:val="005D7774"/>
    <w:rsid w:val="005E02B3"/>
    <w:rsid w:val="005E1E24"/>
    <w:rsid w:val="0060596B"/>
    <w:rsid w:val="00606D97"/>
    <w:rsid w:val="00613262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45A"/>
    <w:rsid w:val="006E450B"/>
    <w:rsid w:val="006F0D7E"/>
    <w:rsid w:val="006F479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DB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161"/>
    <w:rsid w:val="00942257"/>
    <w:rsid w:val="009471BF"/>
    <w:rsid w:val="00950E4E"/>
    <w:rsid w:val="009529BD"/>
    <w:rsid w:val="009533B4"/>
    <w:rsid w:val="00971D93"/>
    <w:rsid w:val="009A732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803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CEC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8A0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7AE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6E7"/>
    <w:rsid w:val="00BA0066"/>
    <w:rsid w:val="00BA7BEB"/>
    <w:rsid w:val="00BB69DB"/>
    <w:rsid w:val="00BC322E"/>
    <w:rsid w:val="00BC44CD"/>
    <w:rsid w:val="00BC48A6"/>
    <w:rsid w:val="00BE7978"/>
    <w:rsid w:val="00BF27AF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241"/>
    <w:rsid w:val="00D41F5B"/>
    <w:rsid w:val="00D47AD7"/>
    <w:rsid w:val="00D51529"/>
    <w:rsid w:val="00D55228"/>
    <w:rsid w:val="00D85218"/>
    <w:rsid w:val="00D915B1"/>
    <w:rsid w:val="00DA299D"/>
    <w:rsid w:val="00DA65C4"/>
    <w:rsid w:val="00DD2BE0"/>
    <w:rsid w:val="00DE4447"/>
    <w:rsid w:val="00DE544A"/>
    <w:rsid w:val="00DE5DA2"/>
    <w:rsid w:val="00DF0033"/>
    <w:rsid w:val="00E026BF"/>
    <w:rsid w:val="00E07B1B"/>
    <w:rsid w:val="00E07E7E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2AF3"/>
    <w:rsid w:val="00FA3B2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F1F28C"/>
    <w:rsid w:val="04F557BD"/>
    <w:rsid w:val="08A5DD5C"/>
    <w:rsid w:val="0937531E"/>
    <w:rsid w:val="0A4F8E95"/>
    <w:rsid w:val="0A67BAD3"/>
    <w:rsid w:val="0A8D1BA9"/>
    <w:rsid w:val="0B25FB46"/>
    <w:rsid w:val="0E759387"/>
    <w:rsid w:val="18C84E67"/>
    <w:rsid w:val="1A482A47"/>
    <w:rsid w:val="1B908B69"/>
    <w:rsid w:val="1BD25A2F"/>
    <w:rsid w:val="1F141386"/>
    <w:rsid w:val="20B66FAC"/>
    <w:rsid w:val="22125483"/>
    <w:rsid w:val="24ABEC3A"/>
    <w:rsid w:val="25B6AB80"/>
    <w:rsid w:val="26FF0CA2"/>
    <w:rsid w:val="28476DC4"/>
    <w:rsid w:val="28A8BDDB"/>
    <w:rsid w:val="299756CA"/>
    <w:rsid w:val="2AC78BAE"/>
    <w:rsid w:val="2DC8E3ED"/>
    <w:rsid w:val="2EA50ECF"/>
    <w:rsid w:val="2F66776B"/>
    <w:rsid w:val="30ABE335"/>
    <w:rsid w:val="33B5EEFD"/>
    <w:rsid w:val="396D4902"/>
    <w:rsid w:val="3A43B5B3"/>
    <w:rsid w:val="3E393241"/>
    <w:rsid w:val="42D81DFE"/>
    <w:rsid w:val="43DB8831"/>
    <w:rsid w:val="4794A1EF"/>
    <w:rsid w:val="4A7DED5A"/>
    <w:rsid w:val="4C591DFB"/>
    <w:rsid w:val="4E739CB9"/>
    <w:rsid w:val="4F4A096A"/>
    <w:rsid w:val="50C6BD21"/>
    <w:rsid w:val="50F3BAA3"/>
    <w:rsid w:val="5415F2A9"/>
    <w:rsid w:val="58CF24E5"/>
    <w:rsid w:val="58E1DBE8"/>
    <w:rsid w:val="5A8B8D21"/>
    <w:rsid w:val="5BBBF4D6"/>
    <w:rsid w:val="5CF6D9C7"/>
    <w:rsid w:val="5E634B9F"/>
    <w:rsid w:val="5FD87A99"/>
    <w:rsid w:val="6234B777"/>
    <w:rsid w:val="631FF56C"/>
    <w:rsid w:val="647B2B65"/>
    <w:rsid w:val="672D9E38"/>
    <w:rsid w:val="682DE042"/>
    <w:rsid w:val="6B2CF8ED"/>
    <w:rsid w:val="6CF9C981"/>
    <w:rsid w:val="729C1F71"/>
    <w:rsid w:val="729DADEF"/>
    <w:rsid w:val="7579695B"/>
    <w:rsid w:val="7746711D"/>
    <w:rsid w:val="776808B0"/>
    <w:rsid w:val="778F11E5"/>
    <w:rsid w:val="7A002007"/>
    <w:rsid w:val="7C33F1EF"/>
    <w:rsid w:val="7CC567B1"/>
    <w:rsid w:val="7D6459A4"/>
    <w:rsid w:val="7E0AA0AA"/>
    <w:rsid w:val="7E379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0B3C872-30AC-4248-BBB2-D775C707B6E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14147C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rsid w:val="0014147C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342</Words>
  <Characters>1954</Characters>
  <Application>Microsoft Office Word</Application>
  <DocSecurity>4</DocSecurity>
  <Lines>16</Lines>
  <Paragraphs>4</Paragraphs>
  <ScaleCrop>false</ScaleCrop>
  <Manager/>
  <Company/>
  <LinksUpToDate>false</LinksUpToDate>
  <CharactersWithSpaces>2292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Postoperativa återbesöksrutiner efter vitreoretinala operationer</dc:title>
  <dc:subject/>
  <dc:creator>patrik.jens.johansson@vgregion.se</dc:creator>
  <keywords/>
  <lastModifiedBy>Pernilla Edvinsson</lastModifiedBy>
  <revision>23</revision>
  <lastPrinted>2016-03-31T19:56:00.0000000Z</lastPrinted>
  <dcterms:created xsi:type="dcterms:W3CDTF">2022-05-12T12:55:00.0000000Z</dcterms:created>
  <dcterms:modified xsi:type="dcterms:W3CDTF">2022-11-11T08:17:00.0000000Z</dcterms:modified>
</coreProperties>
</file>