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2CBC6" w14:textId="77777777" w:rsidR="00823BD1" w:rsidRDefault="00823BD1" w:rsidP="00F35B05">
      <w:pPr>
        <w:pStyle w:val="Heading2"/>
        <w:sectPr w:rsidR="00823BD1" w:rsidSect="00823BD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AAD0291" w14:textId="77777777" w:rsidR="00823BD1" w:rsidRPr="00823BD1" w:rsidRDefault="00823BD1" w:rsidP="00823BD1">
      <w:pPr>
        <w:spacing w:after="0" w:line="240" w:lineRule="auto"/>
        <w:ind w:left="0" w:right="0"/>
        <w:rPr>
          <w:szCs w:val="20"/>
        </w:rPr>
      </w:pPr>
    </w:p>
    <w:p w14:paraId="3A486944" w14:textId="77777777" w:rsidR="00823BD1" w:rsidRPr="00823BD1" w:rsidRDefault="00823BD1" w:rsidP="00823BD1">
      <w:pPr>
        <w:spacing w:after="0" w:line="240" w:lineRule="auto"/>
        <w:ind w:left="0" w:right="0"/>
        <w:rPr>
          <w:szCs w:val="20"/>
        </w:rPr>
      </w:pPr>
    </w:p>
    <w:p w14:paraId="06FB2176" w14:textId="77777777" w:rsidR="00823BD1" w:rsidRPr="00823BD1" w:rsidRDefault="00823BD1" w:rsidP="00823BD1">
      <w:pPr>
        <w:tabs>
          <w:tab w:val="left" w:pos="4590"/>
        </w:tabs>
        <w:spacing w:after="0" w:line="240" w:lineRule="auto"/>
        <w:ind w:left="0" w:right="0"/>
        <w:rPr>
          <w:szCs w:val="20"/>
        </w:rPr>
      </w:pPr>
      <w:r w:rsidRPr="00823BD1">
        <w:rPr>
          <w:szCs w:val="20"/>
        </w:rPr>
        <w:tab/>
      </w:r>
    </w:p>
    <w:p w14:paraId="6B3F517B" w14:textId="14007C35" w:rsidR="00823BD1" w:rsidRPr="00823BD1" w:rsidRDefault="00823BD1" w:rsidP="00823BD1">
      <w:pPr>
        <w:spacing w:after="0" w:line="240" w:lineRule="auto"/>
        <w:ind w:left="0" w:right="-568"/>
        <w:rPr>
          <w:szCs w:val="20"/>
        </w:rPr>
      </w:pPr>
      <w:r w:rsidRPr="00823BD1">
        <w:rPr>
          <w:noProof/>
          <w:szCs w:val="20"/>
        </w:rPr>
        <mc:AlternateContent>
          <mc:Choice Requires="wps">
            <w:drawing>
              <wp:anchor distT="0" distB="0" distL="114300" distR="114300" simplePos="0" relativeHeight="251659264" behindDoc="0" locked="0" layoutInCell="1" allowOverlap="1" wp14:anchorId="4F5271C7" wp14:editId="6948415D">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3B922" w14:textId="77777777" w:rsidR="00823BD1" w:rsidRPr="003D37FD" w:rsidRDefault="00823BD1" w:rsidP="00823BD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30341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5271C7"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8E3B922" w14:textId="77777777" w:rsidR="00823BD1" w:rsidRPr="003D37FD" w:rsidRDefault="00823BD1" w:rsidP="00823BD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30341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823BD1" w:rsidRPr="00823BD1" w14:paraId="7DBFDB44" w14:textId="77777777" w:rsidTr="00946141">
        <w:trPr>
          <w:cantSplit/>
          <w:trHeight w:val="570"/>
        </w:trPr>
        <w:tc>
          <w:tcPr>
            <w:tcW w:w="9039" w:type="dxa"/>
            <w:tcBorders>
              <w:bottom w:val="single" w:sz="8" w:space="0" w:color="auto"/>
            </w:tcBorders>
            <w:tcMar>
              <w:left w:w="0" w:type="dxa"/>
              <w:right w:w="0" w:type="dxa"/>
            </w:tcMar>
            <w:vAlign w:val="bottom"/>
          </w:tcPr>
          <w:p w14:paraId="7725BC90" w14:textId="77777777" w:rsidR="00823BD1" w:rsidRPr="00823BD1" w:rsidRDefault="00823BD1" w:rsidP="00823BD1">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823BD1">
              <w:rPr>
                <w:rFonts w:ascii="Arial Fet" w:hAnsi="Arial Fet" w:cs="Arial"/>
                <w:b/>
                <w:bCs/>
                <w:kern w:val="32"/>
                <w:sz w:val="32"/>
                <w:szCs w:val="32"/>
              </w:rPr>
              <w:t>Episklerit</w:t>
            </w:r>
          </w:p>
        </w:tc>
      </w:tr>
    </w:tbl>
    <w:p w14:paraId="444BC2C1" w14:textId="77777777" w:rsidR="00823BD1" w:rsidRPr="00823BD1" w:rsidRDefault="00823BD1" w:rsidP="00823BD1">
      <w:pPr>
        <w:keepNext/>
        <w:spacing w:after="0" w:line="240" w:lineRule="auto"/>
        <w:ind w:left="0" w:right="0"/>
        <w:outlineLvl w:val="0"/>
        <w:rPr>
          <w:rFonts w:ascii="Arial Fet" w:hAnsi="Arial Fet" w:cs="Arial"/>
          <w:b/>
          <w:bCs/>
          <w:kern w:val="32"/>
          <w:sz w:val="32"/>
          <w:szCs w:val="32"/>
        </w:rPr>
      </w:pPr>
    </w:p>
    <w:p w14:paraId="297B341E" w14:textId="77777777" w:rsidR="00823BD1" w:rsidRPr="00823BD1" w:rsidRDefault="00823BD1" w:rsidP="00823BD1">
      <w:pPr>
        <w:spacing w:after="0" w:line="240" w:lineRule="auto"/>
        <w:ind w:left="0" w:right="0"/>
        <w:rPr>
          <w:szCs w:val="20"/>
        </w:rPr>
      </w:pPr>
      <w:r w:rsidRPr="00823BD1">
        <w:rPr>
          <w:rFonts w:ascii="Arial" w:hAnsi="Arial" w:cs="Arial"/>
          <w:b/>
          <w:bCs/>
          <w:sz w:val="26"/>
          <w:szCs w:val="26"/>
        </w:rPr>
        <w:t>Reviderat i denna version</w:t>
      </w:r>
      <w:r w:rsidRPr="00823BD1">
        <w:rPr>
          <w:rFonts w:ascii="Arial" w:hAnsi="Arial" w:cs="Arial"/>
          <w:b/>
          <w:bCs/>
          <w:sz w:val="26"/>
          <w:szCs w:val="26"/>
        </w:rPr>
        <w:br/>
      </w:r>
      <w:r w:rsidRPr="00823BD1">
        <w:rPr>
          <w:szCs w:val="20"/>
        </w:rPr>
        <w:t>Uppdaterat under punkt 3: ”Episklerit och sklerit kan ev utlösas av vissa läkemedel..”</w:t>
      </w:r>
      <w:r w:rsidRPr="00823BD1">
        <w:rPr>
          <w:szCs w:val="20"/>
        </w:rPr>
        <w:br/>
      </w:r>
    </w:p>
    <w:p w14:paraId="768B19BE" w14:textId="77777777" w:rsidR="00823BD1" w:rsidRPr="00823BD1" w:rsidRDefault="00823BD1" w:rsidP="00823BD1">
      <w:pPr>
        <w:spacing w:after="0" w:line="240" w:lineRule="auto"/>
        <w:ind w:left="0" w:right="0"/>
        <w:rPr>
          <w:szCs w:val="20"/>
        </w:rPr>
      </w:pPr>
      <w:r w:rsidRPr="00823BD1">
        <w:rPr>
          <w:szCs w:val="20"/>
        </w:rPr>
        <w:t xml:space="preserve">Mild, icke synhotande inflammation av episklera. </w:t>
      </w:r>
    </w:p>
    <w:p w14:paraId="51678CBA" w14:textId="77777777" w:rsidR="00823BD1" w:rsidRPr="00823BD1" w:rsidRDefault="00823BD1" w:rsidP="00823BD1">
      <w:pPr>
        <w:spacing w:after="0" w:line="240" w:lineRule="auto"/>
        <w:ind w:left="0" w:right="0"/>
        <w:rPr>
          <w:szCs w:val="20"/>
        </w:rPr>
      </w:pPr>
      <w:r w:rsidRPr="00823BD1">
        <w:rPr>
          <w:szCs w:val="20"/>
        </w:rPr>
        <w:t>70 % kvinnor, 20-50 år, 50 % bilateralt.</w:t>
      </w:r>
    </w:p>
    <w:p w14:paraId="0C8E9B68" w14:textId="77777777" w:rsidR="00823BD1" w:rsidRPr="00823BD1" w:rsidRDefault="00823BD1" w:rsidP="00823BD1">
      <w:pPr>
        <w:spacing w:after="0" w:line="240" w:lineRule="auto"/>
        <w:ind w:left="0" w:right="0"/>
        <w:rPr>
          <w:szCs w:val="20"/>
        </w:rPr>
      </w:pPr>
      <w:r w:rsidRPr="00823BD1">
        <w:rPr>
          <w:szCs w:val="20"/>
        </w:rPr>
        <w:t>Incidens 21 fall/100000 inv/år.</w:t>
      </w:r>
    </w:p>
    <w:p w14:paraId="55ECA478" w14:textId="77777777" w:rsidR="00823BD1" w:rsidRPr="00823BD1" w:rsidRDefault="00823BD1" w:rsidP="00823BD1">
      <w:pPr>
        <w:spacing w:after="0" w:line="240" w:lineRule="auto"/>
        <w:ind w:left="0" w:right="0"/>
        <w:rPr>
          <w:szCs w:val="20"/>
        </w:rPr>
      </w:pPr>
    </w:p>
    <w:p w14:paraId="726E7891" w14:textId="77777777" w:rsidR="00823BD1" w:rsidRPr="00823BD1" w:rsidRDefault="00823BD1" w:rsidP="00823BD1">
      <w:pPr>
        <w:spacing w:after="0" w:line="240" w:lineRule="auto"/>
        <w:ind w:left="0" w:right="0"/>
        <w:rPr>
          <w:szCs w:val="20"/>
        </w:rPr>
      </w:pPr>
      <w:r w:rsidRPr="00823BD1">
        <w:rPr>
          <w:szCs w:val="20"/>
        </w:rPr>
        <w:t>Symtom: Irritation, gruskänsla, ljuskänslighet, epifora.</w:t>
      </w:r>
    </w:p>
    <w:p w14:paraId="13143EE0" w14:textId="77777777" w:rsidR="00823BD1" w:rsidRPr="00823BD1" w:rsidRDefault="00823BD1" w:rsidP="00823BD1">
      <w:pPr>
        <w:numPr>
          <w:ilvl w:val="0"/>
          <w:numId w:val="20"/>
        </w:numPr>
        <w:spacing w:after="160" w:line="259" w:lineRule="auto"/>
        <w:ind w:right="0"/>
        <w:contextualSpacing/>
        <w:rPr>
          <w:rFonts w:ascii="Calibri" w:eastAsia="Calibri" w:hAnsi="Calibri"/>
          <w:sz w:val="22"/>
          <w:szCs w:val="22"/>
          <w:lang w:eastAsia="en-US"/>
        </w:rPr>
      </w:pPr>
      <w:r w:rsidRPr="00823BD1">
        <w:rPr>
          <w:rFonts w:ascii="Calibri" w:eastAsia="Calibri" w:hAnsi="Calibri"/>
          <w:sz w:val="22"/>
          <w:szCs w:val="22"/>
          <w:lang w:eastAsia="en-US"/>
        </w:rPr>
        <w:t>Simple: akut insjuknande, diffus eller sektoriell rodnad, peak efter 12 timmar och börjar klinga av efter 2-3 dagar, recidiverande och sidoväxlande.</w:t>
      </w:r>
    </w:p>
    <w:p w14:paraId="0ABCD5F2" w14:textId="77777777" w:rsidR="00823BD1" w:rsidRPr="00823BD1" w:rsidRDefault="00823BD1" w:rsidP="00823BD1">
      <w:pPr>
        <w:numPr>
          <w:ilvl w:val="0"/>
          <w:numId w:val="20"/>
        </w:numPr>
        <w:spacing w:after="160" w:line="259" w:lineRule="auto"/>
        <w:ind w:right="0"/>
        <w:contextualSpacing/>
        <w:rPr>
          <w:rFonts w:ascii="Calibri" w:eastAsia="Calibri" w:hAnsi="Calibri"/>
          <w:sz w:val="22"/>
          <w:szCs w:val="22"/>
          <w:lang w:eastAsia="en-US"/>
        </w:rPr>
      </w:pPr>
      <w:r w:rsidRPr="00823BD1">
        <w:rPr>
          <w:rFonts w:ascii="Calibri" w:eastAsia="Calibri" w:hAnsi="Calibri"/>
          <w:sz w:val="22"/>
          <w:szCs w:val="22"/>
          <w:lang w:eastAsia="en-US"/>
        </w:rPr>
        <w:t>Nodulär: successivt insjuknande, noteras vid uppvaknandet, accelererar i 2-3 dagar, noduli, varar längre än simple.</w:t>
      </w:r>
    </w:p>
    <w:p w14:paraId="09684BBB" w14:textId="77777777" w:rsidR="00823BD1" w:rsidRPr="00823BD1" w:rsidRDefault="00823BD1" w:rsidP="00823BD1">
      <w:pPr>
        <w:spacing w:after="0" w:line="240" w:lineRule="auto"/>
        <w:ind w:left="0" w:right="0"/>
        <w:rPr>
          <w:szCs w:val="20"/>
        </w:rPr>
      </w:pPr>
      <w:r w:rsidRPr="00823BD1">
        <w:rPr>
          <w:szCs w:val="20"/>
        </w:rPr>
        <w:t>1) Prioritering av remiss till 1:a besök 2 dagar.</w:t>
      </w:r>
    </w:p>
    <w:p w14:paraId="012DFBDC" w14:textId="77777777" w:rsidR="00823BD1" w:rsidRPr="00823BD1" w:rsidRDefault="00823BD1" w:rsidP="00823BD1">
      <w:pPr>
        <w:spacing w:after="0" w:line="240" w:lineRule="auto"/>
        <w:ind w:left="0" w:right="0"/>
        <w:rPr>
          <w:szCs w:val="20"/>
        </w:rPr>
      </w:pPr>
      <w:r w:rsidRPr="00823BD1">
        <w:rPr>
          <w:szCs w:val="20"/>
        </w:rPr>
        <w:t>Tänk på att episklerit kan läka av sig själv och behöver inte alltid påtittas. Diskutera med patienten.</w:t>
      </w:r>
    </w:p>
    <w:p w14:paraId="5C23DFDE" w14:textId="77777777" w:rsidR="00823BD1" w:rsidRPr="00823BD1" w:rsidRDefault="00823BD1" w:rsidP="00823BD1">
      <w:pPr>
        <w:spacing w:after="0" w:line="240" w:lineRule="auto"/>
        <w:ind w:left="0" w:right="0"/>
        <w:rPr>
          <w:szCs w:val="20"/>
        </w:rPr>
      </w:pPr>
      <w:r w:rsidRPr="00823BD1">
        <w:rPr>
          <w:szCs w:val="20"/>
        </w:rPr>
        <w:t>Patient som tidigare haft episklerit behöver inte heller påtittas.</w:t>
      </w:r>
    </w:p>
    <w:p w14:paraId="67502349" w14:textId="77777777" w:rsidR="00823BD1" w:rsidRPr="00823BD1" w:rsidRDefault="00823BD1" w:rsidP="00823BD1">
      <w:pPr>
        <w:spacing w:after="0" w:line="240" w:lineRule="auto"/>
        <w:ind w:left="0" w:right="0"/>
        <w:rPr>
          <w:szCs w:val="20"/>
        </w:rPr>
      </w:pPr>
    </w:p>
    <w:p w14:paraId="08669272" w14:textId="77777777" w:rsidR="00823BD1" w:rsidRPr="00823BD1" w:rsidRDefault="00823BD1" w:rsidP="00823BD1">
      <w:pPr>
        <w:spacing w:after="0" w:line="240" w:lineRule="auto"/>
        <w:ind w:left="0" w:right="0"/>
        <w:rPr>
          <w:szCs w:val="20"/>
        </w:rPr>
      </w:pPr>
      <w:r w:rsidRPr="00823BD1">
        <w:rPr>
          <w:szCs w:val="20"/>
        </w:rPr>
        <w:t>2) Undersökning: Klinisk diagnos, vidgande episklerala kärl, röd nyans i dagsljuset (jmf blå vid sklerit), avbleknar med Fenylephrine.</w:t>
      </w:r>
    </w:p>
    <w:p w14:paraId="620CDA9B" w14:textId="77777777" w:rsidR="00823BD1" w:rsidRPr="00823BD1" w:rsidRDefault="00823BD1" w:rsidP="00823BD1">
      <w:pPr>
        <w:spacing w:after="0" w:line="240" w:lineRule="auto"/>
        <w:ind w:left="0" w:right="0"/>
        <w:rPr>
          <w:szCs w:val="20"/>
        </w:rPr>
      </w:pPr>
      <w:r w:rsidRPr="00823BD1">
        <w:rPr>
          <w:szCs w:val="20"/>
        </w:rPr>
        <w:t>DD: Konjunktivit, phlyctenular konjunktivit, sklerit, episkleral plasamcytom (sällan), främmande kropp, granulom, Tight contact lenses syndrome.</w:t>
      </w:r>
    </w:p>
    <w:p w14:paraId="222B592E" w14:textId="77777777" w:rsidR="00823BD1" w:rsidRPr="00823BD1" w:rsidRDefault="00823BD1" w:rsidP="00823BD1">
      <w:pPr>
        <w:spacing w:after="0" w:line="240" w:lineRule="auto"/>
        <w:ind w:left="0" w:right="0"/>
        <w:rPr>
          <w:szCs w:val="20"/>
        </w:rPr>
      </w:pPr>
      <w:r w:rsidRPr="00823BD1">
        <w:rPr>
          <w:szCs w:val="20"/>
        </w:rPr>
        <w:br/>
        <w:t>3) Utredning i vanliga fall behövs EJ.</w:t>
      </w:r>
    </w:p>
    <w:p w14:paraId="740910A0" w14:textId="77777777" w:rsidR="00823BD1" w:rsidRPr="00823BD1" w:rsidRDefault="00823BD1" w:rsidP="00823BD1">
      <w:pPr>
        <w:spacing w:after="0" w:line="240" w:lineRule="auto"/>
        <w:ind w:left="0" w:right="0"/>
        <w:rPr>
          <w:szCs w:val="20"/>
        </w:rPr>
      </w:pPr>
      <w:r w:rsidRPr="00823BD1">
        <w:rPr>
          <w:szCs w:val="20"/>
        </w:rPr>
        <w:t xml:space="preserve">Huvudsakligen idiopatisk, ca 30 % relaterad till andra sjukdomar och då ytterst sällan är episkleriten första symtom. </w:t>
      </w:r>
    </w:p>
    <w:p w14:paraId="1ACFBEF1" w14:textId="77777777" w:rsidR="00823BD1" w:rsidRPr="00823BD1" w:rsidRDefault="00823BD1" w:rsidP="00823BD1">
      <w:pPr>
        <w:spacing w:after="0" w:line="240" w:lineRule="auto"/>
        <w:ind w:left="0" w:right="0"/>
        <w:rPr>
          <w:szCs w:val="20"/>
        </w:rPr>
      </w:pPr>
    </w:p>
    <w:p w14:paraId="2EDCDDEC" w14:textId="77777777" w:rsidR="00823BD1" w:rsidRPr="00823BD1" w:rsidRDefault="00823BD1" w:rsidP="00823BD1">
      <w:pPr>
        <w:spacing w:after="0" w:line="240" w:lineRule="auto"/>
        <w:ind w:left="0" w:right="0"/>
        <w:rPr>
          <w:szCs w:val="20"/>
        </w:rPr>
      </w:pPr>
      <w:r w:rsidRPr="00823BD1">
        <w:rPr>
          <w:szCs w:val="20"/>
        </w:rPr>
        <w:t>Episklerit liksom sklerit kan eventuellt utlösas av följande läkemedel:</w:t>
      </w:r>
    </w:p>
    <w:p w14:paraId="6A3A6D51" w14:textId="77777777" w:rsidR="00823BD1" w:rsidRPr="00823BD1" w:rsidRDefault="00823BD1" w:rsidP="00823BD1">
      <w:pPr>
        <w:spacing w:after="0" w:line="240" w:lineRule="auto"/>
        <w:ind w:left="0" w:right="0"/>
        <w:rPr>
          <w:szCs w:val="20"/>
        </w:rPr>
      </w:pPr>
    </w:p>
    <w:p w14:paraId="5E809A4F" w14:textId="77777777" w:rsidR="00823BD1" w:rsidRPr="00823BD1" w:rsidRDefault="00823BD1" w:rsidP="00823BD1">
      <w:pPr>
        <w:numPr>
          <w:ilvl w:val="0"/>
          <w:numId w:val="21"/>
        </w:numPr>
        <w:spacing w:after="0" w:line="240" w:lineRule="auto"/>
        <w:ind w:right="0"/>
        <w:rPr>
          <w:szCs w:val="20"/>
        </w:rPr>
      </w:pPr>
      <w:r w:rsidRPr="00823BD1">
        <w:rPr>
          <w:szCs w:val="20"/>
        </w:rPr>
        <w:t>Bisfonater (mot osteoporos): ex Alendronat, Risedronat, Aclasta.</w:t>
      </w:r>
    </w:p>
    <w:p w14:paraId="06ACB965" w14:textId="77777777" w:rsidR="00823BD1" w:rsidRPr="00823BD1" w:rsidRDefault="00823BD1" w:rsidP="00823BD1">
      <w:pPr>
        <w:numPr>
          <w:ilvl w:val="0"/>
          <w:numId w:val="21"/>
        </w:numPr>
        <w:spacing w:after="0" w:line="240" w:lineRule="auto"/>
        <w:ind w:right="0"/>
        <w:rPr>
          <w:szCs w:val="20"/>
        </w:rPr>
      </w:pPr>
      <w:r w:rsidRPr="00823BD1">
        <w:rPr>
          <w:szCs w:val="20"/>
        </w:rPr>
        <w:t>Erlotinib (mot cancer)</w:t>
      </w:r>
    </w:p>
    <w:p w14:paraId="2B51125D" w14:textId="77777777" w:rsidR="00823BD1" w:rsidRPr="00823BD1" w:rsidRDefault="00823BD1" w:rsidP="00823BD1">
      <w:pPr>
        <w:numPr>
          <w:ilvl w:val="0"/>
          <w:numId w:val="21"/>
        </w:numPr>
        <w:spacing w:after="0" w:line="240" w:lineRule="auto"/>
        <w:ind w:right="0"/>
        <w:rPr>
          <w:szCs w:val="20"/>
        </w:rPr>
      </w:pPr>
      <w:r w:rsidRPr="00823BD1">
        <w:rPr>
          <w:szCs w:val="20"/>
        </w:rPr>
        <w:t>Procainamide (antiarytmika, avregistrerat i Sverige)</w:t>
      </w:r>
    </w:p>
    <w:p w14:paraId="603A35E0" w14:textId="77777777" w:rsidR="00823BD1" w:rsidRPr="00823BD1" w:rsidRDefault="00823BD1" w:rsidP="00823BD1">
      <w:pPr>
        <w:spacing w:after="0" w:line="240" w:lineRule="auto"/>
        <w:ind w:left="0" w:right="0"/>
        <w:rPr>
          <w:szCs w:val="20"/>
        </w:rPr>
      </w:pPr>
    </w:p>
    <w:p w14:paraId="3431C624" w14:textId="77777777" w:rsidR="00823BD1" w:rsidRPr="00823BD1" w:rsidRDefault="00823BD1" w:rsidP="00823BD1">
      <w:pPr>
        <w:spacing w:after="0" w:line="240" w:lineRule="auto"/>
        <w:ind w:left="0" w:right="0"/>
        <w:rPr>
          <w:szCs w:val="20"/>
        </w:rPr>
      </w:pPr>
      <w:r w:rsidRPr="00823BD1">
        <w:rPr>
          <w:szCs w:val="20"/>
        </w:rPr>
        <w:t>Behandling:  1. Smörjande 4-6 ggr/ dagligen</w:t>
      </w:r>
    </w:p>
    <w:p w14:paraId="748B1EE7" w14:textId="77777777" w:rsidR="00823BD1" w:rsidRPr="00823BD1" w:rsidRDefault="00823BD1" w:rsidP="00823BD1">
      <w:pPr>
        <w:spacing w:after="0" w:line="240" w:lineRule="auto"/>
        <w:ind w:left="0" w:right="0"/>
        <w:rPr>
          <w:szCs w:val="20"/>
        </w:rPr>
      </w:pPr>
      <w:r w:rsidRPr="00823BD1">
        <w:rPr>
          <w:szCs w:val="20"/>
        </w:rPr>
        <w:lastRenderedPageBreak/>
        <w:t xml:space="preserve">                     2. Po NSAID Ipren 800 mg x 3 (max 2400 mg)</w:t>
      </w:r>
    </w:p>
    <w:p w14:paraId="182D7D3B" w14:textId="77777777" w:rsidR="00823BD1" w:rsidRPr="00823BD1" w:rsidRDefault="00823BD1" w:rsidP="00823BD1">
      <w:pPr>
        <w:spacing w:after="0" w:line="240" w:lineRule="auto"/>
        <w:ind w:left="0" w:right="0"/>
        <w:rPr>
          <w:szCs w:val="20"/>
        </w:rPr>
      </w:pPr>
      <w:r w:rsidRPr="00823BD1">
        <w:rPr>
          <w:szCs w:val="20"/>
        </w:rPr>
        <w:t xml:space="preserve">                     3. Lokal NSAID, Voltaren Ophtha x 4 </w:t>
      </w:r>
    </w:p>
    <w:p w14:paraId="2429F6E9" w14:textId="77777777" w:rsidR="00823BD1" w:rsidRPr="00823BD1" w:rsidRDefault="00823BD1" w:rsidP="00823BD1">
      <w:pPr>
        <w:spacing w:after="0" w:line="240" w:lineRule="auto"/>
        <w:ind w:left="0" w:right="0"/>
        <w:rPr>
          <w:szCs w:val="20"/>
        </w:rPr>
      </w:pPr>
      <w:r w:rsidRPr="00823BD1">
        <w:rPr>
          <w:szCs w:val="20"/>
        </w:rPr>
        <w:t xml:space="preserve">                     4. Steroiddroppar, Isopto-Maxidex x 4 eller Ultracortenol salva x 4 </w:t>
      </w:r>
      <w:r w:rsidRPr="00823BD1">
        <w:rPr>
          <w:szCs w:val="20"/>
        </w:rPr>
        <w:br/>
      </w:r>
    </w:p>
    <w:p w14:paraId="78F1FE24" w14:textId="77777777" w:rsidR="00823BD1" w:rsidRPr="00823BD1" w:rsidRDefault="00823BD1" w:rsidP="00823BD1">
      <w:pPr>
        <w:spacing w:after="0" w:line="240" w:lineRule="auto"/>
        <w:ind w:left="0" w:right="0"/>
        <w:rPr>
          <w:szCs w:val="20"/>
        </w:rPr>
      </w:pPr>
    </w:p>
    <w:p w14:paraId="76AF9F70" w14:textId="77777777" w:rsidR="00823BD1" w:rsidRPr="00823BD1" w:rsidRDefault="00823BD1" w:rsidP="00823BD1">
      <w:pPr>
        <w:spacing w:after="0" w:line="240" w:lineRule="auto"/>
        <w:ind w:left="0" w:right="0"/>
        <w:rPr>
          <w:szCs w:val="20"/>
        </w:rPr>
      </w:pPr>
    </w:p>
    <w:p w14:paraId="4A848F56" w14:textId="77777777" w:rsidR="00823BD1" w:rsidRPr="00823BD1" w:rsidRDefault="00823BD1" w:rsidP="00823BD1">
      <w:pPr>
        <w:spacing w:after="0" w:line="240" w:lineRule="auto"/>
        <w:ind w:left="0" w:right="0"/>
        <w:rPr>
          <w:szCs w:val="20"/>
        </w:rPr>
      </w:pPr>
    </w:p>
    <w:p w14:paraId="5A7BB5A0" w14:textId="77777777" w:rsidR="00823BD1" w:rsidRPr="00823BD1" w:rsidRDefault="00823BD1" w:rsidP="00823BD1">
      <w:pPr>
        <w:spacing w:after="0" w:line="240" w:lineRule="auto"/>
        <w:ind w:left="0" w:right="0"/>
        <w:rPr>
          <w:szCs w:val="20"/>
        </w:rPr>
      </w:pPr>
      <w:r w:rsidRPr="00823BD1">
        <w:rPr>
          <w:szCs w:val="20"/>
        </w:rPr>
        <w:t>Behandling till symptomfrihet. Större risk för recidiv om behandlas med kortison därför behandlar vissa med både steroider och NSAID lokalt. OBS! Associerad med Dry Eye Syndrome och Blefarit, därför skall dessa också behandlas.</w:t>
      </w:r>
    </w:p>
    <w:p w14:paraId="56F39DBB" w14:textId="77777777" w:rsidR="00823BD1" w:rsidRPr="00823BD1" w:rsidRDefault="00823BD1" w:rsidP="00823BD1">
      <w:pPr>
        <w:spacing w:after="0" w:line="240" w:lineRule="auto"/>
        <w:ind w:left="0" w:right="0"/>
        <w:rPr>
          <w:szCs w:val="20"/>
        </w:rPr>
      </w:pPr>
    </w:p>
    <w:p w14:paraId="5AF6EA45" w14:textId="77777777" w:rsidR="00823BD1" w:rsidRPr="00823BD1" w:rsidRDefault="00823BD1" w:rsidP="00823BD1">
      <w:pPr>
        <w:spacing w:after="0" w:line="240" w:lineRule="auto"/>
        <w:ind w:left="0" w:right="0"/>
        <w:rPr>
          <w:szCs w:val="20"/>
        </w:rPr>
      </w:pPr>
      <w:r w:rsidRPr="00823BD1">
        <w:rPr>
          <w:szCs w:val="20"/>
        </w:rPr>
        <w:t>4) Uppföljning: Inget återbesök.</w:t>
      </w:r>
    </w:p>
    <w:p w14:paraId="4D864304" w14:textId="77777777" w:rsidR="00823BD1" w:rsidRPr="00823BD1" w:rsidRDefault="00823BD1" w:rsidP="00823BD1">
      <w:pPr>
        <w:spacing w:after="0" w:line="240" w:lineRule="auto"/>
        <w:ind w:left="0" w:right="0"/>
        <w:rPr>
          <w:szCs w:val="20"/>
        </w:rPr>
      </w:pPr>
    </w:p>
    <w:p w14:paraId="32C5C426" w14:textId="77777777" w:rsidR="00823BD1" w:rsidRPr="00823BD1" w:rsidRDefault="00823BD1" w:rsidP="00823BD1">
      <w:pPr>
        <w:spacing w:after="0" w:line="240" w:lineRule="auto"/>
        <w:ind w:left="0" w:right="0"/>
        <w:rPr>
          <w:szCs w:val="20"/>
        </w:rPr>
      </w:pPr>
      <w:r w:rsidRPr="00823BD1">
        <w:rPr>
          <w:szCs w:val="20"/>
        </w:rPr>
        <w:t>*Relaterade sjukdomar: RA, gikt, IBD, vasculiter, SLE, HSV, Borrelia, Rosacea, Atopi</w:t>
      </w:r>
    </w:p>
    <w:p w14:paraId="6802BB85" w14:textId="77777777" w:rsidR="00823BD1" w:rsidRPr="00823BD1" w:rsidRDefault="00823BD1" w:rsidP="00823BD1">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823BD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81805"/>
    <w:multiLevelType w:val="hybridMultilevel"/>
    <w:tmpl w:val="607255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23C13D9"/>
    <w:multiLevelType w:val="hybridMultilevel"/>
    <w:tmpl w:val="4B72D8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96548879">
    <w:abstractNumId w:val="19"/>
  </w:num>
  <w:num w:numId="2" w16cid:durableId="542905643">
    <w:abstractNumId w:val="16"/>
  </w:num>
  <w:num w:numId="3" w16cid:durableId="1601834523">
    <w:abstractNumId w:val="0"/>
  </w:num>
  <w:num w:numId="4" w16cid:durableId="1683776414">
    <w:abstractNumId w:val="7"/>
  </w:num>
  <w:num w:numId="5" w16cid:durableId="1027213979">
    <w:abstractNumId w:val="17"/>
  </w:num>
  <w:num w:numId="6" w16cid:durableId="679242138">
    <w:abstractNumId w:val="3"/>
  </w:num>
  <w:num w:numId="7" w16cid:durableId="1423140181">
    <w:abstractNumId w:val="13"/>
  </w:num>
  <w:num w:numId="8" w16cid:durableId="2075423342">
    <w:abstractNumId w:val="10"/>
  </w:num>
  <w:num w:numId="9" w16cid:durableId="1822961063">
    <w:abstractNumId w:val="1"/>
  </w:num>
  <w:num w:numId="10" w16cid:durableId="253363895">
    <w:abstractNumId w:val="1"/>
  </w:num>
  <w:num w:numId="11" w16cid:durableId="2058971749">
    <w:abstractNumId w:val="4"/>
  </w:num>
  <w:num w:numId="12" w16cid:durableId="1092897804">
    <w:abstractNumId w:val="5"/>
  </w:num>
  <w:num w:numId="13" w16cid:durableId="216280245">
    <w:abstractNumId w:val="15"/>
  </w:num>
  <w:num w:numId="14" w16cid:durableId="439689432">
    <w:abstractNumId w:val="11"/>
  </w:num>
  <w:num w:numId="15" w16cid:durableId="370303787">
    <w:abstractNumId w:val="8"/>
  </w:num>
  <w:num w:numId="16" w16cid:durableId="709575203">
    <w:abstractNumId w:val="14"/>
  </w:num>
  <w:num w:numId="17" w16cid:durableId="395787685">
    <w:abstractNumId w:val="6"/>
  </w:num>
  <w:num w:numId="18" w16cid:durableId="1260093350">
    <w:abstractNumId w:val="12"/>
  </w:num>
  <w:num w:numId="19" w16cid:durableId="1460682802">
    <w:abstractNumId w:val="18"/>
  </w:num>
  <w:num w:numId="20" w16cid:durableId="2128574714">
    <w:abstractNumId w:val="2"/>
  </w:num>
  <w:num w:numId="21" w16cid:durableId="18993920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3BD1"/>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328</Words>
  <Characters>1739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2063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Episklerit</dc:title>
  <dc:subject/>
  <dc:creator>patrik.jens.johansson@vgregion.se</dc:creator>
  <keywords/>
  <lastModifiedBy>TK.SpStyMigProd</lastModifiedBy>
  <revision>2</revision>
  <lastPrinted>2016-03-31T10:56:00.0000000Z</lastPrinted>
  <dcterms:created xsi:type="dcterms:W3CDTF">2022-05-12T03:40:00.0000000Z</dcterms:created>
  <dcterms:modified xsi:type="dcterms:W3CDTF">2022-05-12T03:40:00.0000000Z</dcterms:modified>
</coreProperties>
</file>