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EDF529" w14:textId="77777777" w:rsidR="00C751A3" w:rsidRDefault="00C751A3" w:rsidP="00F35B05">
      <w:pPr>
        <w:pStyle w:val="Heading2"/>
        <w:sectPr w:rsidR="00C751A3" w:rsidSect="00C751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34C511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4C790B65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5AB702F2" w14:textId="77777777" w:rsidR="00C751A3" w:rsidRPr="00C751A3" w:rsidRDefault="00C751A3" w:rsidP="00C751A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ab/>
      </w:r>
    </w:p>
    <w:p w14:paraId="39F8F547" w14:textId="3F7C19E0" w:rsidR="00C751A3" w:rsidRPr="00C751A3" w:rsidRDefault="00C751A3" w:rsidP="00C751A3">
      <w:pPr>
        <w:spacing w:after="0" w:line="240" w:lineRule="auto"/>
        <w:ind w:left="0" w:right="-568"/>
        <w:rPr>
          <w:szCs w:val="20"/>
        </w:rPr>
      </w:pPr>
      <w:r w:rsidRPr="00C751A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940DD7" wp14:editId="31FC84B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E3A7D7" w14:textId="77777777" w:rsidR="00C751A3" w:rsidRPr="003D37FD" w:rsidRDefault="00C751A3" w:rsidP="00C751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30551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940DD7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BE3A7D7" w14:textId="77777777" w:rsidR="00C751A3" w:rsidRPr="003D37FD" w:rsidRDefault="00C751A3" w:rsidP="00C751A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30551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751A3" w:rsidRPr="00C751A3" w14:paraId="07DD6956" w14:textId="77777777" w:rsidTr="006F7CB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E665D5" w14:textId="77777777" w:rsidR="00C751A3" w:rsidRPr="00C751A3" w:rsidRDefault="00C751A3" w:rsidP="00C751A3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C751A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Epiretinalt membran</w:t>
            </w:r>
          </w:p>
        </w:tc>
      </w:tr>
    </w:tbl>
    <w:p w14:paraId="541EAA42" w14:textId="77777777" w:rsidR="00C751A3" w:rsidRPr="00C751A3" w:rsidRDefault="00C751A3" w:rsidP="00C751A3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377691A6" w14:textId="77777777" w:rsidR="00C751A3" w:rsidRPr="00C751A3" w:rsidRDefault="00C751A3" w:rsidP="00C751A3">
      <w:pPr>
        <w:keepNext/>
        <w:spacing w:before="240" w:after="60" w:line="240" w:lineRule="auto"/>
        <w:ind w:left="0" w:right="0"/>
        <w:outlineLvl w:val="1"/>
        <w:rPr>
          <w:b/>
          <w:bCs/>
          <w:iCs/>
          <w:sz w:val="28"/>
          <w:szCs w:val="28"/>
        </w:rPr>
      </w:pPr>
      <w:r w:rsidRPr="00C751A3">
        <w:rPr>
          <w:b/>
          <w:bCs/>
          <w:iCs/>
          <w:sz w:val="28"/>
          <w:szCs w:val="28"/>
          <w:lang w:val="en-US"/>
        </w:rPr>
        <w:t xml:space="preserve">*Makula pucker, epimakulärt membran, cellophane maculopathi. </w:t>
      </w:r>
      <w:r w:rsidRPr="00C751A3">
        <w:rPr>
          <w:b/>
          <w:bCs/>
          <w:iCs/>
          <w:sz w:val="28"/>
          <w:szCs w:val="28"/>
        </w:rPr>
        <w:t>*Det bildas ovan eller i retina.</w:t>
      </w:r>
      <w:r w:rsidRPr="00C751A3">
        <w:rPr>
          <w:b/>
          <w:bCs/>
          <w:iCs/>
          <w:sz w:val="28"/>
          <w:szCs w:val="28"/>
        </w:rPr>
        <w:br/>
        <w:t>*Cellproliferation bildar membran som ger traktion och ödem och det leder till synnedsättning.</w:t>
      </w:r>
    </w:p>
    <w:p w14:paraId="5ABE67D1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55A1A6F3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358E92F1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751A3">
        <w:rPr>
          <w:rFonts w:ascii="Arial" w:hAnsi="Arial" w:cs="Arial"/>
          <w:b/>
          <w:sz w:val="26"/>
          <w:szCs w:val="26"/>
        </w:rPr>
        <w:t>Primärt epiretinalt membran:</w:t>
      </w:r>
    </w:p>
    <w:p w14:paraId="39A7F926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*Idiopatisk</w:t>
      </w:r>
    </w:p>
    <w:p w14:paraId="7C0DF939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*10% bilateralt</w:t>
      </w:r>
    </w:p>
    <w:p w14:paraId="3F1EF86B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222CEC53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751A3">
        <w:rPr>
          <w:rFonts w:ascii="Arial" w:hAnsi="Arial" w:cs="Arial"/>
          <w:b/>
          <w:sz w:val="26"/>
          <w:szCs w:val="26"/>
        </w:rPr>
        <w:t>Sekundärt epiretinalt membran:</w:t>
      </w:r>
    </w:p>
    <w:p w14:paraId="3073029F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*Retinal kirurgi</w:t>
      </w:r>
    </w:p>
    <w:p w14:paraId="473858C4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*Trauma</w:t>
      </w:r>
    </w:p>
    <w:p w14:paraId="57B22A39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*Laser</w:t>
      </w:r>
    </w:p>
    <w:p w14:paraId="690AB06F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*Kryobehandling av retina</w:t>
      </w:r>
    </w:p>
    <w:p w14:paraId="5A1F8975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*Inflammation</w:t>
      </w:r>
    </w:p>
    <w:p w14:paraId="06E9465E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*Ett öga eller båda</w:t>
      </w:r>
    </w:p>
    <w:p w14:paraId="3E3D371A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*Mer progress jämfört med primärt epiretinalt membran</w:t>
      </w:r>
    </w:p>
    <w:p w14:paraId="4D77A7B4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02697445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C751A3">
        <w:rPr>
          <w:rFonts w:ascii="Arial" w:hAnsi="Arial" w:cs="Arial"/>
          <w:b/>
          <w:sz w:val="26"/>
          <w:szCs w:val="26"/>
        </w:rPr>
        <w:t>Diagnos:</w:t>
      </w:r>
    </w:p>
    <w:p w14:paraId="229E204F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*Anamnes, metamorfopsi, synnedsättning.</w:t>
      </w:r>
    </w:p>
    <w:p w14:paraId="274A34BE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*Klinisk undersökning ögonbotten</w:t>
      </w:r>
    </w:p>
    <w:p w14:paraId="64D636C9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szCs w:val="20"/>
        </w:rPr>
        <w:t>*OCT</w:t>
      </w:r>
    </w:p>
    <w:p w14:paraId="0900AE17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7A235F80" w14:textId="70F5907A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  <w:r w:rsidRPr="00C751A3">
        <w:rPr>
          <w:noProof/>
          <w:szCs w:val="20"/>
        </w:rPr>
        <w:lastRenderedPageBreak/>
        <w:drawing>
          <wp:inline distT="0" distB="0" distL="0" distR="0" wp14:anchorId="18243142" wp14:editId="61F78D53">
            <wp:extent cx="2819400" cy="2362200"/>
            <wp:effectExtent l="0" t="0" r="0" b="0"/>
            <wp:docPr id="5" name="Picture 5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tshållare för innehåll 3"/>
                    <pic:cNvPicPr>
                      <a:picLocks noGrp="1"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9400" cy="236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13A5B7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1EC92CD5" w14:textId="77777777" w:rsidR="00C751A3" w:rsidRPr="00C751A3" w:rsidRDefault="00C751A3" w:rsidP="00C751A3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C751A3">
        <w:rPr>
          <w:rFonts w:ascii="Arial Fet" w:hAnsi="Arial Fet" w:cs="Arial"/>
          <w:b/>
          <w:bCs/>
          <w:szCs w:val="26"/>
        </w:rPr>
        <w:t xml:space="preserve"> </w:t>
      </w:r>
    </w:p>
    <w:p w14:paraId="26C9A892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21549D91" w14:textId="59A7F858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drawing>
          <wp:inline distT="0" distB="0" distL="0" distR="0" wp14:anchorId="3F827BAE" wp14:editId="40495E00">
            <wp:extent cx="2981325" cy="2571750"/>
            <wp:effectExtent l="0" t="0" r="9525" b="0"/>
            <wp:docPr id="3" name="Picture 3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Grp="1"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2571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2D83D0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5B26AEFB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7613CD04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70ACF9A0" w14:textId="295157B8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lastRenderedPageBreak/>
        <w:drawing>
          <wp:inline distT="0" distB="0" distL="0" distR="0" wp14:anchorId="0BCF9FBA" wp14:editId="2E55B6C4">
            <wp:extent cx="4895850" cy="3619500"/>
            <wp:effectExtent l="0" t="0" r="0" b="0"/>
            <wp:docPr id="2" name="Picture 2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Grp="1"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F173F9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67FAF33E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21527EEC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74DBDEB3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31FB775C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171EC17E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11F1B3AD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0086B078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4A2C9D0C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2C91AAB5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6B4E9C6C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p w14:paraId="41D3BDB1" w14:textId="7F9D9D14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lastRenderedPageBreak/>
        <w:drawing>
          <wp:inline distT="0" distB="0" distL="0" distR="0" wp14:anchorId="372F4A0F" wp14:editId="7C91C774">
            <wp:extent cx="5048250" cy="3371850"/>
            <wp:effectExtent l="0" t="0" r="0" b="0"/>
            <wp:docPr id="1" name="Picture 1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Grp="1"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0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0FCD9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539110F5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7F447838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noProof/>
          <w:sz w:val="26"/>
          <w:szCs w:val="26"/>
        </w:rPr>
      </w:pPr>
      <w:r w:rsidRPr="00C751A3">
        <w:rPr>
          <w:rFonts w:ascii="Arial" w:hAnsi="Arial" w:cs="Arial"/>
          <w:b/>
          <w:noProof/>
          <w:sz w:val="26"/>
          <w:szCs w:val="26"/>
        </w:rPr>
        <w:t>Behandling:</w:t>
      </w:r>
    </w:p>
    <w:p w14:paraId="00C4E7CC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t>*Kirurgi, remiss till Mölndal!</w:t>
      </w:r>
    </w:p>
    <w:p w14:paraId="1CFD1C82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t>*Expektans, besvärsfri, ej binokulära besvär. Patienten ej intresserad av kirurgi, avsluta kontroller. Information till patienten att höra av sig vid behov.</w:t>
      </w:r>
    </w:p>
    <w:p w14:paraId="353B5ED3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41B1A174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noProof/>
          <w:sz w:val="26"/>
          <w:szCs w:val="26"/>
        </w:rPr>
      </w:pPr>
      <w:r w:rsidRPr="00C751A3">
        <w:rPr>
          <w:rFonts w:ascii="Arial" w:hAnsi="Arial" w:cs="Arial"/>
          <w:b/>
          <w:noProof/>
          <w:sz w:val="26"/>
          <w:szCs w:val="26"/>
        </w:rPr>
        <w:t>Uppföljning:</w:t>
      </w:r>
    </w:p>
    <w:p w14:paraId="568BA456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t xml:space="preserve">Ingen uppföljning ska planeras, utan noggrann information till patienten om att höra av sig vid försämring. </w:t>
      </w:r>
    </w:p>
    <w:p w14:paraId="462C5A72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2E96B423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</w:p>
    <w:p w14:paraId="66896BB1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noProof/>
          <w:sz w:val="26"/>
          <w:szCs w:val="26"/>
        </w:rPr>
      </w:pPr>
    </w:p>
    <w:p w14:paraId="40F5625B" w14:textId="77777777" w:rsidR="00C751A3" w:rsidRPr="00C751A3" w:rsidRDefault="00C751A3" w:rsidP="00C751A3">
      <w:pPr>
        <w:spacing w:after="0" w:line="240" w:lineRule="auto"/>
        <w:ind w:left="0" w:right="0"/>
        <w:rPr>
          <w:rFonts w:ascii="Arial" w:hAnsi="Arial" w:cs="Arial"/>
          <w:b/>
          <w:noProof/>
          <w:sz w:val="26"/>
          <w:szCs w:val="26"/>
        </w:rPr>
      </w:pPr>
      <w:r w:rsidRPr="00C751A3">
        <w:rPr>
          <w:rFonts w:ascii="Arial" w:hAnsi="Arial" w:cs="Arial"/>
          <w:b/>
          <w:noProof/>
          <w:sz w:val="26"/>
          <w:szCs w:val="26"/>
        </w:rPr>
        <w:t>Referenser:</w:t>
      </w:r>
    </w:p>
    <w:p w14:paraId="20CB1CF8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t>Kanski online version.</w:t>
      </w:r>
    </w:p>
    <w:p w14:paraId="2B231CC1" w14:textId="77777777" w:rsidR="00C751A3" w:rsidRPr="00C751A3" w:rsidRDefault="00C751A3" w:rsidP="00C751A3">
      <w:pPr>
        <w:spacing w:after="0" w:line="240" w:lineRule="auto"/>
        <w:ind w:left="0" w:right="0"/>
        <w:rPr>
          <w:noProof/>
          <w:szCs w:val="20"/>
        </w:rPr>
      </w:pPr>
      <w:r w:rsidRPr="00C751A3">
        <w:rPr>
          <w:noProof/>
          <w:szCs w:val="20"/>
        </w:rPr>
        <w:t>BCSC, Retina and Vitreos, vol 12, 2019-2020.</w:t>
      </w:r>
    </w:p>
    <w:p w14:paraId="7D12D69A" w14:textId="77777777" w:rsidR="00C751A3" w:rsidRPr="00C751A3" w:rsidRDefault="00C751A3" w:rsidP="00C751A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751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0830321">
    <w:abstractNumId w:val="17"/>
  </w:num>
  <w:num w:numId="2" w16cid:durableId="1785075267">
    <w:abstractNumId w:val="14"/>
  </w:num>
  <w:num w:numId="3" w16cid:durableId="688289693">
    <w:abstractNumId w:val="0"/>
  </w:num>
  <w:num w:numId="4" w16cid:durableId="2038579005">
    <w:abstractNumId w:val="6"/>
  </w:num>
  <w:num w:numId="5" w16cid:durableId="275137277">
    <w:abstractNumId w:val="15"/>
  </w:num>
  <w:num w:numId="6" w16cid:durableId="109664369">
    <w:abstractNumId w:val="2"/>
  </w:num>
  <w:num w:numId="7" w16cid:durableId="594636996">
    <w:abstractNumId w:val="11"/>
  </w:num>
  <w:num w:numId="8" w16cid:durableId="1465809941">
    <w:abstractNumId w:val="8"/>
  </w:num>
  <w:num w:numId="9" w16cid:durableId="1852179950">
    <w:abstractNumId w:val="1"/>
  </w:num>
  <w:num w:numId="10" w16cid:durableId="1465200788">
    <w:abstractNumId w:val="1"/>
  </w:num>
  <w:num w:numId="11" w16cid:durableId="1928686440">
    <w:abstractNumId w:val="3"/>
  </w:num>
  <w:num w:numId="12" w16cid:durableId="2062554423">
    <w:abstractNumId w:val="4"/>
  </w:num>
  <w:num w:numId="13" w16cid:durableId="643315987">
    <w:abstractNumId w:val="13"/>
  </w:num>
  <w:num w:numId="14" w16cid:durableId="618606624">
    <w:abstractNumId w:val="9"/>
  </w:num>
  <w:num w:numId="15" w16cid:durableId="1262447165">
    <w:abstractNumId w:val="7"/>
  </w:num>
  <w:num w:numId="16" w16cid:durableId="898977968">
    <w:abstractNumId w:val="12"/>
  </w:num>
  <w:num w:numId="17" w16cid:durableId="759370475">
    <w:abstractNumId w:val="5"/>
  </w:num>
  <w:num w:numId="18" w16cid:durableId="216092873">
    <w:abstractNumId w:val="10"/>
  </w:num>
  <w:num w:numId="19" w16cid:durableId="14332394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1A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theme" Target="theme/theme1.xml" Id="rId22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4</Pages>
  <Words>155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Epiretinalt membran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2022-05-12T03:40:00.0000000Z</dcterms:created>
  <dcterms:modified xsi:type="dcterms:W3CDTF">2022-05-12T03:40:00.0000000Z</dcterms:modified>
</coreProperties>
</file>