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CCC4D" w14:textId="77777777" w:rsidR="00242076" w:rsidRDefault="00242076" w:rsidP="00F35B05">
      <w:pPr>
        <w:pStyle w:val="Rubrik2"/>
        <w:sectPr w:rsidR="00242076" w:rsidSect="002420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8F88C9" w14:textId="77777777" w:rsidR="00242076" w:rsidRPr="00242076" w:rsidRDefault="00242076" w:rsidP="00242076">
      <w:pPr>
        <w:spacing w:after="0" w:line="240" w:lineRule="auto"/>
        <w:ind w:left="0" w:right="0"/>
        <w:rPr>
          <w:szCs w:val="20"/>
        </w:rPr>
      </w:pPr>
    </w:p>
    <w:p w14:paraId="4D7F7623" w14:textId="77777777" w:rsidR="00242076" w:rsidRPr="00242076" w:rsidRDefault="00242076" w:rsidP="00242076">
      <w:pPr>
        <w:spacing w:after="0" w:line="240" w:lineRule="auto"/>
        <w:ind w:left="0" w:right="0"/>
        <w:rPr>
          <w:szCs w:val="20"/>
        </w:rPr>
      </w:pPr>
    </w:p>
    <w:p w14:paraId="2DE404F1" w14:textId="77777777" w:rsidR="00242076" w:rsidRPr="00242076" w:rsidRDefault="00242076" w:rsidP="0024207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42076">
        <w:rPr>
          <w:szCs w:val="20"/>
        </w:rPr>
        <w:tab/>
      </w:r>
    </w:p>
    <w:p w14:paraId="1F9E5E6E" w14:textId="3CB3B1EC" w:rsidR="00242076" w:rsidRPr="00242076" w:rsidRDefault="00242076" w:rsidP="00242076">
      <w:pPr>
        <w:spacing w:after="0" w:line="240" w:lineRule="auto"/>
        <w:ind w:left="0" w:right="0"/>
        <w:rPr>
          <w:szCs w:val="20"/>
        </w:rPr>
      </w:pPr>
      <w:r w:rsidRPr="0024207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CB6C11" wp14:editId="54AE45A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FD72E3" w14:textId="77777777" w:rsidR="00242076" w:rsidRPr="003D37FD" w:rsidRDefault="00242076" w:rsidP="0024207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19843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FCB6C1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9FD72E3" w14:textId="77777777" w:rsidR="00242076" w:rsidRPr="003D37FD" w:rsidRDefault="00242076" w:rsidP="0024207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19843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42076" w:rsidRPr="00242076" w14:paraId="2C86234E" w14:textId="77777777" w:rsidTr="004C062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9996360" w14:textId="77777777" w:rsidR="00242076" w:rsidRPr="00826E3A" w:rsidRDefault="00242076" w:rsidP="00826E3A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826E3A">
              <w:rPr>
                <w:b/>
                <w:bCs w:val="0"/>
                <w:noProof/>
              </w:rPr>
              <w:t>Antibiotikaprofylax vid tandvårdsingrepp på patient med ledprotes</w:t>
            </w:r>
          </w:p>
        </w:tc>
      </w:tr>
    </w:tbl>
    <w:p w14:paraId="3105417A" w14:textId="77777777" w:rsidR="00242076" w:rsidRPr="00826E3A" w:rsidRDefault="00242076" w:rsidP="00C868CE">
      <w:pPr>
        <w:pStyle w:val="Rubrik3"/>
        <w:ind w:left="0"/>
        <w:rPr>
          <w:b/>
          <w:bCs w:val="0"/>
        </w:rPr>
      </w:pPr>
      <w:bookmarkStart w:id="3" w:name="_Toc501440349"/>
      <w:r w:rsidRPr="00826E3A">
        <w:rPr>
          <w:b/>
          <w:bCs w:val="0"/>
        </w:rPr>
        <w:t>Revidering i denna versi</w:t>
      </w:r>
      <w:bookmarkEnd w:id="3"/>
      <w:r w:rsidRPr="00826E3A">
        <w:rPr>
          <w:b/>
          <w:bCs w:val="0"/>
        </w:rPr>
        <w:t>on</w:t>
      </w:r>
    </w:p>
    <w:p w14:paraId="31ADAC81" w14:textId="4A7F8CBA" w:rsidR="00242076" w:rsidRPr="00242076" w:rsidRDefault="00BB3758" w:rsidP="00242076">
      <w:pPr>
        <w:spacing w:after="0" w:line="240" w:lineRule="auto"/>
        <w:ind w:left="0" w:right="-1135"/>
        <w:rPr>
          <w:szCs w:val="20"/>
        </w:rPr>
      </w:pPr>
      <w:r>
        <w:rPr>
          <w:szCs w:val="20"/>
        </w:rPr>
        <w:t xml:space="preserve">Ingen revidering i denna version, endast förlängd </w:t>
      </w:r>
      <w:r w:rsidR="00553392">
        <w:rPr>
          <w:szCs w:val="20"/>
        </w:rPr>
        <w:t xml:space="preserve">giltighetstid. </w:t>
      </w:r>
    </w:p>
    <w:p w14:paraId="6EBF99C4" w14:textId="77777777" w:rsidR="00242076" w:rsidRPr="00242076" w:rsidRDefault="00242076" w:rsidP="00242076">
      <w:pPr>
        <w:keepNext/>
        <w:spacing w:before="240" w:after="60" w:line="240" w:lineRule="auto"/>
        <w:ind w:left="0" w:right="-1135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C868CE">
        <w:rPr>
          <w:rStyle w:val="Rubrik2Char"/>
          <w:b/>
          <w:bCs w:val="0"/>
        </w:rPr>
        <w:t>Bakgrund</w:t>
      </w:r>
      <w:r w:rsidRPr="00242076">
        <w:rPr>
          <w:rFonts w:ascii="Arial" w:hAnsi="Arial" w:cs="Arial"/>
          <w:b/>
          <w:bCs/>
          <w:iCs/>
          <w:sz w:val="26"/>
          <w:szCs w:val="28"/>
        </w:rPr>
        <w:br/>
      </w:r>
      <w:r w:rsidRPr="00242076">
        <w:rPr>
          <w:rFonts w:cs="Arial"/>
          <w:iCs/>
          <w:szCs w:val="28"/>
        </w:rPr>
        <w:t>Protesnära infektion drabbar några procent av alla patienter med ledprotes. Vid cirka 5 % av dessa fall är bakterien som orsakar infektionen härledbar från munhålans bakterieflora. Även i de fall där ledprotesinfektionen uppstått med bakterier som återfinns i munnens normalflora, är det mer sannolikt att dessa bakterier sprids spontant än av tandvården i sig. Ingen vetenskaplig studie finns som stödjer bruket av antibiotikaprofylax vid tandvård som generell åtgärd. Våra riktlinjer följer Läkemedelsverkets rekommendationer, vilket innebär följande.</w:t>
      </w:r>
    </w:p>
    <w:p w14:paraId="477AEA4A" w14:textId="77777777" w:rsidR="00242076" w:rsidRPr="00242076" w:rsidRDefault="00242076" w:rsidP="00242076">
      <w:pPr>
        <w:keepNext/>
        <w:spacing w:before="240" w:after="60" w:line="240" w:lineRule="auto"/>
        <w:ind w:left="0" w:right="-1135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C868CE">
        <w:rPr>
          <w:rStyle w:val="Rubrik2Char"/>
          <w:b/>
          <w:bCs w:val="0"/>
        </w:rPr>
        <w:t>Syfte</w:t>
      </w:r>
      <w:r w:rsidRPr="00242076">
        <w:rPr>
          <w:rFonts w:ascii="Arial" w:hAnsi="Arial" w:cs="Arial"/>
          <w:b/>
          <w:bCs/>
          <w:iCs/>
          <w:sz w:val="26"/>
          <w:szCs w:val="28"/>
        </w:rPr>
        <w:br/>
      </w:r>
      <w:r w:rsidRPr="00242076">
        <w:rPr>
          <w:bCs/>
          <w:iCs/>
        </w:rPr>
        <w:t xml:space="preserve">Att beskriva de fall där </w:t>
      </w:r>
      <w:proofErr w:type="gramStart"/>
      <w:r w:rsidRPr="00242076">
        <w:rPr>
          <w:bCs/>
          <w:iCs/>
        </w:rPr>
        <w:t>profylaktisk antibiotika</w:t>
      </w:r>
      <w:proofErr w:type="gramEnd"/>
      <w:r w:rsidRPr="00242076">
        <w:rPr>
          <w:bCs/>
          <w:iCs/>
        </w:rPr>
        <w:t xml:space="preserve"> ska ges hos patient med ledprotes inför vissa tandvårdsingrepp.</w:t>
      </w:r>
      <w:r w:rsidRPr="00242076">
        <w:rPr>
          <w:rFonts w:ascii="Arial" w:hAnsi="Arial" w:cs="Arial"/>
          <w:b/>
          <w:bCs/>
          <w:iCs/>
          <w:sz w:val="26"/>
          <w:szCs w:val="28"/>
        </w:rPr>
        <w:br/>
      </w:r>
      <w:r w:rsidRPr="00242076">
        <w:rPr>
          <w:rFonts w:ascii="Arial" w:hAnsi="Arial" w:cs="Arial"/>
          <w:b/>
          <w:bCs/>
          <w:iCs/>
          <w:sz w:val="26"/>
          <w:szCs w:val="28"/>
        </w:rPr>
        <w:br/>
      </w:r>
      <w:r w:rsidRPr="00C868CE">
        <w:rPr>
          <w:rStyle w:val="Rubrik2Char"/>
          <w:b/>
          <w:bCs w:val="0"/>
        </w:rPr>
        <w:t>Vilka berörs</w:t>
      </w:r>
      <w:r w:rsidRPr="00242076">
        <w:rPr>
          <w:rFonts w:ascii="Arial" w:hAnsi="Arial" w:cs="Arial"/>
          <w:b/>
          <w:bCs/>
          <w:iCs/>
          <w:sz w:val="26"/>
          <w:szCs w:val="28"/>
        </w:rPr>
        <w:br/>
      </w:r>
      <w:r w:rsidRPr="00242076">
        <w:rPr>
          <w:bCs/>
          <w:iCs/>
        </w:rPr>
        <w:t>Ortopedkliniken</w:t>
      </w:r>
      <w:r w:rsidRPr="00242076">
        <w:rPr>
          <w:bCs/>
          <w:iCs/>
        </w:rPr>
        <w:br/>
      </w:r>
      <w:r w:rsidRPr="00242076">
        <w:rPr>
          <w:rFonts w:ascii="Arial" w:hAnsi="Arial" w:cs="Arial"/>
          <w:b/>
          <w:bCs/>
          <w:iCs/>
          <w:szCs w:val="28"/>
        </w:rPr>
        <w:br/>
      </w:r>
      <w:r w:rsidRPr="00C868CE">
        <w:rPr>
          <w:rStyle w:val="Rubrik3Char"/>
          <w:b/>
          <w:bCs w:val="0"/>
        </w:rPr>
        <w:t>Rekommendationer</w:t>
      </w:r>
      <w:r w:rsidRPr="00242076">
        <w:rPr>
          <w:rFonts w:ascii="Arial" w:hAnsi="Arial" w:cs="Arial"/>
          <w:b/>
          <w:bCs/>
          <w:iCs/>
          <w:sz w:val="26"/>
          <w:szCs w:val="28"/>
        </w:rPr>
        <w:br/>
      </w:r>
      <w:r w:rsidRPr="00242076">
        <w:rPr>
          <w:rFonts w:cs="Arial"/>
          <w:iCs/>
          <w:szCs w:val="28"/>
        </w:rPr>
        <w:t xml:space="preserve">Grundläggande och enskilt viktigast är att patienten har en god munhygien. </w:t>
      </w:r>
      <w:r w:rsidRPr="00242076">
        <w:rPr>
          <w:rFonts w:cs="Arial"/>
          <w:iCs/>
          <w:szCs w:val="28"/>
        </w:rPr>
        <w:br/>
        <w:t xml:space="preserve">I normalfallet behöver ej antibiotikaprofylax ges vid tandvård hos patient med ledprotes. </w:t>
      </w:r>
      <w:r w:rsidRPr="00242076">
        <w:rPr>
          <w:rFonts w:cs="Arial"/>
          <w:iCs/>
          <w:szCs w:val="28"/>
        </w:rPr>
        <w:br/>
      </w:r>
      <w:r w:rsidRPr="00242076">
        <w:rPr>
          <w:rFonts w:cs="Arial"/>
          <w:iCs/>
          <w:szCs w:val="28"/>
        </w:rPr>
        <w:br/>
      </w:r>
      <w:r w:rsidRPr="00242076">
        <w:rPr>
          <w:rFonts w:cs="Arial"/>
          <w:b/>
          <w:iCs/>
          <w:szCs w:val="28"/>
        </w:rPr>
        <w:t>Vid vilka tandvårdsingrepp kan det vara aktuellt med antibiotika till patient med led</w:t>
      </w:r>
      <w:r w:rsidRPr="00242076">
        <w:rPr>
          <w:rFonts w:cs="Arial"/>
          <w:b/>
          <w:iCs/>
          <w:szCs w:val="28"/>
        </w:rPr>
        <w:softHyphen/>
        <w:t>protes?</w:t>
      </w:r>
    </w:p>
    <w:p w14:paraId="517AFCE9" w14:textId="77777777" w:rsidR="00242076" w:rsidRPr="00242076" w:rsidRDefault="00242076" w:rsidP="00242076">
      <w:pPr>
        <w:numPr>
          <w:ilvl w:val="0"/>
          <w:numId w:val="20"/>
        </w:numPr>
        <w:spacing w:after="0" w:line="240" w:lineRule="auto"/>
        <w:ind w:right="-1135"/>
        <w:rPr>
          <w:szCs w:val="20"/>
        </w:rPr>
      </w:pPr>
      <w:r w:rsidRPr="00242076">
        <w:rPr>
          <w:szCs w:val="20"/>
        </w:rPr>
        <w:t>Tandextraktion</w:t>
      </w:r>
    </w:p>
    <w:p w14:paraId="7645634A" w14:textId="77777777" w:rsidR="00242076" w:rsidRPr="00242076" w:rsidRDefault="00242076" w:rsidP="00242076">
      <w:pPr>
        <w:numPr>
          <w:ilvl w:val="0"/>
          <w:numId w:val="20"/>
        </w:numPr>
        <w:spacing w:after="0" w:line="240" w:lineRule="auto"/>
        <w:ind w:right="-1135"/>
        <w:rPr>
          <w:szCs w:val="20"/>
        </w:rPr>
      </w:pPr>
      <w:r w:rsidRPr="00242076">
        <w:rPr>
          <w:szCs w:val="20"/>
        </w:rPr>
        <w:t>Tandstensskrapning</w:t>
      </w:r>
    </w:p>
    <w:p w14:paraId="5EFEF642" w14:textId="77777777" w:rsidR="00242076" w:rsidRPr="00242076" w:rsidRDefault="00242076" w:rsidP="00242076">
      <w:pPr>
        <w:numPr>
          <w:ilvl w:val="0"/>
          <w:numId w:val="20"/>
        </w:numPr>
        <w:spacing w:after="0" w:line="240" w:lineRule="auto"/>
        <w:ind w:right="-1135"/>
        <w:rPr>
          <w:szCs w:val="20"/>
        </w:rPr>
      </w:pPr>
      <w:r w:rsidRPr="00242076">
        <w:rPr>
          <w:szCs w:val="20"/>
        </w:rPr>
        <w:t>Oral kirurgi</w:t>
      </w:r>
    </w:p>
    <w:p w14:paraId="763A1CDD" w14:textId="77777777" w:rsidR="00242076" w:rsidRPr="00242076" w:rsidRDefault="00242076" w:rsidP="00242076">
      <w:pPr>
        <w:spacing w:after="0" w:line="240" w:lineRule="auto"/>
        <w:ind w:left="0" w:right="-1135"/>
        <w:rPr>
          <w:b/>
          <w:szCs w:val="20"/>
        </w:rPr>
      </w:pPr>
      <w:r w:rsidRPr="00242076">
        <w:rPr>
          <w:szCs w:val="20"/>
        </w:rPr>
        <w:lastRenderedPageBreak/>
        <w:br/>
      </w:r>
      <w:r w:rsidRPr="00242076">
        <w:rPr>
          <w:b/>
          <w:szCs w:val="20"/>
        </w:rPr>
        <w:t>För vilka patientgrupper är det aktuellt med antibiotika vid ovanstående ingrepp?</w:t>
      </w:r>
    </w:p>
    <w:p w14:paraId="2E7230CA" w14:textId="77777777" w:rsidR="00242076" w:rsidRPr="00242076" w:rsidRDefault="00242076" w:rsidP="00242076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r w:rsidRPr="00242076">
        <w:rPr>
          <w:szCs w:val="20"/>
        </w:rPr>
        <w:t>Nyopererad patient, d.v.s. patient som genomgått ledprotesoperation inom tre månader.</w:t>
      </w:r>
    </w:p>
    <w:p w14:paraId="6DC67B70" w14:textId="77777777" w:rsidR="00242076" w:rsidRPr="00242076" w:rsidRDefault="00242076" w:rsidP="00242076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r w:rsidRPr="00242076">
        <w:rPr>
          <w:szCs w:val="20"/>
        </w:rPr>
        <w:t>Tre eller fler av nedanstående riskfaktorer:</w:t>
      </w:r>
      <w:r w:rsidRPr="00242076">
        <w:rPr>
          <w:szCs w:val="20"/>
        </w:rPr>
        <w:br/>
        <w:t>- övervikt, BMI &gt;35</w:t>
      </w:r>
      <w:r w:rsidRPr="00242076">
        <w:rPr>
          <w:szCs w:val="20"/>
        </w:rPr>
        <w:br/>
        <w:t>- rökare</w:t>
      </w:r>
      <w:r w:rsidRPr="00242076">
        <w:rPr>
          <w:szCs w:val="20"/>
        </w:rPr>
        <w:br/>
        <w:t>- anemi</w:t>
      </w:r>
      <w:r w:rsidRPr="00242076">
        <w:rPr>
          <w:szCs w:val="20"/>
        </w:rPr>
        <w:br/>
        <w:t xml:space="preserve">- dålig munhälsa, </w:t>
      </w:r>
      <w:proofErr w:type="gramStart"/>
      <w:r w:rsidRPr="00242076">
        <w:rPr>
          <w:szCs w:val="20"/>
        </w:rPr>
        <w:t>dåligt tandstatus</w:t>
      </w:r>
      <w:proofErr w:type="gramEnd"/>
      <w:r w:rsidRPr="00242076">
        <w:rPr>
          <w:szCs w:val="20"/>
        </w:rPr>
        <w:br/>
        <w:t>- känd immunbrist</w:t>
      </w:r>
      <w:r w:rsidRPr="00242076">
        <w:rPr>
          <w:szCs w:val="20"/>
        </w:rPr>
        <w:br/>
        <w:t>- ASA III eller IV</w:t>
      </w:r>
      <w:r w:rsidRPr="00242076">
        <w:rPr>
          <w:szCs w:val="20"/>
        </w:rPr>
        <w:br/>
        <w:t>- ålder över 80 år</w:t>
      </w:r>
      <w:r w:rsidRPr="00242076">
        <w:rPr>
          <w:szCs w:val="20"/>
        </w:rPr>
        <w:br/>
        <w:t xml:space="preserve">- långvariga </w:t>
      </w:r>
      <w:proofErr w:type="spellStart"/>
      <w:r w:rsidRPr="00242076">
        <w:rPr>
          <w:szCs w:val="20"/>
        </w:rPr>
        <w:t>käkingrepp</w:t>
      </w:r>
      <w:proofErr w:type="spellEnd"/>
    </w:p>
    <w:p w14:paraId="727A7185" w14:textId="77777777" w:rsidR="00242076" w:rsidRPr="00242076" w:rsidRDefault="00242076" w:rsidP="00242076">
      <w:pPr>
        <w:spacing w:after="0" w:line="240" w:lineRule="auto"/>
        <w:ind w:left="0" w:right="-1135"/>
        <w:rPr>
          <w:szCs w:val="20"/>
        </w:rPr>
      </w:pPr>
    </w:p>
    <w:p w14:paraId="5E61E2A4" w14:textId="77777777" w:rsidR="00242076" w:rsidRPr="00C868CE" w:rsidRDefault="00242076" w:rsidP="00C868CE">
      <w:pPr>
        <w:pStyle w:val="Rubrik3"/>
        <w:ind w:left="0"/>
        <w:rPr>
          <w:b/>
          <w:bCs w:val="0"/>
        </w:rPr>
      </w:pPr>
      <w:r w:rsidRPr="00C868CE">
        <w:rPr>
          <w:b/>
          <w:bCs w:val="0"/>
        </w:rPr>
        <w:t>Preparat och dosering</w:t>
      </w:r>
    </w:p>
    <w:p w14:paraId="6C4099FF" w14:textId="2030C489" w:rsidR="00242076" w:rsidRPr="00242076" w:rsidRDefault="00242076" w:rsidP="00242076">
      <w:pPr>
        <w:spacing w:after="0" w:line="240" w:lineRule="auto"/>
        <w:ind w:left="0" w:right="-1135"/>
        <w:rPr>
          <w:szCs w:val="20"/>
        </w:rPr>
      </w:pPr>
      <w:r w:rsidRPr="00242076">
        <w:rPr>
          <w:rFonts w:cs="Arial"/>
          <w:iCs/>
          <w:szCs w:val="28"/>
        </w:rPr>
        <w:t xml:space="preserve">I normalfallet till vuxen patient ges tablett </w:t>
      </w:r>
      <w:proofErr w:type="spellStart"/>
      <w:r w:rsidRPr="00242076">
        <w:rPr>
          <w:rFonts w:cs="Arial"/>
          <w:iCs/>
          <w:szCs w:val="28"/>
        </w:rPr>
        <w:t>Amoxicillin</w:t>
      </w:r>
      <w:proofErr w:type="spellEnd"/>
      <w:r w:rsidRPr="00242076">
        <w:rPr>
          <w:rFonts w:cs="Arial"/>
          <w:iCs/>
          <w:szCs w:val="28"/>
        </w:rPr>
        <w:t xml:space="preserve"> 2 g, en timma innan ingrepp, som engångsdos. </w:t>
      </w:r>
      <w:r w:rsidRPr="00242076">
        <w:rPr>
          <w:rFonts w:cs="Arial"/>
          <w:iCs/>
          <w:szCs w:val="28"/>
        </w:rPr>
        <w:br/>
        <w:t xml:space="preserve">Föreligger pc-allergi hos vuxen patient ges kapsel </w:t>
      </w:r>
      <w:proofErr w:type="spellStart"/>
      <w:r w:rsidRPr="00242076">
        <w:rPr>
          <w:rFonts w:cs="Arial"/>
          <w:iCs/>
          <w:szCs w:val="28"/>
        </w:rPr>
        <w:t>Klindamycin</w:t>
      </w:r>
      <w:proofErr w:type="spellEnd"/>
      <w:r w:rsidRPr="00242076">
        <w:rPr>
          <w:rFonts w:cs="Arial"/>
          <w:iCs/>
          <w:szCs w:val="28"/>
        </w:rPr>
        <w:t xml:space="preserve"> 600 mg, en timma innan ingrepp, som engångsdos. </w:t>
      </w:r>
      <w:r w:rsidRPr="00242076">
        <w:rPr>
          <w:rFonts w:cs="Arial"/>
          <w:iCs/>
          <w:szCs w:val="28"/>
        </w:rPr>
        <w:br/>
      </w:r>
      <w:r w:rsidRPr="00242076">
        <w:rPr>
          <w:rFonts w:cs="Arial"/>
          <w:iCs/>
          <w:szCs w:val="28"/>
        </w:rPr>
        <w:br/>
        <w:t>Referens:</w:t>
      </w:r>
      <w:r w:rsidRPr="00242076">
        <w:rPr>
          <w:rFonts w:cs="Arial"/>
          <w:iCs/>
          <w:szCs w:val="28"/>
        </w:rPr>
        <w:br/>
      </w:r>
      <w:hyperlink r:id="rId17" w:history="1">
        <w:r w:rsidRPr="00242076">
          <w:rPr>
            <w:color w:val="0000FF"/>
            <w:szCs w:val="20"/>
            <w:u w:val="single"/>
          </w:rPr>
          <w:t>http://www.lakemedelsverket.se/malgrupp/Halso---sjukvard/Behandlings--rekommendationer/Behandlingsrekommendation---listan/-Antibiotikaprofylax-i-tandvarden/</w:t>
        </w:r>
      </w:hyperlink>
    </w:p>
    <w:p w14:paraId="0560C579" w14:textId="77777777" w:rsidR="00242076" w:rsidRPr="00242076" w:rsidRDefault="00242076" w:rsidP="00242076">
      <w:pPr>
        <w:keepNext/>
        <w:spacing w:before="240" w:after="60" w:line="240" w:lineRule="auto"/>
        <w:ind w:left="0" w:right="-1135"/>
        <w:outlineLvl w:val="1"/>
        <w:rPr>
          <w:rFonts w:ascii="Arial" w:hAnsi="Arial" w:cs="Arial"/>
        </w:rPr>
      </w:pPr>
    </w:p>
    <w:p w14:paraId="6C8473EB" w14:textId="77777777" w:rsidR="00242076" w:rsidRPr="00242076" w:rsidRDefault="00242076" w:rsidP="00242076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420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93E91E" w14:textId="77777777" w:rsidR="00791BD7" w:rsidRDefault="00791BD7">
      <w:r>
        <w:separator/>
      </w:r>
    </w:p>
  </w:endnote>
  <w:endnote w:type="continuationSeparator" w:id="0">
    <w:p w14:paraId="67648286" w14:textId="77777777" w:rsidR="00791BD7" w:rsidRDefault="00791BD7">
      <w:r>
        <w:continuationSeparator/>
      </w:r>
    </w:p>
  </w:endnote>
  <w:endnote w:type="continuationNotice" w:id="1">
    <w:p w14:paraId="3BCA8B68" w14:textId="77777777" w:rsidR="00791BD7" w:rsidRDefault="00791BD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4B94C2" w14:textId="77777777" w:rsidR="00791BD7" w:rsidRDefault="00791BD7"/>
  </w:footnote>
  <w:footnote w:type="continuationSeparator" w:id="0">
    <w:p w14:paraId="2F727F8A" w14:textId="77777777" w:rsidR="00791BD7" w:rsidRDefault="00791BD7">
      <w:r>
        <w:continuationSeparator/>
      </w:r>
    </w:p>
  </w:footnote>
  <w:footnote w:type="continuationNotice" w:id="1">
    <w:p w14:paraId="76726DE6" w14:textId="77777777" w:rsidR="00791BD7" w:rsidRDefault="00791BD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9255CF"/>
    <w:multiLevelType w:val="hybridMultilevel"/>
    <w:tmpl w:val="68B440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47A14A0"/>
    <w:multiLevelType w:val="hybridMultilevel"/>
    <w:tmpl w:val="079664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4945846">
    <w:abstractNumId w:val="19"/>
  </w:num>
  <w:num w:numId="2" w16cid:durableId="975842141">
    <w:abstractNumId w:val="16"/>
  </w:num>
  <w:num w:numId="3" w16cid:durableId="1321034907">
    <w:abstractNumId w:val="0"/>
  </w:num>
  <w:num w:numId="4" w16cid:durableId="874536970">
    <w:abstractNumId w:val="6"/>
  </w:num>
  <w:num w:numId="5" w16cid:durableId="163858940">
    <w:abstractNumId w:val="17"/>
  </w:num>
  <w:num w:numId="6" w16cid:durableId="608046987">
    <w:abstractNumId w:val="2"/>
  </w:num>
  <w:num w:numId="7" w16cid:durableId="195512421">
    <w:abstractNumId w:val="12"/>
  </w:num>
  <w:num w:numId="8" w16cid:durableId="548541623">
    <w:abstractNumId w:val="8"/>
  </w:num>
  <w:num w:numId="9" w16cid:durableId="321810800">
    <w:abstractNumId w:val="1"/>
  </w:num>
  <w:num w:numId="10" w16cid:durableId="115216460">
    <w:abstractNumId w:val="1"/>
  </w:num>
  <w:num w:numId="11" w16cid:durableId="1642687700">
    <w:abstractNumId w:val="3"/>
  </w:num>
  <w:num w:numId="12" w16cid:durableId="282733885">
    <w:abstractNumId w:val="4"/>
  </w:num>
  <w:num w:numId="13" w16cid:durableId="1517428358">
    <w:abstractNumId w:val="14"/>
  </w:num>
  <w:num w:numId="14" w16cid:durableId="780492219">
    <w:abstractNumId w:val="10"/>
  </w:num>
  <w:num w:numId="15" w16cid:durableId="1799184082">
    <w:abstractNumId w:val="7"/>
  </w:num>
  <w:num w:numId="16" w16cid:durableId="1813714613">
    <w:abstractNumId w:val="13"/>
  </w:num>
  <w:num w:numId="17" w16cid:durableId="791635824">
    <w:abstractNumId w:val="5"/>
  </w:num>
  <w:num w:numId="18" w16cid:durableId="522397910">
    <w:abstractNumId w:val="11"/>
  </w:num>
  <w:num w:numId="19" w16cid:durableId="1321544494">
    <w:abstractNumId w:val="18"/>
  </w:num>
  <w:num w:numId="20" w16cid:durableId="39673258">
    <w:abstractNumId w:val="9"/>
  </w:num>
  <w:num w:numId="21" w16cid:durableId="207449690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07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7C2D"/>
    <w:rsid w:val="00553392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BD7"/>
    <w:rsid w:val="007A5C6F"/>
    <w:rsid w:val="007D4241"/>
    <w:rsid w:val="007D4317"/>
    <w:rsid w:val="007D4EA3"/>
    <w:rsid w:val="007F1CFF"/>
    <w:rsid w:val="007F5DD5"/>
    <w:rsid w:val="00821A1B"/>
    <w:rsid w:val="008262E9"/>
    <w:rsid w:val="00826E3A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75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8CE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lakemedelsverket.se/malgrupp/Halso---sjukvard/Behandlings--rekommendationer/Behandlingsrekommendation---listan/-Antibiotikaprofylax-i-tandvarde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253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vid tandvårdsingrepp på patient med ledprotes</dc:title>
  <dc:subject/>
  <dc:creator>patrik.jens.johansson@vgregion.se</dc:creator>
  <keywords/>
  <lastModifiedBy>Annika Wallöf</lastModifiedBy>
  <revision>7</revision>
  <lastPrinted>2016-03-31T10:56:00.0000000Z</lastPrinted>
  <dcterms:created xsi:type="dcterms:W3CDTF">2022-05-10T07:39:00.0000000Z</dcterms:created>
  <dcterms:modified xsi:type="dcterms:W3CDTF">2024-08-30T05:51:00.0000000Z</dcterms:modified>
</coreProperties>
</file>