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p14">
  <w:body>
    <w:p w:rsidR="006A1A27" w:rsidP="00F35B05" w:rsidRDefault="006A1A27" w14:paraId="680B6C0F" w14:textId="77777777">
      <w:pPr>
        <w:pStyle w:val="Rubrik2"/>
        <w:sectPr w:rsidR="006A1A27" w:rsidSect="006A1A27">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6A1A27" w:rsidR="006A1A27" w:rsidP="006A1A27" w:rsidRDefault="006A1A27" w14:paraId="7004EC30" w14:textId="77777777">
      <w:pPr>
        <w:spacing w:after="0" w:line="240" w:lineRule="auto"/>
        <w:ind w:left="0" w:right="0"/>
        <w:rPr>
          <w:szCs w:val="20"/>
        </w:rPr>
      </w:pPr>
    </w:p>
    <w:p w:rsidRPr="006A1A27" w:rsidR="006A1A27" w:rsidP="006A1A27" w:rsidRDefault="006A1A27" w14:paraId="07E5E494" w14:textId="77777777">
      <w:pPr>
        <w:spacing w:after="0" w:line="240" w:lineRule="auto"/>
        <w:ind w:left="0" w:right="0"/>
        <w:rPr>
          <w:szCs w:val="20"/>
        </w:rPr>
      </w:pPr>
    </w:p>
    <w:p w:rsidRPr="006A1A27" w:rsidR="006A1A27" w:rsidP="006A1A27" w:rsidRDefault="006A1A27" w14:paraId="197EAE0D" w14:textId="77777777">
      <w:pPr>
        <w:tabs>
          <w:tab w:val="left" w:pos="4590"/>
        </w:tabs>
        <w:spacing w:after="0" w:line="240" w:lineRule="auto"/>
        <w:ind w:left="0" w:right="0"/>
        <w:rPr>
          <w:szCs w:val="20"/>
        </w:rPr>
      </w:pPr>
      <w:r w:rsidRPr="006A1A27">
        <w:rPr>
          <w:szCs w:val="20"/>
        </w:rPr>
        <w:tab/>
      </w:r>
    </w:p>
    <w:p w:rsidRPr="006A1A27" w:rsidR="006A1A27" w:rsidP="006A1A27" w:rsidRDefault="006A1A27" w14:paraId="2BE7E99D" w14:textId="746F62DF">
      <w:pPr>
        <w:spacing w:after="0" w:line="240" w:lineRule="auto"/>
        <w:ind w:left="0" w:right="0"/>
        <w:rPr>
          <w:szCs w:val="20"/>
        </w:rPr>
      </w:pPr>
      <w:r w:rsidRPr="006A1A27">
        <w:rPr>
          <w:noProof/>
          <w:szCs w:val="20"/>
        </w:rPr>
        <mc:AlternateContent>
          <mc:Choice Requires="wps">
            <w:drawing>
              <wp:anchor distT="0" distB="0" distL="114300" distR="114300" simplePos="0" relativeHeight="251659264" behindDoc="0" locked="0" layoutInCell="1" allowOverlap="1" wp14:anchorId="6495A02B" wp14:editId="08991961">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3D37FD" w:rsidR="006A1A27" w:rsidP="006A1A27" w:rsidRDefault="006A1A27" w14:paraId="5B2E82FC"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17574</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w14:anchorId="434BEB45">
              <v:shapetype id="_x0000_t202" coordsize="21600,21600" o:spt="202" path="m,l,21600r21600,l21600,xe" w14:anchorId="6495A02B">
                <v:stroke joinstyle="miter"/>
                <v:path gradientshapeok="t" o:connecttype="rect"/>
              </v:shapetype>
              <v:shape id="Text Box 1"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v:textbox style="mso-fit-shape-to-text:t">
                  <w:txbxContent>
                    <w:p w:rsidRPr="003D37FD" w:rsidR="006A1A27" w:rsidP="006A1A27" w:rsidRDefault="006A1A27" w14:paraId="071CE0FE"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17574</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Pr="000A11E6" w:rsidR="006A1A27" w:rsidTr="00F53412" w14:paraId="60BB2258" w14:textId="77777777">
        <w:trPr>
          <w:cantSplit/>
          <w:trHeight w:val="570"/>
        </w:trPr>
        <w:tc>
          <w:tcPr>
            <w:tcW w:w="9039" w:type="dxa"/>
            <w:tcBorders>
              <w:bottom w:val="single" w:color="auto" w:sz="8" w:space="0"/>
            </w:tcBorders>
            <w:tcMar>
              <w:left w:w="0" w:type="dxa"/>
              <w:right w:w="0" w:type="dxa"/>
            </w:tcMar>
            <w:vAlign w:val="bottom"/>
          </w:tcPr>
          <w:p w:rsidRPr="000A11E6" w:rsidR="006A1A27" w:rsidP="000A11E6" w:rsidRDefault="006A1A27" w14:paraId="7AF9EB0C" w14:textId="77777777">
            <w:pPr>
              <w:pStyle w:val="Rubrik1"/>
              <w:ind w:left="0"/>
              <w:rPr>
                <w:b/>
                <w:bCs w:val="0"/>
                <w:noProof/>
              </w:rPr>
            </w:pPr>
            <w:bookmarkStart w:name="_1314629194" w:id="1"/>
            <w:bookmarkStart w:name="Rubrik" w:id="2"/>
            <w:bookmarkEnd w:id="1"/>
            <w:bookmarkEnd w:id="2"/>
            <w:r w:rsidRPr="000A11E6">
              <w:rPr>
                <w:b/>
                <w:bCs w:val="0"/>
                <w:noProof/>
              </w:rPr>
              <w:t>Antibiotikaprofylax vid primär knä- och höftprotes</w:t>
            </w:r>
            <w:r w:rsidRPr="000A11E6">
              <w:rPr>
                <w:b/>
                <w:bCs w:val="0"/>
                <w:noProof/>
              </w:rPr>
              <w:softHyphen/>
            </w:r>
            <w:r w:rsidRPr="000A11E6">
              <w:rPr>
                <w:b/>
                <w:bCs w:val="0"/>
                <w:noProof/>
              </w:rPr>
              <w:t>operation</w:t>
            </w:r>
          </w:p>
        </w:tc>
      </w:tr>
    </w:tbl>
    <w:p w:rsidR="006A1A27" w:rsidP="25855E2E" w:rsidRDefault="006A1A27" w14:paraId="3633024F" w14:textId="66A58A06">
      <w:pPr>
        <w:keepNext w:val="1"/>
        <w:spacing w:before="240" w:after="60" w:line="240" w:lineRule="auto"/>
        <w:ind w:left="0" w:right="0"/>
        <w:outlineLvl w:val="2"/>
        <w:rPr>
          <w:rFonts w:ascii="Calibri" w:hAnsi="Calibri" w:cs="Arial"/>
          <w:b w:val="1"/>
          <w:bCs w:val="1"/>
          <w:sz w:val="28"/>
          <w:szCs w:val="28"/>
        </w:rPr>
      </w:pPr>
      <w:bookmarkStart w:name="_Toc501440349" w:id="3"/>
      <w:r w:rsidRPr="25855E2E" w:rsidR="006A1A27">
        <w:rPr>
          <w:rStyle w:val="Rubrik3Char"/>
          <w:b w:val="1"/>
          <w:bCs w:val="1"/>
        </w:rPr>
        <w:t>Revidering i denna version</w:t>
      </w:r>
      <w:r w:rsidRPr="25855E2E" w:rsidR="006A1A27">
        <w:rPr>
          <w:rFonts w:ascii="Calibri" w:hAnsi="Calibri" w:cs="Arial"/>
          <w:b w:val="1"/>
          <w:bCs w:val="1"/>
          <w:sz w:val="28"/>
          <w:szCs w:val="28"/>
        </w:rPr>
        <w:t xml:space="preserve"> </w:t>
      </w:r>
      <w:r>
        <w:br/>
      </w:r>
      <w:bookmarkEnd w:id="3"/>
      <w:r w:rsidR="02D1475B">
        <w:rPr/>
        <w:t>Ingen revidering i denna version. Giltighetstiden förlängd.</w:t>
      </w:r>
    </w:p>
    <w:p w:rsidRPr="006A1A27" w:rsidR="006A1A27" w:rsidP="006A1A27" w:rsidRDefault="006A1A27" w14:paraId="4C8E3062" w14:textId="77777777">
      <w:pPr>
        <w:keepNext/>
        <w:spacing w:before="240" w:after="60" w:line="240" w:lineRule="auto"/>
        <w:ind w:left="0" w:right="-710"/>
        <w:outlineLvl w:val="1"/>
        <w:rPr>
          <w:bCs/>
          <w:iCs/>
        </w:rPr>
      </w:pPr>
      <w:r w:rsidRPr="000A11E6">
        <w:rPr>
          <w:rStyle w:val="Rubrik2Char"/>
          <w:b/>
          <w:bCs w:val="0"/>
        </w:rPr>
        <w:t>Syfte</w:t>
      </w:r>
      <w:r w:rsidRPr="006A1A27">
        <w:rPr>
          <w:rFonts w:ascii="Arial" w:hAnsi="Arial" w:cs="Arial"/>
          <w:b/>
          <w:bCs/>
          <w:iCs/>
          <w:sz w:val="26"/>
          <w:szCs w:val="28"/>
        </w:rPr>
        <w:br/>
      </w:r>
      <w:r w:rsidRPr="006A1A27">
        <w:rPr>
          <w:bCs/>
          <w:iCs/>
        </w:rPr>
        <w:t xml:space="preserve">Minska risken för att få </w:t>
      </w:r>
      <w:proofErr w:type="spellStart"/>
      <w:r w:rsidRPr="006A1A27">
        <w:rPr>
          <w:bCs/>
          <w:iCs/>
        </w:rPr>
        <w:t>perioperativ</w:t>
      </w:r>
      <w:proofErr w:type="spellEnd"/>
      <w:r w:rsidRPr="006A1A27">
        <w:rPr>
          <w:bCs/>
          <w:iCs/>
        </w:rPr>
        <w:t xml:space="preserve"> bakteriell inokulation i operationssåret vid proteskirurgi.</w:t>
      </w:r>
    </w:p>
    <w:p w:rsidRPr="006A1A27" w:rsidR="006A1A27" w:rsidP="006A1A27" w:rsidRDefault="006A1A27" w14:paraId="05E30C7A" w14:textId="77777777">
      <w:pPr>
        <w:keepNext/>
        <w:spacing w:before="240" w:after="60" w:line="240" w:lineRule="auto"/>
        <w:ind w:left="0" w:right="1161"/>
        <w:outlineLvl w:val="1"/>
        <w:rPr>
          <w:bCs/>
          <w:iCs/>
          <w:sz w:val="26"/>
          <w:szCs w:val="28"/>
        </w:rPr>
      </w:pPr>
      <w:r w:rsidRPr="000A11E6">
        <w:rPr>
          <w:rStyle w:val="Rubrik2Char"/>
          <w:b/>
          <w:bCs w:val="0"/>
        </w:rPr>
        <w:t>Vilka berörs</w:t>
      </w:r>
      <w:r w:rsidRPr="006A1A27">
        <w:rPr>
          <w:rFonts w:ascii="Arial" w:hAnsi="Arial" w:cs="Arial"/>
          <w:b/>
          <w:bCs/>
          <w:iCs/>
          <w:sz w:val="26"/>
          <w:szCs w:val="28"/>
        </w:rPr>
        <w:br/>
      </w:r>
      <w:r w:rsidRPr="006A1A27">
        <w:rPr>
          <w:bCs/>
          <w:iCs/>
          <w:sz w:val="26"/>
          <w:szCs w:val="28"/>
        </w:rPr>
        <w:t>Ortopedkliniken</w:t>
      </w:r>
    </w:p>
    <w:p w:rsidRPr="000A11E6" w:rsidR="006A1A27" w:rsidP="000A11E6" w:rsidRDefault="006A1A27" w14:paraId="726254DF" w14:textId="573E41F4">
      <w:pPr>
        <w:pStyle w:val="Rubrik3"/>
        <w:ind w:left="0"/>
        <w:rPr>
          <w:b/>
          <w:bCs w:val="0"/>
        </w:rPr>
      </w:pPr>
      <w:r w:rsidRPr="000A11E6">
        <w:rPr>
          <w:b/>
          <w:bCs w:val="0"/>
        </w:rPr>
        <w:t>Profylaktiskt antibiotika vid primär knä- och höftleds</w:t>
      </w:r>
      <w:r w:rsidR="00423F9B">
        <w:rPr>
          <w:b/>
          <w:bCs w:val="0"/>
        </w:rPr>
        <w:softHyphen/>
      </w:r>
      <w:r w:rsidRPr="000A11E6">
        <w:rPr>
          <w:b/>
          <w:bCs w:val="0"/>
        </w:rPr>
        <w:t>protes</w:t>
      </w:r>
      <w:r w:rsidR="00423F9B">
        <w:rPr>
          <w:b/>
          <w:bCs w:val="0"/>
        </w:rPr>
        <w:softHyphen/>
      </w:r>
      <w:r w:rsidRPr="000A11E6">
        <w:rPr>
          <w:b/>
          <w:bCs w:val="0"/>
        </w:rPr>
        <w:t>operation</w:t>
      </w:r>
    </w:p>
    <w:p w:rsidRPr="006A1A27" w:rsidR="006A1A27" w:rsidP="006A1A27" w:rsidRDefault="006A1A27" w14:paraId="415EE3D3" w14:textId="699CBD11">
      <w:pPr>
        <w:spacing w:after="0" w:line="240" w:lineRule="auto"/>
        <w:ind w:left="0" w:right="-1277"/>
        <w:rPr>
          <w:szCs w:val="20"/>
        </w:rPr>
      </w:pPr>
      <w:r w:rsidRPr="006A1A27">
        <w:rPr>
          <w:szCs w:val="20"/>
        </w:rPr>
        <w:t>Följande kortfattade PM är i sin helhet baserat på det betänkande som kom från den över ett flertal medicinska professioner övergripande arbetsgruppen PRISS. Detta presenterades i november 2013 och är en tillämpning av nu föreliggande kunskap. En något omarbetad rekommendation kom år 2018 och detta PM baseras på denna rekommendation</w:t>
      </w:r>
      <w:r w:rsidR="00EC532F">
        <w:rPr>
          <w:szCs w:val="20"/>
        </w:rPr>
        <w:t>, samt vård</w:t>
      </w:r>
      <w:r w:rsidR="00195ECE">
        <w:rPr>
          <w:szCs w:val="20"/>
        </w:rPr>
        <w:t xml:space="preserve">program för led-och skelettinfektioner 2023. </w:t>
      </w:r>
    </w:p>
    <w:p w:rsidRPr="006A1A27" w:rsidR="006A1A27" w:rsidP="006A1A27" w:rsidRDefault="006A1A27" w14:paraId="7056F662" w14:textId="77777777">
      <w:pPr>
        <w:spacing w:after="0" w:line="240" w:lineRule="auto"/>
        <w:ind w:left="0" w:right="-1277"/>
        <w:rPr>
          <w:szCs w:val="20"/>
        </w:rPr>
      </w:pPr>
    </w:p>
    <w:p w:rsidRPr="006A1A27" w:rsidR="006A1A27" w:rsidP="006A1A27" w:rsidRDefault="006A1A27" w14:paraId="5336FA8C" w14:textId="77777777">
      <w:pPr>
        <w:spacing w:after="0" w:line="240" w:lineRule="auto"/>
        <w:ind w:left="0" w:right="-1277"/>
        <w:rPr>
          <w:szCs w:val="20"/>
        </w:rPr>
      </w:pPr>
      <w:r w:rsidRPr="006A1A27">
        <w:rPr>
          <w:szCs w:val="20"/>
        </w:rPr>
        <w:t xml:space="preserve">Bakgrunden till att vi ger en profylax är för att undvika att bakterier når protesen i samband med operationen. Den vanligaste smittvägen under operationen anses vara från patientens egen hud. Därför har man traditionellt använt en antibiotika som är verksam mot de vanligaste patogena hudbakterierna, då framför allt streptokocker och inte minst stafylokocker. </w:t>
      </w:r>
    </w:p>
    <w:p w:rsidRPr="006A1A27" w:rsidR="006A1A27" w:rsidP="006A1A27" w:rsidRDefault="006A1A27" w14:paraId="7F36AAE4" w14:textId="77777777">
      <w:pPr>
        <w:spacing w:after="0" w:line="240" w:lineRule="auto"/>
        <w:ind w:left="0" w:right="-1277"/>
        <w:rPr>
          <w:szCs w:val="20"/>
        </w:rPr>
      </w:pPr>
      <w:r w:rsidRPr="006A1A27">
        <w:rPr>
          <w:szCs w:val="20"/>
        </w:rPr>
        <w:t xml:space="preserve"> </w:t>
      </w:r>
    </w:p>
    <w:p w:rsidRPr="006A1A27" w:rsidR="006A1A27" w:rsidP="006A1A27" w:rsidRDefault="006A1A27" w14:paraId="6F46EB74" w14:textId="77777777">
      <w:pPr>
        <w:spacing w:after="0" w:line="240" w:lineRule="auto"/>
        <w:ind w:left="0" w:right="-1277"/>
        <w:rPr>
          <w:szCs w:val="20"/>
        </w:rPr>
      </w:pPr>
      <w:r w:rsidRPr="006A1A27">
        <w:rPr>
          <w:szCs w:val="20"/>
        </w:rPr>
        <w:t xml:space="preserve">Över tid förändras dock bakteriers förekomst och dess känslighet för antibiotika. I vår del av världen har vi varit förskonade från den resistensutveckling och därmed minskning av möjliga preparat som man sett i andra länder och kontinenter. </w:t>
      </w:r>
      <w:proofErr w:type="spellStart"/>
      <w:r w:rsidRPr="006A1A27">
        <w:rPr>
          <w:szCs w:val="20"/>
        </w:rPr>
        <w:t>Cloxacillin</w:t>
      </w:r>
      <w:proofErr w:type="spellEnd"/>
      <w:r w:rsidRPr="006A1A27">
        <w:rPr>
          <w:szCs w:val="20"/>
        </w:rPr>
        <w:t xml:space="preserve"> är fortfarande förstahandspreparat och ska om möjligt användas. </w:t>
      </w:r>
    </w:p>
    <w:p w:rsidRPr="006A1A27" w:rsidR="006A1A27" w:rsidP="006A1A27" w:rsidRDefault="006A1A27" w14:paraId="0EC3C072" w14:textId="77777777">
      <w:pPr>
        <w:spacing w:after="0" w:line="240" w:lineRule="auto"/>
        <w:ind w:left="0" w:right="-1277"/>
        <w:rPr>
          <w:szCs w:val="20"/>
        </w:rPr>
      </w:pPr>
    </w:p>
    <w:p w:rsidRPr="006A1A27" w:rsidR="006A1A27" w:rsidP="006A1A27" w:rsidRDefault="006A1A27" w14:paraId="06BAA045" w14:textId="12E8AE19">
      <w:pPr>
        <w:spacing w:after="0" w:line="240" w:lineRule="auto"/>
        <w:ind w:left="0" w:right="-1277"/>
        <w:rPr>
          <w:szCs w:val="20"/>
        </w:rPr>
      </w:pPr>
      <w:r w:rsidRPr="006A1A27">
        <w:rPr>
          <w:szCs w:val="20"/>
        </w:rPr>
        <w:t xml:space="preserve">I en svensk studie visade det sig att patienter som blivit opererade med knäprotes och fått </w:t>
      </w:r>
      <w:proofErr w:type="spellStart"/>
      <w:r w:rsidRPr="006A1A27">
        <w:rPr>
          <w:szCs w:val="20"/>
        </w:rPr>
        <w:t>Klindamycin</w:t>
      </w:r>
      <w:proofErr w:type="spellEnd"/>
      <w:r w:rsidRPr="006A1A27">
        <w:rPr>
          <w:szCs w:val="20"/>
        </w:rPr>
        <w:t xml:space="preserve"> som profylax blev reviderade i en större grad än de patienter som fått </w:t>
      </w:r>
      <w:proofErr w:type="spellStart"/>
      <w:r w:rsidRPr="006A1A27">
        <w:rPr>
          <w:szCs w:val="20"/>
        </w:rPr>
        <w:t>Cloxacillin</w:t>
      </w:r>
      <w:proofErr w:type="spellEnd"/>
      <w:r w:rsidRPr="006A1A27">
        <w:rPr>
          <w:szCs w:val="20"/>
        </w:rPr>
        <w:t xml:space="preserve"> som profylax.</w:t>
      </w:r>
    </w:p>
    <w:p w:rsidRPr="006A1A27" w:rsidR="006A1A27" w:rsidP="006A1A27" w:rsidRDefault="006A1A27" w14:paraId="40A33C27" w14:textId="77777777">
      <w:pPr>
        <w:spacing w:after="0" w:line="240" w:lineRule="auto"/>
        <w:ind w:left="0" w:right="-1277"/>
        <w:rPr>
          <w:szCs w:val="20"/>
        </w:rPr>
      </w:pPr>
      <w:r w:rsidRPr="006A1A27">
        <w:rPr>
          <w:szCs w:val="20"/>
        </w:rPr>
        <w:t xml:space="preserve">Våra egna observationer vid höftprotesinfektion visar en hög andel </w:t>
      </w:r>
      <w:proofErr w:type="spellStart"/>
      <w:r w:rsidRPr="006A1A27">
        <w:rPr>
          <w:szCs w:val="20"/>
        </w:rPr>
        <w:t>Cutibacterium</w:t>
      </w:r>
      <w:proofErr w:type="spellEnd"/>
      <w:r w:rsidRPr="006A1A27">
        <w:rPr>
          <w:szCs w:val="20"/>
        </w:rPr>
        <w:t xml:space="preserve"> acnes </w:t>
      </w:r>
    </w:p>
    <w:p w:rsidRPr="006A1A27" w:rsidR="006A1A27" w:rsidP="006A1A27" w:rsidRDefault="006A1A27" w14:paraId="514769C7" w14:textId="77777777">
      <w:pPr>
        <w:spacing w:after="0" w:line="240" w:lineRule="auto"/>
        <w:ind w:left="0" w:right="-1277"/>
        <w:rPr>
          <w:szCs w:val="20"/>
        </w:rPr>
      </w:pPr>
      <w:r w:rsidRPr="006A1A27">
        <w:rPr>
          <w:szCs w:val="20"/>
        </w:rPr>
        <w:t xml:space="preserve">(tidigare kallad </w:t>
      </w:r>
      <w:proofErr w:type="spellStart"/>
      <w:r w:rsidRPr="006A1A27">
        <w:rPr>
          <w:szCs w:val="20"/>
        </w:rPr>
        <w:t>Propionebacterium</w:t>
      </w:r>
      <w:proofErr w:type="spellEnd"/>
      <w:r w:rsidRPr="006A1A27">
        <w:rPr>
          <w:szCs w:val="20"/>
        </w:rPr>
        <w:t xml:space="preserve"> acnes), framför allt hos män.</w:t>
      </w:r>
    </w:p>
    <w:p w:rsidRPr="006A1A27" w:rsidR="006A1A27" w:rsidP="006A1A27" w:rsidRDefault="006A1A27" w14:paraId="3BB1C751" w14:textId="77777777">
      <w:pPr>
        <w:spacing w:after="0" w:line="240" w:lineRule="auto"/>
        <w:ind w:left="0" w:right="-1277"/>
        <w:rPr>
          <w:szCs w:val="20"/>
        </w:rPr>
      </w:pPr>
      <w:r w:rsidRPr="006A1A27">
        <w:rPr>
          <w:szCs w:val="20"/>
        </w:rPr>
        <w:t xml:space="preserve">Med detta sagt är inget statiskt utan över tid måste riktlinjer revideras.      </w:t>
      </w:r>
    </w:p>
    <w:p w:rsidRPr="006A1A27" w:rsidR="006A1A27" w:rsidP="006A1A27" w:rsidRDefault="006A1A27" w14:paraId="2E3847F7" w14:textId="77777777">
      <w:pPr>
        <w:spacing w:after="0" w:line="240" w:lineRule="auto"/>
        <w:ind w:left="0" w:right="-1277"/>
        <w:rPr>
          <w:szCs w:val="20"/>
        </w:rPr>
      </w:pPr>
      <w:r w:rsidRPr="006A1A27">
        <w:rPr>
          <w:szCs w:val="20"/>
        </w:rPr>
        <w:br/>
      </w:r>
      <w:r w:rsidRPr="006A1A27">
        <w:rPr>
          <w:szCs w:val="20"/>
        </w:rPr>
        <w:t xml:space="preserve">Målsättningen med detta PM är att ge riktlinjer för att ge optimal profylax vid primär operation av protes i höft- och knäled. Som alltid är det den enskilde operatören som har att ta ställning till om denna standardiserade ordination kan användas eller om annan profylax ska användas. Om inte annat är ordinerat är dock följande att betrakta som klinikrutin vid ortopedkliniken, NU-sjukvården. </w:t>
      </w:r>
    </w:p>
    <w:p w:rsidRPr="00423F9B" w:rsidR="006A1A27" w:rsidP="00423F9B" w:rsidRDefault="006A1A27" w14:paraId="402DAAE5" w14:textId="77777777">
      <w:pPr>
        <w:pStyle w:val="Rubrik3"/>
        <w:ind w:left="0"/>
        <w:rPr>
          <w:b/>
          <w:bCs w:val="0"/>
        </w:rPr>
      </w:pPr>
      <w:r w:rsidRPr="00423F9B">
        <w:rPr>
          <w:b/>
          <w:bCs w:val="0"/>
        </w:rPr>
        <w:t>Åtgärder</w:t>
      </w:r>
    </w:p>
    <w:p w:rsidRPr="006A1A27" w:rsidR="006A1A27" w:rsidP="006A1A27" w:rsidRDefault="006A1A27" w14:paraId="3301D6B4" w14:textId="77777777">
      <w:pPr>
        <w:spacing w:after="0" w:line="240" w:lineRule="auto"/>
        <w:ind w:left="0" w:right="-1277"/>
        <w:rPr>
          <w:szCs w:val="20"/>
        </w:rPr>
      </w:pPr>
      <w:r w:rsidRPr="006A1A27">
        <w:rPr>
          <w:szCs w:val="20"/>
        </w:rPr>
        <w:t xml:space="preserve">Vid val av </w:t>
      </w:r>
      <w:proofErr w:type="spellStart"/>
      <w:r w:rsidRPr="006A1A27">
        <w:rPr>
          <w:szCs w:val="20"/>
        </w:rPr>
        <w:t>perioperativ</w:t>
      </w:r>
      <w:proofErr w:type="spellEnd"/>
      <w:r w:rsidRPr="006A1A27">
        <w:rPr>
          <w:szCs w:val="20"/>
        </w:rPr>
        <w:t xml:space="preserve"> profylax försäkrar den läkare som skriver in patienten sig om att patienten ej har läkemedelsallergi mot penicillin. Om patienten har det så ska allvarlighetsgraden värderas och valet på </w:t>
      </w:r>
      <w:proofErr w:type="spellStart"/>
      <w:r w:rsidRPr="006A1A27">
        <w:rPr>
          <w:szCs w:val="20"/>
        </w:rPr>
        <w:t>perioperativ</w:t>
      </w:r>
      <w:proofErr w:type="spellEnd"/>
      <w:r w:rsidRPr="006A1A27">
        <w:rPr>
          <w:szCs w:val="20"/>
        </w:rPr>
        <w:t xml:space="preserve"> profylax göras efter följande algoritm:</w:t>
      </w:r>
    </w:p>
    <w:p w:rsidRPr="006A1A27" w:rsidR="006A1A27" w:rsidP="006A1A27" w:rsidRDefault="006A1A27" w14:paraId="6896841D" w14:textId="77777777">
      <w:pPr>
        <w:spacing w:after="0" w:line="240" w:lineRule="auto"/>
        <w:ind w:left="0" w:right="-1277"/>
        <w:rPr>
          <w:szCs w:val="20"/>
        </w:rPr>
      </w:pPr>
    </w:p>
    <w:p w:rsidRPr="006A1A27" w:rsidR="006A1A27" w:rsidP="006A1A27" w:rsidRDefault="006A1A27" w14:paraId="71574CBC" w14:textId="77777777">
      <w:pPr>
        <w:numPr>
          <w:ilvl w:val="0"/>
          <w:numId w:val="20"/>
        </w:numPr>
        <w:spacing w:after="0" w:line="240" w:lineRule="auto"/>
        <w:ind w:right="-1277"/>
        <w:rPr>
          <w:szCs w:val="20"/>
        </w:rPr>
      </w:pPr>
      <w:r w:rsidRPr="006A1A27">
        <w:rPr>
          <w:szCs w:val="20"/>
        </w:rPr>
        <w:t xml:space="preserve">Har patienten ingen känd överkänslighet mot penicillin välj </w:t>
      </w:r>
      <w:proofErr w:type="spellStart"/>
      <w:r w:rsidRPr="006A1A27">
        <w:rPr>
          <w:szCs w:val="20"/>
        </w:rPr>
        <w:t>Cloxacillin</w:t>
      </w:r>
      <w:proofErr w:type="spellEnd"/>
    </w:p>
    <w:p w:rsidRPr="006A1A27" w:rsidR="006A1A27" w:rsidP="006A1A27" w:rsidRDefault="006A1A27" w14:paraId="3D27C055" w14:textId="77777777">
      <w:pPr>
        <w:numPr>
          <w:ilvl w:val="0"/>
          <w:numId w:val="20"/>
        </w:numPr>
        <w:spacing w:after="0" w:line="240" w:lineRule="auto"/>
        <w:ind w:right="-1277"/>
        <w:rPr>
          <w:szCs w:val="20"/>
        </w:rPr>
      </w:pPr>
      <w:r w:rsidRPr="006A1A27">
        <w:rPr>
          <w:szCs w:val="20"/>
        </w:rPr>
        <w:t xml:space="preserve">Har patienten vid penicillintillförsel endast fått utslag som varit utan klåda eller allmänpåverkan välj </w:t>
      </w:r>
      <w:proofErr w:type="spellStart"/>
      <w:r w:rsidRPr="006A1A27">
        <w:rPr>
          <w:szCs w:val="20"/>
        </w:rPr>
        <w:t>Cloxacillin</w:t>
      </w:r>
      <w:proofErr w:type="spellEnd"/>
    </w:p>
    <w:p w:rsidRPr="006A1A27" w:rsidR="006A1A27" w:rsidP="006A1A27" w:rsidRDefault="006A1A27" w14:paraId="390A566B" w14:textId="77777777">
      <w:pPr>
        <w:numPr>
          <w:ilvl w:val="0"/>
          <w:numId w:val="20"/>
        </w:numPr>
        <w:spacing w:after="0" w:line="240" w:lineRule="auto"/>
        <w:ind w:right="-1277"/>
        <w:rPr>
          <w:szCs w:val="20"/>
        </w:rPr>
      </w:pPr>
      <w:r w:rsidRPr="006A1A27">
        <w:rPr>
          <w:szCs w:val="20"/>
        </w:rPr>
        <w:t xml:space="preserve">Har patienten vid penicillintillförsel haft mer utbredda kliande utslag och/eller </w:t>
      </w:r>
      <w:proofErr w:type="spellStart"/>
      <w:r w:rsidRPr="006A1A27">
        <w:rPr>
          <w:szCs w:val="20"/>
        </w:rPr>
        <w:t>angioödem</w:t>
      </w:r>
      <w:proofErr w:type="spellEnd"/>
      <w:r w:rsidRPr="006A1A27">
        <w:rPr>
          <w:szCs w:val="20"/>
        </w:rPr>
        <w:t xml:space="preserve"> men inte varit allmänpåverkad välj </w:t>
      </w:r>
      <w:proofErr w:type="spellStart"/>
      <w:r w:rsidRPr="006A1A27">
        <w:rPr>
          <w:szCs w:val="20"/>
        </w:rPr>
        <w:t>Cefotaxim</w:t>
      </w:r>
      <w:proofErr w:type="spellEnd"/>
    </w:p>
    <w:p w:rsidRPr="006A1A27" w:rsidR="006A1A27" w:rsidP="006A1A27" w:rsidRDefault="006A1A27" w14:paraId="5CA22308" w14:textId="77777777">
      <w:pPr>
        <w:numPr>
          <w:ilvl w:val="0"/>
          <w:numId w:val="20"/>
        </w:numPr>
        <w:spacing w:after="0" w:line="240" w:lineRule="auto"/>
        <w:ind w:right="-1277"/>
        <w:rPr>
          <w:szCs w:val="20"/>
        </w:rPr>
      </w:pPr>
      <w:r w:rsidRPr="006A1A27">
        <w:rPr>
          <w:szCs w:val="20"/>
        </w:rPr>
        <w:t xml:space="preserve">Har patienten vid penicillintillförsel haft allmänpåverkan som blodtrycksfall, luftvägssymtom, svimning eller </w:t>
      </w:r>
      <w:proofErr w:type="spellStart"/>
      <w:r w:rsidRPr="006A1A27">
        <w:rPr>
          <w:szCs w:val="20"/>
        </w:rPr>
        <w:t>anafylaxi</w:t>
      </w:r>
      <w:proofErr w:type="spellEnd"/>
      <w:r w:rsidRPr="006A1A27">
        <w:rPr>
          <w:szCs w:val="20"/>
        </w:rPr>
        <w:t xml:space="preserve"> välj </w:t>
      </w:r>
      <w:proofErr w:type="spellStart"/>
      <w:r w:rsidRPr="006A1A27">
        <w:rPr>
          <w:szCs w:val="20"/>
        </w:rPr>
        <w:t>Klindamycin</w:t>
      </w:r>
      <w:proofErr w:type="spellEnd"/>
      <w:r w:rsidRPr="006A1A27">
        <w:rPr>
          <w:szCs w:val="20"/>
        </w:rPr>
        <w:t>.</w:t>
      </w:r>
    </w:p>
    <w:p w:rsidRPr="006A1A27" w:rsidR="006A1A27" w:rsidP="006A1A27" w:rsidRDefault="006A1A27" w14:paraId="5326D3C7" w14:textId="77777777">
      <w:pPr>
        <w:spacing w:after="0" w:line="240" w:lineRule="auto"/>
        <w:ind w:left="0" w:right="-1277"/>
        <w:rPr>
          <w:szCs w:val="20"/>
        </w:rPr>
      </w:pPr>
    </w:p>
    <w:p w:rsidRPr="006A1A27" w:rsidR="006A1A27" w:rsidP="006A1A27" w:rsidRDefault="006A1A27" w14:paraId="13976C63" w14:textId="77777777">
      <w:pPr>
        <w:spacing w:after="0" w:line="240" w:lineRule="auto"/>
        <w:ind w:left="0" w:right="-1277"/>
        <w:rPr>
          <w:szCs w:val="20"/>
        </w:rPr>
      </w:pPr>
      <w:r w:rsidRPr="006A1A27">
        <w:rPr>
          <w:szCs w:val="20"/>
        </w:rPr>
        <w:t xml:space="preserve">Vid tveksamhet handlägg ärendet om möjligt med allergolog. Ger inte detta ett övertygande svar väljer man det alternativ som uppfattas säkrast, här då oftast </w:t>
      </w:r>
      <w:proofErr w:type="spellStart"/>
      <w:r w:rsidRPr="006A1A27">
        <w:rPr>
          <w:szCs w:val="20"/>
        </w:rPr>
        <w:t>Klindamycin</w:t>
      </w:r>
      <w:proofErr w:type="spellEnd"/>
      <w:r w:rsidRPr="006A1A27">
        <w:rPr>
          <w:color w:val="FF0000"/>
          <w:szCs w:val="20"/>
        </w:rPr>
        <w:t xml:space="preserve">.   </w:t>
      </w:r>
    </w:p>
    <w:p w:rsidRPr="006A1A27" w:rsidR="006A1A27" w:rsidP="006A1A27" w:rsidRDefault="006A1A27" w14:paraId="3325C571" w14:textId="77777777">
      <w:pPr>
        <w:spacing w:after="0" w:line="240" w:lineRule="auto"/>
        <w:ind w:left="0" w:right="-1277"/>
        <w:rPr>
          <w:szCs w:val="20"/>
        </w:rPr>
      </w:pPr>
    </w:p>
    <w:p w:rsidRPr="006A1A27" w:rsidR="006A1A27" w:rsidP="006A1A27" w:rsidRDefault="006A1A27" w14:paraId="4B1451B9" w14:textId="77777777">
      <w:pPr>
        <w:spacing w:after="0" w:line="240" w:lineRule="auto"/>
        <w:ind w:left="0" w:right="-1277"/>
        <w:rPr>
          <w:szCs w:val="20"/>
        </w:rPr>
      </w:pPr>
      <w:proofErr w:type="spellStart"/>
      <w:r w:rsidRPr="006A1A27">
        <w:rPr>
          <w:b/>
          <w:szCs w:val="20"/>
        </w:rPr>
        <w:t>Cloxacillin</w:t>
      </w:r>
      <w:proofErr w:type="spellEnd"/>
      <w:r w:rsidRPr="006A1A27">
        <w:rPr>
          <w:b/>
          <w:szCs w:val="20"/>
        </w:rPr>
        <w:t xml:space="preserve"> </w:t>
      </w:r>
      <w:r w:rsidRPr="006A1A27">
        <w:rPr>
          <w:szCs w:val="20"/>
        </w:rPr>
        <w:t>är förstahandsval</w:t>
      </w:r>
      <w:r w:rsidRPr="006A1A27">
        <w:rPr>
          <w:b/>
          <w:szCs w:val="20"/>
        </w:rPr>
        <w:t xml:space="preserve"> </w:t>
      </w:r>
      <w:r w:rsidRPr="006A1A27">
        <w:rPr>
          <w:szCs w:val="20"/>
        </w:rPr>
        <w:t>vid punkt 1 och 2 ovan</w:t>
      </w:r>
    </w:p>
    <w:p w:rsidRPr="006A1A27" w:rsidR="006A1A27" w:rsidP="006A1A27" w:rsidRDefault="006A1A27" w14:paraId="658FFF98" w14:textId="77777777">
      <w:pPr>
        <w:spacing w:after="0" w:line="240" w:lineRule="auto"/>
        <w:ind w:left="0" w:right="-1277"/>
        <w:rPr>
          <w:szCs w:val="20"/>
        </w:rPr>
      </w:pPr>
    </w:p>
    <w:p w:rsidRPr="006A1A27" w:rsidR="006A1A27" w:rsidP="006A1A27" w:rsidRDefault="006A1A27" w14:paraId="604D5ECE" w14:textId="77777777">
      <w:pPr>
        <w:spacing w:after="0" w:line="240" w:lineRule="auto"/>
        <w:ind w:left="0" w:right="-1277"/>
        <w:rPr>
          <w:szCs w:val="20"/>
        </w:rPr>
      </w:pPr>
      <w:proofErr w:type="spellStart"/>
      <w:r w:rsidRPr="006A1A27">
        <w:rPr>
          <w:szCs w:val="20"/>
        </w:rPr>
        <w:t>Cloxacillin</w:t>
      </w:r>
      <w:proofErr w:type="spellEnd"/>
      <w:r w:rsidRPr="006A1A27">
        <w:rPr>
          <w:szCs w:val="20"/>
        </w:rPr>
        <w:t xml:space="preserve"> ges i dosering 2 g iv x 3. Första dosen påbörjas 45 till 30 minuter före operations</w:t>
      </w:r>
      <w:r w:rsidRPr="006A1A27">
        <w:rPr>
          <w:szCs w:val="20"/>
        </w:rPr>
        <w:softHyphen/>
      </w:r>
      <w:r w:rsidRPr="006A1A27">
        <w:rPr>
          <w:szCs w:val="20"/>
        </w:rPr>
        <w:t xml:space="preserve">start eller anläggande av blodtomt fält. Andra dosen påbörjas 2 timmar efter den första och tredje dosen 6 timmar efter den första. Totalt ges 3 doser. </w:t>
      </w:r>
    </w:p>
    <w:p w:rsidRPr="006A1A27" w:rsidR="006A1A27" w:rsidP="006A1A27" w:rsidRDefault="006A1A27" w14:paraId="133AF6F4" w14:textId="77777777">
      <w:pPr>
        <w:spacing w:after="0" w:line="240" w:lineRule="auto"/>
        <w:ind w:left="0" w:right="-1277"/>
        <w:rPr>
          <w:szCs w:val="20"/>
        </w:rPr>
      </w:pPr>
    </w:p>
    <w:p w:rsidRPr="006A1A27" w:rsidR="006A1A27" w:rsidP="006A1A27" w:rsidRDefault="006A1A27" w14:paraId="5820BA9E" w14:textId="77777777">
      <w:pPr>
        <w:spacing w:after="0" w:line="240" w:lineRule="auto"/>
        <w:ind w:left="0" w:right="-1277"/>
        <w:rPr>
          <w:szCs w:val="20"/>
        </w:rPr>
      </w:pPr>
      <w:r w:rsidRPr="006A1A27">
        <w:rPr>
          <w:szCs w:val="20"/>
        </w:rPr>
        <w:t>Vid lång operationstid eller bilateral operation kan en fjärde dos övervägas och påbörjas i så fall 10 timmar efter den första dosen.</w:t>
      </w:r>
    </w:p>
    <w:p w:rsidRPr="006A1A27" w:rsidR="006A1A27" w:rsidP="006A1A27" w:rsidRDefault="006A1A27" w14:paraId="7AA42047" w14:textId="77777777">
      <w:pPr>
        <w:spacing w:after="0" w:line="240" w:lineRule="auto"/>
        <w:ind w:left="0" w:right="-1277"/>
        <w:rPr>
          <w:szCs w:val="20"/>
        </w:rPr>
      </w:pPr>
    </w:p>
    <w:p w:rsidRPr="006A1A27" w:rsidR="006A1A27" w:rsidP="006A1A27" w:rsidRDefault="006A1A27" w14:paraId="05773EAE" w14:textId="77777777">
      <w:pPr>
        <w:spacing w:after="0" w:line="240" w:lineRule="auto"/>
        <w:ind w:left="0" w:right="-1277"/>
        <w:rPr>
          <w:szCs w:val="20"/>
        </w:rPr>
      </w:pPr>
      <w:r w:rsidRPr="006A1A27">
        <w:rPr>
          <w:szCs w:val="20"/>
        </w:rPr>
        <w:t xml:space="preserve">Vid låg kroppsvikt eller nedsatt njurfunktion kan man överväga en reducerad dos. </w:t>
      </w:r>
    </w:p>
    <w:p w:rsidRPr="006A1A27" w:rsidR="006A1A27" w:rsidP="006A1A27" w:rsidRDefault="006A1A27" w14:paraId="4AAC487E" w14:textId="77777777">
      <w:pPr>
        <w:spacing w:after="0" w:line="240" w:lineRule="auto"/>
        <w:ind w:left="0" w:right="-1277"/>
        <w:rPr>
          <w:szCs w:val="20"/>
        </w:rPr>
      </w:pPr>
    </w:p>
    <w:p w:rsidRPr="006A1A27" w:rsidR="006A1A27" w:rsidP="006A1A27" w:rsidRDefault="006A1A27" w14:paraId="4E65D4DA" w14:textId="77777777">
      <w:pPr>
        <w:spacing w:after="0" w:line="240" w:lineRule="auto"/>
        <w:ind w:left="0" w:right="-1277"/>
        <w:rPr>
          <w:szCs w:val="20"/>
        </w:rPr>
      </w:pPr>
      <w:proofErr w:type="spellStart"/>
      <w:r w:rsidRPr="006A1A27">
        <w:rPr>
          <w:b/>
          <w:szCs w:val="20"/>
        </w:rPr>
        <w:t>Cefotaxim</w:t>
      </w:r>
      <w:proofErr w:type="spellEnd"/>
      <w:r w:rsidRPr="006A1A27">
        <w:rPr>
          <w:szCs w:val="20"/>
        </w:rPr>
        <w:t xml:space="preserve"> väljs vid fastställd eller misstänkt överkänslighet mot penicillin enligt punkt 3 ovan. </w:t>
      </w:r>
    </w:p>
    <w:p w:rsidRPr="006A1A27" w:rsidR="006A1A27" w:rsidP="006A1A27" w:rsidRDefault="006A1A27" w14:paraId="33A3892F" w14:textId="77777777">
      <w:pPr>
        <w:spacing w:after="0" w:line="240" w:lineRule="auto"/>
        <w:ind w:left="0" w:right="-1277"/>
        <w:rPr>
          <w:szCs w:val="20"/>
        </w:rPr>
      </w:pPr>
    </w:p>
    <w:p w:rsidRPr="006A1A27" w:rsidR="006A1A27" w:rsidP="006A1A27" w:rsidRDefault="006A1A27" w14:paraId="23D2AFAF" w14:textId="77777777">
      <w:pPr>
        <w:spacing w:after="0" w:line="240" w:lineRule="auto"/>
        <w:ind w:left="0" w:right="-1277"/>
        <w:rPr>
          <w:szCs w:val="20"/>
        </w:rPr>
      </w:pPr>
      <w:proofErr w:type="spellStart"/>
      <w:r w:rsidRPr="006A1A27">
        <w:rPr>
          <w:szCs w:val="20"/>
        </w:rPr>
        <w:t>Cefotaxim</w:t>
      </w:r>
      <w:proofErr w:type="spellEnd"/>
      <w:r w:rsidRPr="006A1A27">
        <w:rPr>
          <w:szCs w:val="20"/>
        </w:rPr>
        <w:t xml:space="preserve"> ges i dosering 2g iv x 2. Första dosen påbörjas 45 till 30 minuter före operations</w:t>
      </w:r>
      <w:r w:rsidRPr="006A1A27">
        <w:rPr>
          <w:szCs w:val="20"/>
        </w:rPr>
        <w:softHyphen/>
      </w:r>
      <w:r w:rsidRPr="006A1A27">
        <w:rPr>
          <w:szCs w:val="20"/>
        </w:rPr>
        <w:t xml:space="preserve">start eller anläggande av blodtomt fält. Andra dosen påbörjas 4 timmar efter den första. Totalt ges 2 doser. </w:t>
      </w:r>
    </w:p>
    <w:p w:rsidRPr="006A1A27" w:rsidR="006A1A27" w:rsidP="006A1A27" w:rsidRDefault="006A1A27" w14:paraId="64AA9DB8" w14:textId="77777777">
      <w:pPr>
        <w:spacing w:after="0" w:line="240" w:lineRule="auto"/>
        <w:ind w:left="0" w:right="-1277"/>
        <w:rPr>
          <w:szCs w:val="20"/>
        </w:rPr>
      </w:pPr>
    </w:p>
    <w:p w:rsidRPr="006A1A27" w:rsidR="006A1A27" w:rsidP="006A1A27" w:rsidRDefault="006A1A27" w14:paraId="00719130" w14:textId="77777777">
      <w:pPr>
        <w:spacing w:after="0" w:line="240" w:lineRule="auto"/>
        <w:ind w:left="0" w:right="-1277"/>
        <w:rPr>
          <w:szCs w:val="20"/>
        </w:rPr>
      </w:pPr>
      <w:r w:rsidRPr="006A1A27">
        <w:rPr>
          <w:szCs w:val="20"/>
        </w:rPr>
        <w:t xml:space="preserve">Vid låg kroppsvikt eller nedsatt njurfunktion kan man överväga en reducerad dos. </w:t>
      </w:r>
    </w:p>
    <w:p w:rsidRPr="006A1A27" w:rsidR="006A1A27" w:rsidP="006A1A27" w:rsidRDefault="006A1A27" w14:paraId="1FDB7CC9" w14:textId="77777777">
      <w:pPr>
        <w:spacing w:after="0" w:line="240" w:lineRule="auto"/>
        <w:ind w:left="0" w:right="-1277"/>
        <w:rPr>
          <w:szCs w:val="20"/>
        </w:rPr>
      </w:pPr>
    </w:p>
    <w:p w:rsidRPr="006A1A27" w:rsidR="006A1A27" w:rsidP="006A1A27" w:rsidRDefault="006A1A27" w14:paraId="424EF427" w14:textId="77777777">
      <w:pPr>
        <w:spacing w:after="0" w:line="240" w:lineRule="auto"/>
        <w:ind w:left="0" w:right="-1277"/>
        <w:rPr>
          <w:szCs w:val="20"/>
        </w:rPr>
      </w:pPr>
      <w:proofErr w:type="spellStart"/>
      <w:r w:rsidRPr="006A1A27">
        <w:rPr>
          <w:b/>
          <w:szCs w:val="20"/>
        </w:rPr>
        <w:t>Klindamycin</w:t>
      </w:r>
      <w:proofErr w:type="spellEnd"/>
      <w:r w:rsidRPr="006A1A27">
        <w:rPr>
          <w:szCs w:val="20"/>
        </w:rPr>
        <w:t xml:space="preserve"> väljs vid fastställd eller misstänkt överkänslighet mot penicillin enligt punkt 4 ovan.</w:t>
      </w:r>
    </w:p>
    <w:p w:rsidRPr="006A1A27" w:rsidR="006A1A27" w:rsidP="006A1A27" w:rsidRDefault="006A1A27" w14:paraId="69F945EF" w14:textId="77777777">
      <w:pPr>
        <w:spacing w:after="0" w:line="240" w:lineRule="auto"/>
        <w:ind w:left="0" w:right="-1277"/>
        <w:rPr>
          <w:szCs w:val="20"/>
        </w:rPr>
      </w:pPr>
    </w:p>
    <w:p w:rsidRPr="006A1A27" w:rsidR="006A1A27" w:rsidP="006A1A27" w:rsidRDefault="006A1A27" w14:paraId="1AFCC82E" w14:textId="77777777">
      <w:pPr>
        <w:spacing w:after="0" w:line="240" w:lineRule="auto"/>
        <w:ind w:left="0" w:right="-1277"/>
        <w:rPr>
          <w:szCs w:val="20"/>
        </w:rPr>
      </w:pPr>
      <w:proofErr w:type="spellStart"/>
      <w:r w:rsidRPr="006A1A27">
        <w:rPr>
          <w:szCs w:val="20"/>
        </w:rPr>
        <w:t>Klindamycin</w:t>
      </w:r>
      <w:proofErr w:type="spellEnd"/>
      <w:r w:rsidRPr="006A1A27">
        <w:rPr>
          <w:szCs w:val="20"/>
        </w:rPr>
        <w:t xml:space="preserve"> ges i dosering 600 mg iv x 2. Första dosen påbörjas 45 till 30 minuter före operationsstart eller anläggande av blodtomt fält. Andra dosen påbörjas 4 timmar efter den första. Totalt ges 2 doser. </w:t>
      </w:r>
    </w:p>
    <w:p w:rsidRPr="006A1A27" w:rsidR="006A1A27" w:rsidP="006A1A27" w:rsidRDefault="006A1A27" w14:paraId="6E9844D4" w14:textId="77777777">
      <w:pPr>
        <w:spacing w:after="0" w:line="240" w:lineRule="auto"/>
        <w:ind w:left="0" w:right="-1277"/>
        <w:rPr>
          <w:szCs w:val="20"/>
        </w:rPr>
      </w:pPr>
    </w:p>
    <w:p w:rsidRPr="006A1A27" w:rsidR="006A1A27" w:rsidP="006A1A27" w:rsidRDefault="006A1A27" w14:paraId="62957B17" w14:textId="77777777">
      <w:pPr>
        <w:spacing w:after="0" w:line="240" w:lineRule="auto"/>
        <w:ind w:left="0" w:right="-1277"/>
        <w:rPr>
          <w:szCs w:val="20"/>
        </w:rPr>
      </w:pPr>
      <w:proofErr w:type="spellStart"/>
      <w:r w:rsidRPr="006A1A27">
        <w:rPr>
          <w:szCs w:val="20"/>
        </w:rPr>
        <w:t>Klindamycin</w:t>
      </w:r>
      <w:proofErr w:type="spellEnd"/>
      <w:r w:rsidRPr="006A1A27">
        <w:rPr>
          <w:szCs w:val="20"/>
        </w:rPr>
        <w:t xml:space="preserve"> har mycket liten utsöndring via njurarna och dosen behöver inte ändras vid nedsatt njurfunktion. </w:t>
      </w:r>
    </w:p>
    <w:p w:rsidRPr="006A1A27" w:rsidR="006A1A27" w:rsidP="006A1A27" w:rsidRDefault="006A1A27" w14:paraId="1BA007C9" w14:textId="77777777">
      <w:pPr>
        <w:spacing w:after="0" w:line="240" w:lineRule="auto"/>
        <w:ind w:left="0" w:right="-1277"/>
        <w:rPr>
          <w:szCs w:val="20"/>
        </w:rPr>
      </w:pPr>
    </w:p>
    <w:p w:rsidRPr="006A1A27" w:rsidR="006A1A27" w:rsidP="006A1A27" w:rsidRDefault="006A1A27" w14:paraId="6557691B" w14:textId="77777777">
      <w:pPr>
        <w:spacing w:after="0" w:line="240" w:lineRule="auto"/>
        <w:ind w:left="0" w:right="-1135"/>
        <w:rPr>
          <w:szCs w:val="20"/>
        </w:rPr>
      </w:pPr>
      <w:r w:rsidRPr="006A1A27">
        <w:rPr>
          <w:szCs w:val="20"/>
        </w:rPr>
        <w:t>Inget av preparaten (</w:t>
      </w:r>
      <w:proofErr w:type="spellStart"/>
      <w:r w:rsidRPr="006A1A27">
        <w:rPr>
          <w:szCs w:val="20"/>
        </w:rPr>
        <w:t>Cloxacillin</w:t>
      </w:r>
      <w:proofErr w:type="spellEnd"/>
      <w:r w:rsidRPr="006A1A27">
        <w:rPr>
          <w:szCs w:val="20"/>
        </w:rPr>
        <w:t xml:space="preserve">, </w:t>
      </w:r>
      <w:proofErr w:type="spellStart"/>
      <w:r w:rsidRPr="006A1A27">
        <w:rPr>
          <w:szCs w:val="20"/>
        </w:rPr>
        <w:t>Cefotaxim</w:t>
      </w:r>
      <w:proofErr w:type="spellEnd"/>
      <w:r w:rsidRPr="006A1A27">
        <w:rPr>
          <w:szCs w:val="20"/>
        </w:rPr>
        <w:t xml:space="preserve"> eller </w:t>
      </w:r>
      <w:proofErr w:type="spellStart"/>
      <w:r w:rsidRPr="006A1A27">
        <w:rPr>
          <w:szCs w:val="20"/>
        </w:rPr>
        <w:t>Klindamycin</w:t>
      </w:r>
      <w:proofErr w:type="spellEnd"/>
      <w:r w:rsidRPr="006A1A27">
        <w:rPr>
          <w:szCs w:val="20"/>
        </w:rPr>
        <w:t>) behöver justeras uppåt vid höga kroppsvikter hos patient, då evidens för effekt av sådan dosjustering saknas.</w:t>
      </w:r>
    </w:p>
    <w:p w:rsidRPr="006A1A27" w:rsidR="006A1A27" w:rsidP="006A1A27" w:rsidRDefault="006A1A27" w14:paraId="65682EC3" w14:textId="77777777">
      <w:pPr>
        <w:spacing w:after="0" w:line="240" w:lineRule="auto"/>
        <w:ind w:left="0" w:right="-1135"/>
        <w:rPr>
          <w:szCs w:val="20"/>
        </w:rPr>
      </w:pPr>
    </w:p>
    <w:p w:rsidRPr="006A1A27" w:rsidR="006A1A27" w:rsidP="006A1A27" w:rsidRDefault="006A1A27" w14:paraId="68D6D5A4" w14:textId="77777777">
      <w:pPr>
        <w:spacing w:after="0" w:line="240" w:lineRule="auto"/>
        <w:ind w:left="0" w:right="-1135"/>
        <w:rPr>
          <w:szCs w:val="20"/>
        </w:rPr>
      </w:pPr>
      <w:r w:rsidRPr="006A1A27">
        <w:rPr>
          <w:szCs w:val="20"/>
        </w:rPr>
        <w:t xml:space="preserve">Vissa patienter har en större benägenhet att utveckla infektion med </w:t>
      </w:r>
      <w:proofErr w:type="spellStart"/>
      <w:r w:rsidRPr="006A1A27">
        <w:rPr>
          <w:szCs w:val="20"/>
        </w:rPr>
        <w:t>Cutibacterium</w:t>
      </w:r>
      <w:proofErr w:type="spellEnd"/>
      <w:r w:rsidRPr="006A1A27">
        <w:rPr>
          <w:szCs w:val="20"/>
        </w:rPr>
        <w:t xml:space="preserve"> acnes. Våra egna studier har visat detta och då speciellt hos män som får </w:t>
      </w:r>
      <w:proofErr w:type="spellStart"/>
      <w:r w:rsidRPr="006A1A27">
        <w:rPr>
          <w:szCs w:val="20"/>
        </w:rPr>
        <w:t>ocementerade</w:t>
      </w:r>
      <w:proofErr w:type="spellEnd"/>
      <w:r w:rsidRPr="006A1A27">
        <w:rPr>
          <w:szCs w:val="20"/>
        </w:rPr>
        <w:t xml:space="preserve"> höft</w:t>
      </w:r>
      <w:r w:rsidRPr="006A1A27">
        <w:rPr>
          <w:szCs w:val="20"/>
        </w:rPr>
        <w:softHyphen/>
      </w:r>
      <w:r w:rsidRPr="006A1A27">
        <w:rPr>
          <w:szCs w:val="20"/>
        </w:rPr>
        <w:t xml:space="preserve">proteser. Man kan därför i vissa fall överväga att komplettera </w:t>
      </w:r>
      <w:proofErr w:type="spellStart"/>
      <w:r w:rsidRPr="006A1A27">
        <w:rPr>
          <w:szCs w:val="20"/>
        </w:rPr>
        <w:t>Cloxacillinprofylax</w:t>
      </w:r>
      <w:proofErr w:type="spellEnd"/>
      <w:r w:rsidRPr="006A1A27">
        <w:rPr>
          <w:szCs w:val="20"/>
        </w:rPr>
        <w:t xml:space="preserve"> med </w:t>
      </w:r>
      <w:proofErr w:type="spellStart"/>
      <w:r w:rsidRPr="006A1A27">
        <w:rPr>
          <w:szCs w:val="20"/>
        </w:rPr>
        <w:t>Bencyl</w:t>
      </w:r>
      <w:proofErr w:type="spellEnd"/>
      <w:r w:rsidRPr="006A1A27">
        <w:rPr>
          <w:szCs w:val="20"/>
        </w:rPr>
        <w:t xml:space="preserve"> pc. Detta är dock ett övervägande som får göras i det enskilda fallet och inget som kan rekommenderas generellt, men som ändock kan vara värt att överväga i speciella fall då patienten är man, ska få en </w:t>
      </w:r>
      <w:proofErr w:type="spellStart"/>
      <w:r w:rsidRPr="006A1A27">
        <w:rPr>
          <w:szCs w:val="20"/>
        </w:rPr>
        <w:t>ocementerad</w:t>
      </w:r>
      <w:proofErr w:type="spellEnd"/>
      <w:r w:rsidRPr="006A1A27">
        <w:rPr>
          <w:szCs w:val="20"/>
        </w:rPr>
        <w:t xml:space="preserve"> höftledsprotes.   </w:t>
      </w:r>
    </w:p>
    <w:p w:rsidRPr="006A1A27" w:rsidR="006A1A27" w:rsidP="006A1A27" w:rsidRDefault="006A1A27" w14:paraId="14CED683" w14:textId="77777777">
      <w:pPr>
        <w:spacing w:after="0" w:line="240" w:lineRule="auto"/>
        <w:ind w:left="0" w:right="-1135"/>
        <w:rPr>
          <w:szCs w:val="20"/>
        </w:rPr>
      </w:pPr>
    </w:p>
    <w:p w:rsidRPr="006A1A27" w:rsidR="006A1A27" w:rsidP="006A1A27" w:rsidRDefault="006A1A27" w14:paraId="5E082293" w14:textId="77777777">
      <w:pPr>
        <w:spacing w:after="0" w:line="240" w:lineRule="auto"/>
        <w:ind w:left="0" w:right="-1135"/>
        <w:rPr>
          <w:szCs w:val="20"/>
        </w:rPr>
      </w:pPr>
      <w:r w:rsidRPr="006A1A27">
        <w:rPr>
          <w:szCs w:val="20"/>
        </w:rPr>
        <w:t>Mer information, referenser och vetenskaplig bakgrund:</w:t>
      </w:r>
    </w:p>
    <w:p w:rsidR="006A1A27" w:rsidP="006A1A27" w:rsidRDefault="005B164A" w14:paraId="59DDB196" w14:textId="366999A5">
      <w:pPr>
        <w:spacing w:after="0" w:line="240" w:lineRule="auto"/>
        <w:ind w:left="0" w:right="-1135"/>
      </w:pPr>
      <w:hyperlink w:history="1" r:id="rId17">
        <w:r>
          <w:rPr>
            <w:rStyle w:val="Hyperlnk"/>
          </w:rPr>
          <w:t>Led- och skelettinfektioner - Vårdprogram från SILF - Infektion.net</w:t>
        </w:r>
      </w:hyperlink>
    </w:p>
    <w:p w:rsidRPr="006A1A27" w:rsidR="0059615E" w:rsidP="006A1A27" w:rsidRDefault="0059615E" w14:paraId="4CBCCFBB" w14:textId="77777777">
      <w:pPr>
        <w:spacing w:after="0" w:line="240" w:lineRule="auto"/>
        <w:ind w:left="0" w:right="-1135"/>
        <w:rPr>
          <w:color w:val="FF0000"/>
          <w:szCs w:val="20"/>
        </w:rPr>
      </w:pPr>
    </w:p>
    <w:p w:rsidRPr="006A1A27" w:rsidR="006A1A27" w:rsidP="006A1A27" w:rsidRDefault="006A1A27" w14:paraId="28F2BCE8" w14:textId="77777777">
      <w:pPr>
        <w:keepNext/>
        <w:spacing w:before="240" w:after="60" w:line="240" w:lineRule="auto"/>
        <w:ind w:left="0" w:right="-710"/>
        <w:outlineLvl w:val="1"/>
        <w:rPr>
          <w:rFonts w:ascii="Arial" w:hAnsi="Arial" w:cs="Arial"/>
          <w:b/>
          <w:bCs/>
          <w:iCs/>
          <w:sz w:val="26"/>
          <w:szCs w:val="28"/>
        </w:rPr>
      </w:pPr>
    </w:p>
    <w:bookmarkEnd w:id="0"/>
    <w:p w:rsidRPr="00536A5A" w:rsidR="00536A5A" w:rsidP="00536A5A" w:rsidRDefault="00536A5A" w14:paraId="76B9F95B" w14:textId="24513497">
      <w:pPr>
        <w:spacing w:after="0" w:line="240" w:lineRule="auto"/>
        <w:ind w:left="0" w:right="0"/>
      </w:pPr>
    </w:p>
    <w:sectPr w:rsidRPr="00536A5A" w:rsidR="00536A5A" w:rsidSect="006A1A27">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E7288A" w:rsidRDefault="00E7288A" w14:paraId="57534EED" w14:textId="77777777">
      <w:r>
        <w:separator/>
      </w:r>
    </w:p>
  </w:endnote>
  <w:endnote w:type="continuationSeparator" w:id="0">
    <w:p w:rsidR="00E7288A" w:rsidRDefault="00E7288A" w14:paraId="6F8FBD4D" w14:textId="77777777">
      <w:r>
        <w:continuationSeparator/>
      </w:r>
    </w:p>
  </w:endnote>
  <w:endnote w:type="continuationNotice" w:id="1">
    <w:p w:rsidR="00E7288A" w:rsidRDefault="00E7288A" w14:paraId="4D18428C"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E7288A" w:rsidRDefault="00E7288A" w14:paraId="02FFA9B9" w14:textId="77777777"/>
  </w:footnote>
  <w:footnote w:type="continuationSeparator" w:id="0">
    <w:p w:rsidR="00E7288A" w:rsidRDefault="00E7288A" w14:paraId="2AA6D504" w14:textId="77777777">
      <w:r>
        <w:continuationSeparator/>
      </w:r>
    </w:p>
  </w:footnote>
  <w:footnote w:type="continuationNotice" w:id="1">
    <w:p w:rsidR="00E7288A" w:rsidRDefault="00E7288A" w14:paraId="00BB5963"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5CA94F8B">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1F3DA7D7">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207301E3"/>
    <w:multiLevelType w:val="hybridMultilevel"/>
    <w:tmpl w:val="C464D27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2726417">
    <w:abstractNumId w:val="18"/>
  </w:num>
  <w:num w:numId="2" w16cid:durableId="324822540">
    <w:abstractNumId w:val="15"/>
  </w:num>
  <w:num w:numId="3" w16cid:durableId="1202402558">
    <w:abstractNumId w:val="0"/>
  </w:num>
  <w:num w:numId="4" w16cid:durableId="1663702697">
    <w:abstractNumId w:val="6"/>
  </w:num>
  <w:num w:numId="5" w16cid:durableId="1507213480">
    <w:abstractNumId w:val="16"/>
  </w:num>
  <w:num w:numId="6" w16cid:durableId="1947733969">
    <w:abstractNumId w:val="2"/>
  </w:num>
  <w:num w:numId="7" w16cid:durableId="816073609">
    <w:abstractNumId w:val="12"/>
  </w:num>
  <w:num w:numId="8" w16cid:durableId="482890905">
    <w:abstractNumId w:val="9"/>
  </w:num>
  <w:num w:numId="9" w16cid:durableId="2109080455">
    <w:abstractNumId w:val="1"/>
  </w:num>
  <w:num w:numId="10" w16cid:durableId="2009550346">
    <w:abstractNumId w:val="1"/>
  </w:num>
  <w:num w:numId="11" w16cid:durableId="826433991">
    <w:abstractNumId w:val="3"/>
  </w:num>
  <w:num w:numId="12" w16cid:durableId="1293050234">
    <w:abstractNumId w:val="4"/>
  </w:num>
  <w:num w:numId="13" w16cid:durableId="144130924">
    <w:abstractNumId w:val="14"/>
  </w:num>
  <w:num w:numId="14" w16cid:durableId="466902094">
    <w:abstractNumId w:val="10"/>
  </w:num>
  <w:num w:numId="15" w16cid:durableId="276567529">
    <w:abstractNumId w:val="7"/>
  </w:num>
  <w:num w:numId="16" w16cid:durableId="1526359866">
    <w:abstractNumId w:val="13"/>
  </w:num>
  <w:num w:numId="17" w16cid:durableId="1303921439">
    <w:abstractNumId w:val="5"/>
  </w:num>
  <w:num w:numId="18" w16cid:durableId="1681204329">
    <w:abstractNumId w:val="11"/>
  </w:num>
  <w:num w:numId="19" w16cid:durableId="2072844426">
    <w:abstractNumId w:val="17"/>
  </w:num>
  <w:num w:numId="20" w16cid:durableId="1493836369">
    <w:abstractNumId w:val="8"/>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10"/>
  <w:embedSystemFonts/>
  <w:proofState w:spelling="clean" w:grammar="dirty"/>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11E6"/>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5ECE"/>
    <w:rsid w:val="0019632A"/>
    <w:rsid w:val="001A4E7C"/>
    <w:rsid w:val="001B762C"/>
    <w:rsid w:val="001C4D0A"/>
    <w:rsid w:val="001C5FEF"/>
    <w:rsid w:val="00211487"/>
    <w:rsid w:val="00211D91"/>
    <w:rsid w:val="00217DEC"/>
    <w:rsid w:val="00235A47"/>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23F9B"/>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615E"/>
    <w:rsid w:val="00597E28"/>
    <w:rsid w:val="005A2E3B"/>
    <w:rsid w:val="005A54ED"/>
    <w:rsid w:val="005A5D5B"/>
    <w:rsid w:val="005A6081"/>
    <w:rsid w:val="005A627D"/>
    <w:rsid w:val="005B164A"/>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1A27"/>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711B3"/>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438D"/>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288A"/>
    <w:rsid w:val="00E77C46"/>
    <w:rsid w:val="00E86CE8"/>
    <w:rsid w:val="00E90E82"/>
    <w:rsid w:val="00EA00CB"/>
    <w:rsid w:val="00EA1BAA"/>
    <w:rsid w:val="00EA3FCD"/>
    <w:rsid w:val="00EA42A0"/>
    <w:rsid w:val="00EB6714"/>
    <w:rsid w:val="00EC0A68"/>
    <w:rsid w:val="00EC5006"/>
    <w:rsid w:val="00EC532F"/>
    <w:rsid w:val="00ED49C3"/>
    <w:rsid w:val="00ED6CE8"/>
    <w:rsid w:val="00ED7AA6"/>
    <w:rsid w:val="00EE2A56"/>
    <w:rsid w:val="00EE3818"/>
    <w:rsid w:val="00F03AB7"/>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2D1475B"/>
    <w:rsid w:val="25855E2E"/>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infektion.net/kunskap/vardprogram-for-led-och-skelettinfektioner/"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Antibiotikaprofylax vid primär knä- och höftprotesoperation</dc:title>
  <dc:subject/>
  <dc:creator>patrik.jens.johansson@vgregion.se</dc:creator>
  <keywords/>
  <lastModifiedBy>Annika Wallöf</lastModifiedBy>
  <revision>13</revision>
  <lastPrinted>2016-03-31T10:56:00.0000000Z</lastPrinted>
  <dcterms:created xsi:type="dcterms:W3CDTF">2022-05-10T07:38:00.0000000Z</dcterms:created>
  <dcterms:modified xsi:type="dcterms:W3CDTF">2026-06-16T10:29:53.0000000Z</dcterms:modified>
</coreProperties>
</file>