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AC4DDD" w14:textId="77777777" w:rsidR="005E1967" w:rsidRDefault="005E1967" w:rsidP="00F35B05">
      <w:pPr>
        <w:pStyle w:val="Rubrik2"/>
        <w:sectPr w:rsidR="005E1967" w:rsidSect="005E19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FA4E21" w14:textId="77777777" w:rsidR="005E1967" w:rsidRPr="005E1967" w:rsidRDefault="005E1967" w:rsidP="005E1967">
      <w:pPr>
        <w:spacing w:after="0" w:line="240" w:lineRule="auto"/>
        <w:ind w:left="0" w:right="0"/>
        <w:rPr>
          <w:szCs w:val="20"/>
        </w:rPr>
      </w:pPr>
    </w:p>
    <w:p w14:paraId="2D943310" w14:textId="77777777" w:rsidR="005E1967" w:rsidRPr="005E1967" w:rsidRDefault="005E1967" w:rsidP="005E1967">
      <w:pPr>
        <w:spacing w:after="0" w:line="240" w:lineRule="auto"/>
        <w:ind w:left="0" w:right="0"/>
        <w:rPr>
          <w:szCs w:val="20"/>
        </w:rPr>
      </w:pPr>
    </w:p>
    <w:p w14:paraId="2977B5F2" w14:textId="77777777" w:rsidR="005E1967" w:rsidRPr="005E1967" w:rsidRDefault="005E1967" w:rsidP="005E19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E1967">
        <w:rPr>
          <w:szCs w:val="20"/>
        </w:rPr>
        <w:tab/>
      </w:r>
    </w:p>
    <w:p w14:paraId="708BC32D" w14:textId="140A98C7" w:rsidR="005E1967" w:rsidRPr="005E1967" w:rsidRDefault="005E1967" w:rsidP="005E1967">
      <w:pPr>
        <w:spacing w:after="0" w:line="240" w:lineRule="auto"/>
        <w:ind w:left="0" w:right="0"/>
        <w:rPr>
          <w:szCs w:val="20"/>
        </w:rPr>
      </w:pPr>
      <w:r w:rsidRPr="005E19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7FE3C6" wp14:editId="5ACA0AB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520289" w14:textId="77777777" w:rsidR="005E1967" w:rsidRPr="003D37FD" w:rsidRDefault="005E1967" w:rsidP="005E19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23048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7FE3C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8520289" w14:textId="77777777" w:rsidR="005E1967" w:rsidRPr="003D37FD" w:rsidRDefault="005E1967" w:rsidP="005E19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23048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E1967" w:rsidRPr="005E1967" w14:paraId="68E1B7CB" w14:textId="77777777" w:rsidTr="00850F7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CCB9361" w14:textId="77777777" w:rsidR="005E1967" w:rsidRPr="009E331B" w:rsidRDefault="005E1967" w:rsidP="009E331B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9E331B">
              <w:rPr>
                <w:b/>
                <w:bCs w:val="0"/>
                <w:noProof/>
              </w:rPr>
              <w:t>Perorala trombocythämmare – kliniska råd inför planerad mottagningsoperation</w:t>
            </w:r>
          </w:p>
        </w:tc>
      </w:tr>
    </w:tbl>
    <w:p w14:paraId="3654D27E" w14:textId="77777777" w:rsidR="005E1967" w:rsidRPr="009E331B" w:rsidRDefault="005E1967" w:rsidP="009E331B">
      <w:pPr>
        <w:pStyle w:val="Rubrik2"/>
        <w:ind w:left="0"/>
        <w:rPr>
          <w:b/>
          <w:bCs w:val="0"/>
        </w:rPr>
      </w:pPr>
      <w:r w:rsidRPr="009E331B">
        <w:rPr>
          <w:b/>
          <w:bCs w:val="0"/>
        </w:rPr>
        <w:t>Revidering i denna version</w:t>
      </w:r>
    </w:p>
    <w:p w14:paraId="6F1C0D41" w14:textId="77777777" w:rsidR="005E1967" w:rsidRPr="005E1967" w:rsidRDefault="005E1967" w:rsidP="005E1967">
      <w:pPr>
        <w:spacing w:after="0" w:line="240" w:lineRule="auto"/>
        <w:ind w:left="0" w:right="0"/>
        <w:rPr>
          <w:szCs w:val="20"/>
        </w:rPr>
      </w:pPr>
      <w:r w:rsidRPr="005E1967">
        <w:rPr>
          <w:szCs w:val="20"/>
        </w:rPr>
        <w:t>Giltighetstiden förlängd, ingen revidering.</w:t>
      </w:r>
    </w:p>
    <w:p w14:paraId="22355C85" w14:textId="77777777" w:rsidR="005E1967" w:rsidRPr="009E331B" w:rsidRDefault="005E1967" w:rsidP="009E331B">
      <w:pPr>
        <w:pStyle w:val="Rubrik2"/>
        <w:ind w:left="0"/>
        <w:rPr>
          <w:b/>
          <w:bCs w:val="0"/>
        </w:rPr>
      </w:pPr>
      <w:r w:rsidRPr="009E331B">
        <w:rPr>
          <w:b/>
          <w:bCs w:val="0"/>
        </w:rPr>
        <w:t>Syfte</w:t>
      </w:r>
    </w:p>
    <w:p w14:paraId="742B0EFD" w14:textId="77777777" w:rsidR="005E1967" w:rsidRPr="005E1967" w:rsidRDefault="005E1967" w:rsidP="005E1967">
      <w:pPr>
        <w:spacing w:after="0" w:line="240" w:lineRule="auto"/>
        <w:ind w:left="0" w:right="-994"/>
        <w:rPr>
          <w:szCs w:val="20"/>
        </w:rPr>
      </w:pPr>
      <w:r w:rsidRPr="005E1967">
        <w:rPr>
          <w:szCs w:val="20"/>
        </w:rPr>
        <w:t>Undvika risker för patienten vid mottagningsoperation.</w:t>
      </w:r>
    </w:p>
    <w:p w14:paraId="32EAF45A" w14:textId="77777777" w:rsidR="005E1967" w:rsidRPr="009E331B" w:rsidRDefault="005E1967" w:rsidP="009E331B">
      <w:pPr>
        <w:pStyle w:val="Rubrik2"/>
        <w:ind w:left="0"/>
        <w:rPr>
          <w:b/>
          <w:bCs w:val="0"/>
        </w:rPr>
      </w:pPr>
      <w:r w:rsidRPr="009E331B">
        <w:rPr>
          <w:b/>
          <w:bCs w:val="0"/>
        </w:rPr>
        <w:t>Vilka berörs</w:t>
      </w:r>
    </w:p>
    <w:p w14:paraId="54E6DB8D" w14:textId="51706C0A" w:rsidR="005E1967" w:rsidRPr="00FF0DC5" w:rsidRDefault="005E1967" w:rsidP="002E6305">
      <w:pPr>
        <w:spacing w:after="0" w:line="240" w:lineRule="auto"/>
        <w:ind w:left="0" w:right="-143"/>
        <w:rPr>
          <w:szCs w:val="20"/>
        </w:rPr>
      </w:pPr>
      <w:r w:rsidRPr="005E1967">
        <w:rPr>
          <w:szCs w:val="20"/>
        </w:rPr>
        <w:t>Ortopedkliniken, NU-sjukvården</w:t>
      </w:r>
      <w:r w:rsidR="002E6305">
        <w:rPr>
          <w:szCs w:val="20"/>
        </w:rPr>
        <w:br/>
      </w:r>
      <w:r w:rsidR="002E6305">
        <w:rPr>
          <w:szCs w:val="20"/>
        </w:rPr>
        <w:br/>
      </w:r>
      <w:r w:rsidRPr="002E6305">
        <w:rPr>
          <w:rFonts w:asciiTheme="majorHAnsi" w:hAnsiTheme="majorHAnsi" w:cstheme="majorHAnsi"/>
          <w:b/>
          <w:bCs/>
          <w:sz w:val="26"/>
          <w:szCs w:val="26"/>
        </w:rPr>
        <w:t>A. Singelbehandling</w:t>
      </w:r>
      <w:r w:rsidRPr="005E1967">
        <w:rPr>
          <w:b/>
          <w:szCs w:val="28"/>
        </w:rPr>
        <w:br/>
      </w:r>
      <w:r w:rsidRPr="002E6305">
        <w:t>Alternativ 1</w:t>
      </w:r>
      <w:r w:rsidRPr="002E6305">
        <w:br/>
      </w:r>
      <w:proofErr w:type="spellStart"/>
      <w:r w:rsidRPr="002E6305">
        <w:t>Trombyl</w:t>
      </w:r>
      <w:proofErr w:type="spellEnd"/>
      <w:r w:rsidRPr="002E6305">
        <w:t xml:space="preserve"> 75 mg (ASA) bör inte sättas ut.</w:t>
      </w:r>
      <w:r w:rsidRPr="002E6305">
        <w:br/>
      </w:r>
      <w:r w:rsidRPr="002E6305">
        <w:br/>
        <w:t>Alternativ 2</w:t>
      </w:r>
      <w:r w:rsidRPr="002E6305">
        <w:br/>
      </w:r>
      <w:proofErr w:type="spellStart"/>
      <w:r w:rsidRPr="002E6305">
        <w:t>Trombyl</w:t>
      </w:r>
      <w:proofErr w:type="spellEnd"/>
      <w:r w:rsidRPr="002E6305">
        <w:t xml:space="preserve"> 160 mg (ASA) bör inte sättas ut.</w:t>
      </w:r>
      <w:r w:rsidRPr="002E6305">
        <w:br/>
      </w:r>
      <w:r w:rsidRPr="002E6305">
        <w:br/>
        <w:t>Alternativ 3</w:t>
      </w:r>
      <w:r w:rsidRPr="002E6305">
        <w:br/>
      </w:r>
      <w:proofErr w:type="spellStart"/>
      <w:r w:rsidRPr="002E6305">
        <w:t>Plavix</w:t>
      </w:r>
      <w:proofErr w:type="spellEnd"/>
      <w:r w:rsidRPr="002E6305">
        <w:t>/</w:t>
      </w:r>
      <w:proofErr w:type="spellStart"/>
      <w:r w:rsidRPr="002E6305">
        <w:t>Grepid</w:t>
      </w:r>
      <w:proofErr w:type="spellEnd"/>
      <w:r w:rsidRPr="002E6305">
        <w:t>/</w:t>
      </w:r>
      <w:proofErr w:type="spellStart"/>
      <w:r w:rsidRPr="002E6305">
        <w:t>Cloriocard</w:t>
      </w:r>
      <w:proofErr w:type="spellEnd"/>
      <w:r w:rsidRPr="002E6305">
        <w:t xml:space="preserve"> (</w:t>
      </w:r>
      <w:proofErr w:type="spellStart"/>
      <w:r w:rsidRPr="002E6305">
        <w:t>Klopidogrel</w:t>
      </w:r>
      <w:proofErr w:type="spellEnd"/>
      <w:r w:rsidRPr="002E6305">
        <w:t>) bör inte sättas ut.</w:t>
      </w:r>
      <w:r w:rsidRPr="002E6305">
        <w:br/>
      </w:r>
      <w:r w:rsidRPr="005E1967">
        <w:rPr>
          <w:szCs w:val="28"/>
        </w:rPr>
        <w:br/>
      </w:r>
      <w:r w:rsidRPr="002E6305">
        <w:rPr>
          <w:rFonts w:asciiTheme="majorHAnsi" w:hAnsiTheme="majorHAnsi" w:cstheme="majorHAnsi"/>
          <w:b/>
          <w:sz w:val="26"/>
          <w:szCs w:val="26"/>
        </w:rPr>
        <w:t xml:space="preserve">B. DAPT (dual </w:t>
      </w:r>
      <w:proofErr w:type="spellStart"/>
      <w:r w:rsidRPr="002E6305">
        <w:rPr>
          <w:rFonts w:asciiTheme="majorHAnsi" w:hAnsiTheme="majorHAnsi" w:cstheme="majorHAnsi"/>
          <w:b/>
          <w:sz w:val="26"/>
          <w:szCs w:val="26"/>
        </w:rPr>
        <w:t>antiplatelet</w:t>
      </w:r>
      <w:proofErr w:type="spellEnd"/>
      <w:r w:rsidRPr="002E6305">
        <w:rPr>
          <w:rFonts w:asciiTheme="majorHAnsi" w:hAnsiTheme="majorHAnsi" w:cstheme="majorHAnsi"/>
          <w:b/>
          <w:sz w:val="26"/>
          <w:szCs w:val="26"/>
        </w:rPr>
        <w:t xml:space="preserve"> </w:t>
      </w:r>
      <w:proofErr w:type="spellStart"/>
      <w:r w:rsidRPr="002E6305">
        <w:rPr>
          <w:rFonts w:asciiTheme="majorHAnsi" w:hAnsiTheme="majorHAnsi" w:cstheme="majorHAnsi"/>
          <w:b/>
          <w:sz w:val="26"/>
          <w:szCs w:val="26"/>
        </w:rPr>
        <w:t>therapy</w:t>
      </w:r>
      <w:proofErr w:type="spellEnd"/>
      <w:r w:rsidRPr="002E6305">
        <w:rPr>
          <w:rFonts w:asciiTheme="majorHAnsi" w:hAnsiTheme="majorHAnsi" w:cstheme="majorHAnsi"/>
          <w:b/>
          <w:sz w:val="26"/>
          <w:szCs w:val="26"/>
        </w:rPr>
        <w:t>)</w:t>
      </w:r>
      <w:r w:rsidRPr="005E1967">
        <w:rPr>
          <w:b/>
          <w:szCs w:val="28"/>
        </w:rPr>
        <w:br/>
      </w:r>
      <w:r w:rsidRPr="005E1967">
        <w:rPr>
          <w:szCs w:val="28"/>
        </w:rPr>
        <w:t>Elektiv kirurgi bör om möjligt skjutas upp till den planerade perioden för dubbel trombocythämning är över. Om detta inte är möjligt bör det i samråd med kardiolog beslutas hur behandlingen med trombocythämmare ska hanteras. I många fall kan det vara lämpligt att fortsätta med ASA. Om ADP-receptor</w:t>
      </w:r>
      <w:r w:rsidRPr="005E1967">
        <w:rPr>
          <w:szCs w:val="28"/>
        </w:rPr>
        <w:softHyphen/>
        <w:t xml:space="preserve">hämmande medel ska utsättas bör detta ske i enlighet med gällande </w:t>
      </w:r>
      <w:proofErr w:type="spellStart"/>
      <w:r w:rsidRPr="005E1967">
        <w:rPr>
          <w:szCs w:val="28"/>
        </w:rPr>
        <w:t>guidelines</w:t>
      </w:r>
      <w:proofErr w:type="spellEnd"/>
      <w:r w:rsidRPr="005E1967">
        <w:rPr>
          <w:szCs w:val="28"/>
        </w:rPr>
        <w:t xml:space="preserve">. Utsättningstid före operation: </w:t>
      </w:r>
      <w:proofErr w:type="spellStart"/>
      <w:r w:rsidRPr="005E1967">
        <w:rPr>
          <w:szCs w:val="28"/>
        </w:rPr>
        <w:t>Klopidogrel</w:t>
      </w:r>
      <w:proofErr w:type="spellEnd"/>
      <w:r w:rsidRPr="005E1967">
        <w:rPr>
          <w:szCs w:val="28"/>
        </w:rPr>
        <w:t xml:space="preserve"> 5 dagar, </w:t>
      </w:r>
      <w:proofErr w:type="spellStart"/>
      <w:r w:rsidRPr="005E1967">
        <w:rPr>
          <w:szCs w:val="28"/>
        </w:rPr>
        <w:t>Prasugrel</w:t>
      </w:r>
      <w:proofErr w:type="spellEnd"/>
      <w:r w:rsidRPr="005E1967">
        <w:rPr>
          <w:szCs w:val="28"/>
        </w:rPr>
        <w:t xml:space="preserve"> 7 dagar och </w:t>
      </w:r>
      <w:proofErr w:type="spellStart"/>
      <w:r w:rsidRPr="005E1967">
        <w:rPr>
          <w:szCs w:val="28"/>
        </w:rPr>
        <w:t>Ticagrelor</w:t>
      </w:r>
      <w:proofErr w:type="spellEnd"/>
      <w:r w:rsidRPr="005E1967">
        <w:rPr>
          <w:szCs w:val="28"/>
        </w:rPr>
        <w:t xml:space="preserve"> 5 dagar.</w:t>
      </w:r>
      <w:r w:rsidRPr="005E1967">
        <w:rPr>
          <w:szCs w:val="28"/>
        </w:rPr>
        <w:br/>
      </w:r>
      <w:r w:rsidRPr="005E1967">
        <w:rPr>
          <w:szCs w:val="28"/>
        </w:rPr>
        <w:br/>
      </w:r>
      <w:r w:rsidRPr="00124F29">
        <w:rPr>
          <w:rFonts w:asciiTheme="majorHAnsi" w:hAnsiTheme="majorHAnsi" w:cstheme="majorHAnsi"/>
          <w:b/>
          <w:sz w:val="26"/>
          <w:szCs w:val="26"/>
        </w:rPr>
        <w:t>C. Trippelbehandling</w:t>
      </w:r>
      <w:r w:rsidRPr="005E1967">
        <w:rPr>
          <w:b/>
          <w:szCs w:val="28"/>
        </w:rPr>
        <w:br/>
      </w:r>
      <w:r w:rsidRPr="005E1967">
        <w:rPr>
          <w:szCs w:val="28"/>
        </w:rPr>
        <w:t>Elektiv kirurgi bör om möjligt skjutas upp till den planerade perioden för trippel</w:t>
      </w:r>
      <w:r w:rsidRPr="005E1967">
        <w:rPr>
          <w:szCs w:val="28"/>
        </w:rPr>
        <w:softHyphen/>
        <w:t xml:space="preserve">behandling är över. Om detta inte är möjligt bör man tillfälligt sätta ut </w:t>
      </w:r>
      <w:proofErr w:type="spellStart"/>
      <w:r w:rsidRPr="005E1967">
        <w:rPr>
          <w:szCs w:val="28"/>
        </w:rPr>
        <w:t>Warfarin</w:t>
      </w:r>
      <w:proofErr w:type="spellEnd"/>
      <w:r w:rsidRPr="005E1967">
        <w:rPr>
          <w:szCs w:val="28"/>
        </w:rPr>
        <w:t xml:space="preserve"> och fortsätta med ASA samt efter samråd med kardiolog sätta ut: </w:t>
      </w:r>
      <w:proofErr w:type="spellStart"/>
      <w:r w:rsidRPr="005E1967">
        <w:rPr>
          <w:szCs w:val="28"/>
        </w:rPr>
        <w:t>Klopidogrel</w:t>
      </w:r>
      <w:proofErr w:type="spellEnd"/>
      <w:r w:rsidRPr="005E1967">
        <w:rPr>
          <w:szCs w:val="28"/>
        </w:rPr>
        <w:t xml:space="preserve"> 5 dagar, </w:t>
      </w:r>
      <w:proofErr w:type="spellStart"/>
      <w:r w:rsidRPr="005E1967">
        <w:rPr>
          <w:szCs w:val="28"/>
        </w:rPr>
        <w:t>Prasugrel</w:t>
      </w:r>
      <w:proofErr w:type="spellEnd"/>
      <w:r w:rsidRPr="005E1967">
        <w:rPr>
          <w:szCs w:val="28"/>
        </w:rPr>
        <w:t xml:space="preserve"> 7 dagar och </w:t>
      </w:r>
      <w:proofErr w:type="spellStart"/>
      <w:r w:rsidRPr="005E1967">
        <w:rPr>
          <w:szCs w:val="28"/>
        </w:rPr>
        <w:t>Ticagrelor</w:t>
      </w:r>
      <w:proofErr w:type="spellEnd"/>
      <w:r w:rsidRPr="005E1967">
        <w:rPr>
          <w:szCs w:val="28"/>
        </w:rPr>
        <w:t xml:space="preserve"> 5 dagar. </w:t>
      </w:r>
      <w:proofErr w:type="spellStart"/>
      <w:r w:rsidRPr="005E1967">
        <w:rPr>
          <w:szCs w:val="28"/>
        </w:rPr>
        <w:t>Warfarin</w:t>
      </w:r>
      <w:proofErr w:type="spellEnd"/>
      <w:r w:rsidRPr="005E1967">
        <w:rPr>
          <w:szCs w:val="28"/>
        </w:rPr>
        <w:t xml:space="preserve"> utsätts enligt gängse rutiner.</w:t>
      </w:r>
      <w:r w:rsidRPr="005E1967">
        <w:rPr>
          <w:rFonts w:ascii="Arial" w:hAnsi="Arial" w:cs="Arial"/>
          <w:b/>
          <w:szCs w:val="28"/>
        </w:rPr>
        <w:br/>
      </w:r>
    </w:p>
    <w:bookmarkEnd w:id="0"/>
    <w:p w14:paraId="76B9F95B" w14:textId="24513497" w:rsidR="00536A5A" w:rsidRPr="00536A5A" w:rsidRDefault="00536A5A" w:rsidP="002E6305">
      <w:pPr>
        <w:spacing w:after="0" w:line="240" w:lineRule="auto"/>
        <w:ind w:left="0" w:right="-143"/>
      </w:pPr>
    </w:p>
    <w:sectPr w:rsidR="00536A5A" w:rsidRPr="00536A5A" w:rsidSect="005E19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9556614">
    <w:abstractNumId w:val="17"/>
  </w:num>
  <w:num w:numId="2" w16cid:durableId="1218131422">
    <w:abstractNumId w:val="14"/>
  </w:num>
  <w:num w:numId="3" w16cid:durableId="957295336">
    <w:abstractNumId w:val="0"/>
  </w:num>
  <w:num w:numId="4" w16cid:durableId="402456978">
    <w:abstractNumId w:val="6"/>
  </w:num>
  <w:num w:numId="5" w16cid:durableId="202444959">
    <w:abstractNumId w:val="15"/>
  </w:num>
  <w:num w:numId="6" w16cid:durableId="758212009">
    <w:abstractNumId w:val="2"/>
  </w:num>
  <w:num w:numId="7" w16cid:durableId="602229666">
    <w:abstractNumId w:val="11"/>
  </w:num>
  <w:num w:numId="8" w16cid:durableId="96026487">
    <w:abstractNumId w:val="8"/>
  </w:num>
  <w:num w:numId="9" w16cid:durableId="1686787850">
    <w:abstractNumId w:val="1"/>
  </w:num>
  <w:num w:numId="10" w16cid:durableId="417822878">
    <w:abstractNumId w:val="1"/>
  </w:num>
  <w:num w:numId="11" w16cid:durableId="21127444">
    <w:abstractNumId w:val="3"/>
  </w:num>
  <w:num w:numId="12" w16cid:durableId="183517083">
    <w:abstractNumId w:val="4"/>
  </w:num>
  <w:num w:numId="13" w16cid:durableId="157309115">
    <w:abstractNumId w:val="13"/>
  </w:num>
  <w:num w:numId="14" w16cid:durableId="203906789">
    <w:abstractNumId w:val="9"/>
  </w:num>
  <w:num w:numId="15" w16cid:durableId="1402288672">
    <w:abstractNumId w:val="7"/>
  </w:num>
  <w:num w:numId="16" w16cid:durableId="528222613">
    <w:abstractNumId w:val="12"/>
  </w:num>
  <w:num w:numId="17" w16cid:durableId="332925410">
    <w:abstractNumId w:val="5"/>
  </w:num>
  <w:num w:numId="18" w16cid:durableId="712341956">
    <w:abstractNumId w:val="10"/>
  </w:num>
  <w:num w:numId="19" w16cid:durableId="96083859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F2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30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967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31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DC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2</Pages>
  <Words>186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Perorala trombocythämmare - kliniska råd inför planerad mottagningsoperation</dc:title>
  <dc:subject/>
  <dc:creator>patrik.jens.johansson@vgregion.se</dc:creator>
  <keywords/>
  <lastModifiedBy>Elisabeth Carlsson</lastModifiedBy>
  <revision>6</revision>
  <lastPrinted>2016-03-31T10:56:00.0000000Z</lastPrinted>
  <dcterms:created xsi:type="dcterms:W3CDTF">2022-05-10T07:45:00.0000000Z</dcterms:created>
  <dcterms:modified xsi:type="dcterms:W3CDTF">2023-11-21T07:48:00.0000000Z</dcterms:modified>
</coreProperties>
</file>