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9A18B2" w14:textId="77777777" w:rsidR="00A97507" w:rsidRDefault="00A97507" w:rsidP="00F35B05">
      <w:pPr>
        <w:pStyle w:val="Rubrik2"/>
        <w:sectPr w:rsidR="00A97507" w:rsidSect="00A97507">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6C08615" w14:textId="77777777" w:rsidR="00A97507" w:rsidRPr="00A97507" w:rsidRDefault="00A97507" w:rsidP="00A97507">
      <w:pPr>
        <w:spacing w:after="0" w:line="240" w:lineRule="auto"/>
        <w:ind w:left="0" w:right="0"/>
        <w:rPr>
          <w:szCs w:val="20"/>
        </w:rPr>
      </w:pPr>
    </w:p>
    <w:p w14:paraId="42E4A72D" w14:textId="77777777" w:rsidR="00A97507" w:rsidRPr="00A97507" w:rsidRDefault="00A97507" w:rsidP="00A97507">
      <w:pPr>
        <w:spacing w:after="0" w:line="240" w:lineRule="auto"/>
        <w:ind w:left="0" w:right="0"/>
        <w:rPr>
          <w:szCs w:val="20"/>
        </w:rPr>
      </w:pPr>
    </w:p>
    <w:p w14:paraId="58EE3121" w14:textId="77777777" w:rsidR="00A97507" w:rsidRPr="00A97507" w:rsidRDefault="00A97507" w:rsidP="00A97507">
      <w:pPr>
        <w:tabs>
          <w:tab w:val="left" w:pos="4590"/>
        </w:tabs>
        <w:spacing w:after="0" w:line="240" w:lineRule="auto"/>
        <w:ind w:left="0" w:right="0"/>
        <w:rPr>
          <w:szCs w:val="20"/>
        </w:rPr>
      </w:pPr>
      <w:r w:rsidRPr="00A97507">
        <w:rPr>
          <w:szCs w:val="20"/>
        </w:rPr>
        <w:tab/>
      </w:r>
    </w:p>
    <w:p w14:paraId="44DF9947" w14:textId="5BA5FBC6" w:rsidR="00A97507" w:rsidRPr="00A97507" w:rsidRDefault="00A97507" w:rsidP="00A97507">
      <w:pPr>
        <w:spacing w:after="0" w:line="240" w:lineRule="auto"/>
        <w:ind w:left="0" w:right="0"/>
        <w:rPr>
          <w:szCs w:val="20"/>
        </w:rPr>
      </w:pPr>
      <w:r w:rsidRPr="00A97507">
        <w:rPr>
          <w:noProof/>
          <w:szCs w:val="20"/>
        </w:rPr>
        <mc:AlternateContent>
          <mc:Choice Requires="wps">
            <w:drawing>
              <wp:anchor distT="0" distB="0" distL="114300" distR="114300" simplePos="0" relativeHeight="251659264" behindDoc="0" locked="0" layoutInCell="1" allowOverlap="1" wp14:anchorId="6DC73B89" wp14:editId="7EC160A8">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43E1D8" w14:textId="77777777" w:rsidR="00A97507" w:rsidRPr="003D37FD" w:rsidRDefault="00A97507" w:rsidP="00A9750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19851</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6DC73B89"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0F43E1D8" w14:textId="77777777" w:rsidR="00A97507" w:rsidRPr="003D37FD" w:rsidRDefault="00A97507" w:rsidP="00A9750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19851</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A97507" w:rsidRPr="00A97507" w14:paraId="3D0A8AAC" w14:textId="77777777" w:rsidTr="00A11947">
        <w:trPr>
          <w:cantSplit/>
          <w:trHeight w:val="570"/>
        </w:trPr>
        <w:tc>
          <w:tcPr>
            <w:tcW w:w="9039" w:type="dxa"/>
            <w:tcBorders>
              <w:bottom w:val="single" w:sz="8" w:space="0" w:color="auto"/>
            </w:tcBorders>
            <w:tcMar>
              <w:left w:w="0" w:type="dxa"/>
              <w:right w:w="0" w:type="dxa"/>
            </w:tcMar>
            <w:vAlign w:val="bottom"/>
          </w:tcPr>
          <w:p w14:paraId="51080DE9" w14:textId="77777777" w:rsidR="00A97507" w:rsidRPr="00B845CA" w:rsidRDefault="00A97507" w:rsidP="00B845CA">
            <w:pPr>
              <w:pStyle w:val="Rubrik1"/>
              <w:ind w:left="0"/>
              <w:rPr>
                <w:b/>
                <w:bCs w:val="0"/>
                <w:noProof/>
              </w:rPr>
            </w:pPr>
            <w:bookmarkStart w:id="1" w:name="_1314629194"/>
            <w:bookmarkStart w:id="2" w:name="Rubrik"/>
            <w:bookmarkEnd w:id="1"/>
            <w:bookmarkEnd w:id="2"/>
            <w:r w:rsidRPr="00B845CA">
              <w:rPr>
                <w:b/>
                <w:bCs w:val="0"/>
                <w:noProof/>
              </w:rPr>
              <w:t>PCR-diagnostik</w:t>
            </w:r>
          </w:p>
        </w:tc>
      </w:tr>
    </w:tbl>
    <w:p w14:paraId="5876B8F5" w14:textId="03FDC92E" w:rsidR="00A97507" w:rsidRPr="00A97507" w:rsidRDefault="00A97507" w:rsidP="00A97507">
      <w:pPr>
        <w:keepNext/>
        <w:spacing w:before="240" w:after="60" w:line="240" w:lineRule="auto"/>
        <w:ind w:left="0" w:right="0"/>
        <w:outlineLvl w:val="2"/>
        <w:rPr>
          <w:rFonts w:ascii="Arial" w:hAnsi="Arial" w:cs="Arial"/>
          <w:b/>
          <w:bCs/>
          <w:szCs w:val="26"/>
        </w:rPr>
      </w:pPr>
      <w:bookmarkStart w:id="3" w:name="_Toc501440349"/>
      <w:r w:rsidRPr="00B845CA">
        <w:rPr>
          <w:rStyle w:val="Rubrik3Char"/>
          <w:b/>
          <w:bCs w:val="0"/>
        </w:rPr>
        <w:t>Revidering i denna version</w:t>
      </w:r>
      <w:r w:rsidRPr="00A97507">
        <w:rPr>
          <w:rFonts w:ascii="Calibri" w:hAnsi="Calibri" w:cs="Arial"/>
          <w:b/>
          <w:bCs/>
          <w:sz w:val="28"/>
          <w:szCs w:val="28"/>
        </w:rPr>
        <w:t xml:space="preserve"> </w:t>
      </w:r>
      <w:r w:rsidRPr="00A97507">
        <w:rPr>
          <w:rFonts w:ascii="Arial" w:hAnsi="Arial" w:cs="Arial"/>
          <w:b/>
          <w:bCs/>
          <w:szCs w:val="26"/>
        </w:rPr>
        <w:br/>
      </w:r>
      <w:bookmarkEnd w:id="3"/>
      <w:r w:rsidR="00B845CA">
        <w:rPr>
          <w:bCs/>
          <w:szCs w:val="26"/>
        </w:rPr>
        <w:t>Ingen revidering i denna version, giltighetstiden förlängd.</w:t>
      </w:r>
    </w:p>
    <w:p w14:paraId="5DA26BFD" w14:textId="77777777" w:rsidR="00A97507" w:rsidRPr="00A97507" w:rsidRDefault="00A97507" w:rsidP="00A97507">
      <w:pPr>
        <w:keepNext/>
        <w:spacing w:before="240" w:after="60" w:line="240" w:lineRule="auto"/>
        <w:ind w:left="0" w:right="-994"/>
        <w:outlineLvl w:val="1"/>
        <w:rPr>
          <w:rFonts w:ascii="Arial" w:hAnsi="Arial" w:cs="Arial"/>
          <w:b/>
          <w:bCs/>
          <w:iCs/>
          <w:sz w:val="26"/>
          <w:szCs w:val="28"/>
        </w:rPr>
      </w:pPr>
      <w:r w:rsidRPr="00B845CA">
        <w:rPr>
          <w:rStyle w:val="Rubrik2Char"/>
          <w:b/>
          <w:bCs w:val="0"/>
        </w:rPr>
        <w:t>Bakgrund</w:t>
      </w:r>
      <w:r w:rsidRPr="00A97507">
        <w:rPr>
          <w:rFonts w:ascii="Arial" w:hAnsi="Arial" w:cs="Arial"/>
          <w:b/>
          <w:bCs/>
          <w:iCs/>
          <w:sz w:val="26"/>
          <w:szCs w:val="28"/>
        </w:rPr>
        <w:br/>
      </w:r>
      <w:r w:rsidRPr="00A97507">
        <w:rPr>
          <w:bCs/>
        </w:rPr>
        <w:t>PCR-diagnostik (</w:t>
      </w:r>
      <w:proofErr w:type="spellStart"/>
      <w:r w:rsidRPr="00A97507">
        <w:rPr>
          <w:bCs/>
        </w:rPr>
        <w:t>polymerase</w:t>
      </w:r>
      <w:proofErr w:type="spellEnd"/>
      <w:r w:rsidRPr="00A97507">
        <w:rPr>
          <w:bCs/>
        </w:rPr>
        <w:t xml:space="preserve"> </w:t>
      </w:r>
      <w:proofErr w:type="spellStart"/>
      <w:r w:rsidRPr="00A97507">
        <w:rPr>
          <w:bCs/>
        </w:rPr>
        <w:t>chain</w:t>
      </w:r>
      <w:proofErr w:type="spellEnd"/>
      <w:r w:rsidRPr="00A97507">
        <w:rPr>
          <w:bCs/>
        </w:rPr>
        <w:t xml:space="preserve"> </w:t>
      </w:r>
      <w:proofErr w:type="spellStart"/>
      <w:r w:rsidRPr="00A97507">
        <w:rPr>
          <w:bCs/>
        </w:rPr>
        <w:t>reaction</w:t>
      </w:r>
      <w:proofErr w:type="spellEnd"/>
      <w:r w:rsidRPr="00A97507">
        <w:rPr>
          <w:bCs/>
        </w:rPr>
        <w:t>) kan vara ett värdefullt komple</w:t>
      </w:r>
      <w:r w:rsidRPr="00A97507">
        <w:rPr>
          <w:bCs/>
        </w:rPr>
        <w:softHyphen/>
        <w:t xml:space="preserve">ment i bakteriell diagnostik. </w:t>
      </w:r>
      <w:r w:rsidRPr="00A97507">
        <w:rPr>
          <w:bCs/>
        </w:rPr>
        <w:br/>
      </w:r>
      <w:r w:rsidRPr="00A97507">
        <w:rPr>
          <w:bCs/>
        </w:rPr>
        <w:br/>
        <w:t>Vad man gör vid en sådan analys är att man mångfaldigar bakteriell arvs</w:t>
      </w:r>
      <w:r w:rsidRPr="00A97507">
        <w:rPr>
          <w:bCs/>
        </w:rPr>
        <w:softHyphen/>
        <w:t>massa. De svar man då får jämförs med kända bilder av olika bakteriers arvs</w:t>
      </w:r>
      <w:r w:rsidRPr="00A97507">
        <w:rPr>
          <w:bCs/>
        </w:rPr>
        <w:softHyphen/>
        <w:t xml:space="preserve">massa. </w:t>
      </w:r>
      <w:r w:rsidRPr="00A97507">
        <w:rPr>
          <w:bCs/>
        </w:rPr>
        <w:br/>
      </w:r>
      <w:r w:rsidRPr="00A97507">
        <w:rPr>
          <w:bCs/>
        </w:rPr>
        <w:br/>
        <w:t>Fördelarna med ett sådant här förfarande är att det till skillnad från odlingen kan påvisa bakteriell arvsmassa även om det rör sig om en infektion som ej är pågående, d.v.s. det kan röra sig om avdödade bakterier och man känner ändå igen bakteriestrukturen. Detta skiljer sig naturligtvis från en odling, döda bakterier växer som bekant inte.</w:t>
      </w:r>
      <w:r w:rsidRPr="00A97507">
        <w:rPr>
          <w:bCs/>
        </w:rPr>
        <w:br/>
      </w:r>
      <w:r w:rsidRPr="00A97507">
        <w:rPr>
          <w:bCs/>
        </w:rPr>
        <w:br/>
        <w:t xml:space="preserve">Metodens begränsningar är att sensitiviteten är ganska låg. Falskt negativa svar förekommer sålunda. Vidare kan man påvisa vilken bakteriesort eller grupp som är närvarande, men man kan aldrig få fram ett resistensmönster utifrån denna metod. </w:t>
      </w:r>
      <w:r w:rsidRPr="00A97507">
        <w:rPr>
          <w:bCs/>
        </w:rPr>
        <w:br/>
      </w:r>
      <w:r w:rsidRPr="00A97507">
        <w:rPr>
          <w:bCs/>
        </w:rPr>
        <w:br/>
        <w:t>Dock kan det vara ett komplement då man misstänker infektion och får neg</w:t>
      </w:r>
      <w:r w:rsidRPr="00A97507">
        <w:rPr>
          <w:bCs/>
        </w:rPr>
        <w:softHyphen/>
        <w:t>a</w:t>
      </w:r>
      <w:r w:rsidRPr="00A97507">
        <w:rPr>
          <w:bCs/>
        </w:rPr>
        <w:softHyphen/>
        <w:t>tiva odlingar.</w:t>
      </w:r>
      <w:r w:rsidRPr="00A97507">
        <w:rPr>
          <w:rFonts w:ascii="Arial" w:hAnsi="Arial" w:cs="Arial"/>
          <w:b/>
          <w:bCs/>
          <w:sz w:val="26"/>
          <w:szCs w:val="28"/>
        </w:rPr>
        <w:br/>
      </w:r>
      <w:r w:rsidRPr="00A97507">
        <w:rPr>
          <w:rFonts w:ascii="Arial" w:hAnsi="Arial" w:cs="Arial"/>
          <w:b/>
          <w:bCs/>
          <w:iCs/>
          <w:sz w:val="26"/>
          <w:szCs w:val="28"/>
        </w:rPr>
        <w:br/>
      </w:r>
      <w:r w:rsidRPr="00B845CA">
        <w:rPr>
          <w:rStyle w:val="Rubrik2Char"/>
          <w:b/>
          <w:bCs w:val="0"/>
        </w:rPr>
        <w:t>Syfte</w:t>
      </w:r>
      <w:r w:rsidRPr="00A97507">
        <w:rPr>
          <w:rFonts w:ascii="Arial" w:hAnsi="Arial" w:cs="Arial"/>
          <w:b/>
          <w:bCs/>
          <w:iCs/>
          <w:sz w:val="26"/>
          <w:szCs w:val="28"/>
        </w:rPr>
        <w:br/>
      </w:r>
      <w:r w:rsidRPr="00A97507">
        <w:rPr>
          <w:bCs/>
          <w:iCs/>
        </w:rPr>
        <w:t xml:space="preserve">Att beskriva ytterligare ett sätt att fånga bakteriellt agens vid </w:t>
      </w:r>
      <w:proofErr w:type="spellStart"/>
      <w:r w:rsidRPr="00A97507">
        <w:rPr>
          <w:bCs/>
          <w:iCs/>
        </w:rPr>
        <w:t>inkonklusiva</w:t>
      </w:r>
      <w:proofErr w:type="spellEnd"/>
      <w:r w:rsidRPr="00A97507">
        <w:rPr>
          <w:bCs/>
          <w:iCs/>
        </w:rPr>
        <w:t xml:space="preserve"> odlings</w:t>
      </w:r>
      <w:r w:rsidRPr="00A97507">
        <w:rPr>
          <w:bCs/>
          <w:iCs/>
        </w:rPr>
        <w:softHyphen/>
      </w:r>
      <w:r w:rsidRPr="00A97507">
        <w:rPr>
          <w:bCs/>
          <w:iCs/>
        </w:rPr>
        <w:softHyphen/>
        <w:t>resultat.</w:t>
      </w:r>
      <w:r w:rsidRPr="00A97507">
        <w:rPr>
          <w:rFonts w:ascii="Arial" w:hAnsi="Arial" w:cs="Arial"/>
          <w:b/>
          <w:bCs/>
          <w:iCs/>
        </w:rPr>
        <w:br/>
      </w:r>
      <w:r w:rsidRPr="00A97507">
        <w:rPr>
          <w:rFonts w:ascii="Arial" w:hAnsi="Arial" w:cs="Arial"/>
          <w:b/>
          <w:bCs/>
          <w:iCs/>
          <w:sz w:val="26"/>
          <w:szCs w:val="28"/>
        </w:rPr>
        <w:br/>
      </w:r>
      <w:r w:rsidRPr="00B845CA">
        <w:rPr>
          <w:rStyle w:val="Rubrik2Char"/>
          <w:b/>
          <w:bCs w:val="0"/>
        </w:rPr>
        <w:t>Vilka berörs</w:t>
      </w:r>
      <w:r w:rsidRPr="00A97507">
        <w:rPr>
          <w:rFonts w:ascii="Arial" w:hAnsi="Arial" w:cs="Arial"/>
          <w:b/>
          <w:bCs/>
          <w:iCs/>
          <w:sz w:val="26"/>
          <w:szCs w:val="28"/>
        </w:rPr>
        <w:br/>
      </w:r>
      <w:r w:rsidRPr="00A97507">
        <w:rPr>
          <w:bCs/>
          <w:iCs/>
        </w:rPr>
        <w:t>Ortopedkliniken</w:t>
      </w:r>
    </w:p>
    <w:p w14:paraId="3B15B2B6" w14:textId="77777777" w:rsidR="00A97507" w:rsidRPr="00A97507" w:rsidRDefault="00A97507" w:rsidP="00A97507">
      <w:pPr>
        <w:spacing w:after="0" w:line="240" w:lineRule="auto"/>
        <w:ind w:left="0" w:right="-994"/>
        <w:rPr>
          <w:szCs w:val="20"/>
        </w:rPr>
      </w:pPr>
    </w:p>
    <w:p w14:paraId="4A75B5E0" w14:textId="77777777" w:rsidR="00A97507" w:rsidRPr="00A97507" w:rsidRDefault="00A97507" w:rsidP="00A97507">
      <w:pPr>
        <w:spacing w:after="0" w:line="240" w:lineRule="auto"/>
        <w:ind w:left="0" w:right="-994"/>
        <w:rPr>
          <w:rFonts w:cs="Arial"/>
          <w:iCs/>
          <w:szCs w:val="28"/>
        </w:rPr>
      </w:pPr>
      <w:r w:rsidRPr="00B845CA">
        <w:rPr>
          <w:rStyle w:val="Rubrik2Char"/>
          <w:b/>
          <w:bCs w:val="0"/>
        </w:rPr>
        <w:t>Åtgärd</w:t>
      </w:r>
      <w:r w:rsidRPr="00A97507">
        <w:rPr>
          <w:rFonts w:ascii="Arial" w:hAnsi="Arial" w:cs="Arial"/>
          <w:b/>
          <w:bCs/>
          <w:iCs/>
          <w:sz w:val="26"/>
          <w:szCs w:val="26"/>
        </w:rPr>
        <w:br/>
      </w:r>
      <w:r w:rsidRPr="00A97507">
        <w:rPr>
          <w:rFonts w:cs="Arial"/>
          <w:iCs/>
          <w:szCs w:val="28"/>
        </w:rPr>
        <w:t xml:space="preserve">När man tar prov på detta ska man ta viabel, men för ögat infektionsmisstänkt vävnad. Man rekommenderar att man tar </w:t>
      </w:r>
      <w:proofErr w:type="gramStart"/>
      <w:r w:rsidRPr="00A97507">
        <w:rPr>
          <w:rFonts w:cs="Arial"/>
          <w:iCs/>
          <w:szCs w:val="28"/>
        </w:rPr>
        <w:t>två stycken</w:t>
      </w:r>
      <w:proofErr w:type="gramEnd"/>
      <w:r w:rsidRPr="00A97507">
        <w:rPr>
          <w:rFonts w:cs="Arial"/>
          <w:iCs/>
          <w:szCs w:val="28"/>
        </w:rPr>
        <w:t xml:space="preserve"> prov från operations</w:t>
      </w:r>
      <w:r w:rsidRPr="00A97507">
        <w:rPr>
          <w:rFonts w:cs="Arial"/>
          <w:iCs/>
          <w:szCs w:val="28"/>
        </w:rPr>
        <w:softHyphen/>
        <w:t xml:space="preserve">området. Dessa läggs i sterilt provrör.  </w:t>
      </w:r>
      <w:r w:rsidRPr="00A97507">
        <w:rPr>
          <w:rFonts w:cs="Arial"/>
          <w:iCs/>
          <w:szCs w:val="28"/>
        </w:rPr>
        <w:lastRenderedPageBreak/>
        <w:t xml:space="preserve">Man rekommenderar, om transport till </w:t>
      </w:r>
      <w:proofErr w:type="spellStart"/>
      <w:r w:rsidRPr="00A97507">
        <w:rPr>
          <w:rFonts w:cs="Arial"/>
          <w:iCs/>
          <w:szCs w:val="28"/>
        </w:rPr>
        <w:t>lab</w:t>
      </w:r>
      <w:proofErr w:type="spellEnd"/>
      <w:r w:rsidRPr="00A97507">
        <w:rPr>
          <w:rFonts w:cs="Arial"/>
          <w:iCs/>
          <w:szCs w:val="28"/>
        </w:rPr>
        <w:t xml:space="preserve"> inte kan ske samma dag, kylskåpsförvaring fram till transporten. Proven lämnas med remiss vid den vanliga provinlämningen på Uddevalla eller NÄL för vidare transport.</w:t>
      </w:r>
    </w:p>
    <w:p w14:paraId="20CF3056" w14:textId="77777777" w:rsidR="00A97507" w:rsidRPr="00A97507" w:rsidRDefault="00A97507" w:rsidP="00A97507">
      <w:pPr>
        <w:spacing w:after="0" w:line="240" w:lineRule="auto"/>
        <w:ind w:left="0" w:right="-994"/>
        <w:rPr>
          <w:rFonts w:cs="Arial"/>
          <w:iCs/>
          <w:szCs w:val="28"/>
        </w:rPr>
      </w:pPr>
    </w:p>
    <w:p w14:paraId="477E248A" w14:textId="77777777" w:rsidR="00A97507" w:rsidRPr="00A97507" w:rsidRDefault="00A97507" w:rsidP="00A97507">
      <w:pPr>
        <w:spacing w:after="0" w:line="240" w:lineRule="auto"/>
        <w:ind w:left="0" w:right="-994"/>
        <w:rPr>
          <w:rFonts w:cs="Arial"/>
          <w:iCs/>
          <w:szCs w:val="28"/>
        </w:rPr>
      </w:pPr>
      <w:r w:rsidRPr="00A97507">
        <w:rPr>
          <w:rFonts w:cs="Arial"/>
          <w:iCs/>
          <w:szCs w:val="28"/>
        </w:rPr>
        <w:t>Analysen sker på PCR-laboratoriet på Bakteriologen på Sahlgrenska, Göteborg.</w:t>
      </w:r>
      <w:r w:rsidRPr="00A97507">
        <w:rPr>
          <w:rFonts w:cs="Arial"/>
          <w:iCs/>
          <w:szCs w:val="28"/>
        </w:rPr>
        <w:br/>
      </w:r>
      <w:r w:rsidRPr="00A97507">
        <w:rPr>
          <w:rFonts w:cs="Arial"/>
          <w:iCs/>
          <w:szCs w:val="28"/>
        </w:rPr>
        <w:br/>
        <w:t xml:space="preserve">Analysen man frågar efter kallas 16S RNA PCR. Skickas till Bakteriologen vid Guldheden på SU. </w:t>
      </w:r>
    </w:p>
    <w:p w14:paraId="4D4C9F0B" w14:textId="77777777" w:rsidR="00A97507" w:rsidRPr="00A97507" w:rsidRDefault="00A97507" w:rsidP="00A97507">
      <w:pPr>
        <w:spacing w:after="0" w:line="240" w:lineRule="auto"/>
        <w:ind w:left="0" w:right="-994"/>
        <w:rPr>
          <w:rFonts w:cs="Arial"/>
          <w:iCs/>
          <w:szCs w:val="28"/>
        </w:rPr>
      </w:pPr>
    </w:p>
    <w:p w14:paraId="0F7E4BD4" w14:textId="77777777" w:rsidR="00A97507" w:rsidRPr="00A97507" w:rsidRDefault="00A97507" w:rsidP="00A97507">
      <w:pPr>
        <w:spacing w:after="0" w:line="240" w:lineRule="auto"/>
        <w:ind w:left="0" w:right="-994"/>
        <w:rPr>
          <w:szCs w:val="20"/>
        </w:rPr>
      </w:pPr>
      <w:r w:rsidRPr="00A97507">
        <w:rPr>
          <w:szCs w:val="20"/>
        </w:rPr>
        <w:t>Remiss</w:t>
      </w:r>
      <w:r w:rsidRPr="00A97507">
        <w:rPr>
          <w:b/>
          <w:bCs/>
          <w:szCs w:val="20"/>
        </w:rPr>
        <w:t xml:space="preserve"> </w:t>
      </w:r>
      <w:r w:rsidRPr="00A97507">
        <w:rPr>
          <w:szCs w:val="20"/>
        </w:rPr>
        <w:t>hittar man här:</w:t>
      </w:r>
    </w:p>
    <w:p w14:paraId="7B2FCDE4" w14:textId="77777777" w:rsidR="00A97507" w:rsidRPr="00A97507" w:rsidRDefault="00B845CA" w:rsidP="00A97507">
      <w:pPr>
        <w:spacing w:after="0" w:line="240" w:lineRule="auto"/>
        <w:ind w:left="0" w:right="-994"/>
        <w:rPr>
          <w:b/>
          <w:bCs/>
          <w:color w:val="FF0000"/>
          <w:szCs w:val="20"/>
        </w:rPr>
      </w:pPr>
      <w:hyperlink r:id="rId17" w:history="1">
        <w:r w:rsidR="00A97507" w:rsidRPr="00A97507">
          <w:rPr>
            <w:b/>
            <w:bCs/>
            <w:color w:val="0000FF"/>
            <w:szCs w:val="20"/>
            <w:u w:val="single"/>
          </w:rPr>
          <w:t>https://sahlgrenska-klinkem-analyser.vgregion.se/BAAP0118.pdf</w:t>
        </w:r>
      </w:hyperlink>
    </w:p>
    <w:p w14:paraId="73FAA7C6" w14:textId="77777777" w:rsidR="00A97507" w:rsidRPr="00A97507" w:rsidRDefault="00A97507" w:rsidP="00A97507">
      <w:pPr>
        <w:spacing w:after="0" w:line="240" w:lineRule="auto"/>
        <w:ind w:left="0" w:right="-994"/>
        <w:rPr>
          <w:color w:val="FF0000"/>
          <w:szCs w:val="20"/>
        </w:rPr>
      </w:pPr>
    </w:p>
    <w:p w14:paraId="7203522F" w14:textId="77777777" w:rsidR="00A97507" w:rsidRPr="00A97507" w:rsidRDefault="00A97507" w:rsidP="00A97507">
      <w:pPr>
        <w:spacing w:after="0" w:line="240" w:lineRule="auto"/>
        <w:ind w:left="0" w:right="-994"/>
        <w:rPr>
          <w:b/>
          <w:bCs/>
          <w:szCs w:val="20"/>
        </w:rPr>
      </w:pPr>
    </w:p>
    <w:bookmarkEnd w:id="0"/>
    <w:p w14:paraId="76B9F95B" w14:textId="24513497" w:rsidR="00536A5A" w:rsidRPr="00536A5A" w:rsidRDefault="00536A5A" w:rsidP="00536A5A">
      <w:pPr>
        <w:spacing w:after="0" w:line="240" w:lineRule="auto"/>
        <w:ind w:left="0" w:right="0"/>
      </w:pPr>
    </w:p>
    <w:sectPr w:rsidR="00536A5A" w:rsidRPr="00536A5A" w:rsidSect="00A9750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134321063">
    <w:abstractNumId w:val="17"/>
  </w:num>
  <w:num w:numId="2" w16cid:durableId="1186091942">
    <w:abstractNumId w:val="14"/>
  </w:num>
  <w:num w:numId="3" w16cid:durableId="1224946301">
    <w:abstractNumId w:val="0"/>
  </w:num>
  <w:num w:numId="4" w16cid:durableId="1623531678">
    <w:abstractNumId w:val="6"/>
  </w:num>
  <w:num w:numId="5" w16cid:durableId="1638878465">
    <w:abstractNumId w:val="15"/>
  </w:num>
  <w:num w:numId="6" w16cid:durableId="622345758">
    <w:abstractNumId w:val="2"/>
  </w:num>
  <w:num w:numId="7" w16cid:durableId="904872310">
    <w:abstractNumId w:val="11"/>
  </w:num>
  <w:num w:numId="8" w16cid:durableId="511652405">
    <w:abstractNumId w:val="8"/>
  </w:num>
  <w:num w:numId="9" w16cid:durableId="786122936">
    <w:abstractNumId w:val="1"/>
  </w:num>
  <w:num w:numId="10" w16cid:durableId="984354737">
    <w:abstractNumId w:val="1"/>
  </w:num>
  <w:num w:numId="11" w16cid:durableId="1274706189">
    <w:abstractNumId w:val="3"/>
  </w:num>
  <w:num w:numId="12" w16cid:durableId="1800224806">
    <w:abstractNumId w:val="4"/>
  </w:num>
  <w:num w:numId="13" w16cid:durableId="919828152">
    <w:abstractNumId w:val="13"/>
  </w:num>
  <w:num w:numId="14" w16cid:durableId="837234437">
    <w:abstractNumId w:val="9"/>
  </w:num>
  <w:num w:numId="15" w16cid:durableId="726490070">
    <w:abstractNumId w:val="7"/>
  </w:num>
  <w:num w:numId="16" w16cid:durableId="1575819179">
    <w:abstractNumId w:val="12"/>
  </w:num>
  <w:num w:numId="17" w16cid:durableId="913244562">
    <w:abstractNumId w:val="5"/>
  </w:num>
  <w:num w:numId="18" w16cid:durableId="1470708013">
    <w:abstractNumId w:val="10"/>
  </w:num>
  <w:num w:numId="19" w16cid:durableId="130574107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8"/>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975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45CA"/>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sahlgrenska-klinkem-analyser.vgregion.se/BAAP0118.pdf"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3</TotalTime>
  <Pages>2</Pages>
  <Words>262</Words>
  <Characters>1683</Characters>
  <Application>Microsoft Office Word</Application>
  <DocSecurity>0</DocSecurity>
  <Lines>14</Lines>
  <Paragraphs>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1942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PCR-diagnostik</dc:title>
  <dc:subject/>
  <dc:creator>patrik.jens.johansson@vgregion.se</dc:creator>
  <keywords/>
  <lastModifiedBy>Elisabeth Carlsson</lastModifiedBy>
  <revision>3</revision>
  <lastPrinted>2016-03-31T10:56:00.0000000Z</lastPrinted>
  <dcterms:created xsi:type="dcterms:W3CDTF">2022-05-10T07:45:00.0000000Z</dcterms:created>
  <dcterms:modified xsi:type="dcterms:W3CDTF">2022-11-17T10:00:00.0000000Z</dcterms:modified>
</coreProperties>
</file>