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E88EA" w14:textId="77777777" w:rsidR="00B75545" w:rsidRDefault="00B75545" w:rsidP="00F35B05">
      <w:pPr>
        <w:pStyle w:val="Rubrik2"/>
        <w:sectPr w:rsidR="00B75545" w:rsidSect="00B755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6F93CA" w14:textId="77777777" w:rsidR="00B75545" w:rsidRPr="00B75545" w:rsidRDefault="00B75545" w:rsidP="00B75545">
      <w:pPr>
        <w:spacing w:after="0" w:line="240" w:lineRule="auto"/>
        <w:ind w:left="0" w:right="0"/>
        <w:rPr>
          <w:szCs w:val="20"/>
        </w:rPr>
      </w:pPr>
    </w:p>
    <w:p w14:paraId="51855F1C" w14:textId="77777777" w:rsidR="00B75545" w:rsidRPr="00B75545" w:rsidRDefault="00B75545" w:rsidP="00B75545">
      <w:pPr>
        <w:spacing w:after="0" w:line="240" w:lineRule="auto"/>
        <w:ind w:left="0" w:right="0"/>
        <w:rPr>
          <w:szCs w:val="20"/>
        </w:rPr>
      </w:pPr>
    </w:p>
    <w:p w14:paraId="049E8DE4" w14:textId="77777777" w:rsidR="00B75545" w:rsidRPr="00B75545" w:rsidRDefault="00B75545" w:rsidP="00B7554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75545">
        <w:rPr>
          <w:szCs w:val="20"/>
        </w:rPr>
        <w:tab/>
      </w:r>
    </w:p>
    <w:p w14:paraId="51B619B3" w14:textId="07CB7D5A" w:rsidR="00B75545" w:rsidRPr="00B75545" w:rsidRDefault="00B75545" w:rsidP="00B75545">
      <w:pPr>
        <w:spacing w:after="0" w:line="240" w:lineRule="auto"/>
        <w:ind w:left="0" w:right="-568"/>
        <w:rPr>
          <w:szCs w:val="20"/>
        </w:rPr>
      </w:pPr>
      <w:r w:rsidRPr="00B7554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FC861E" wp14:editId="19E52B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B2301A" w14:textId="77777777" w:rsidR="00B75545" w:rsidRPr="003D37FD" w:rsidRDefault="00B75545" w:rsidP="00B7554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27708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FC861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6B2301A" w14:textId="77777777" w:rsidR="00B75545" w:rsidRPr="003D37FD" w:rsidRDefault="00B75545" w:rsidP="00B7554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27708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75545" w:rsidRPr="00B75545" w14:paraId="1F00AB9F" w14:textId="77777777" w:rsidTr="005B052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04D8DE" w14:textId="77777777" w:rsidR="00B75545" w:rsidRPr="00C90044" w:rsidRDefault="00B75545" w:rsidP="00C90044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C90044">
              <w:rPr>
                <w:b/>
                <w:bCs w:val="0"/>
              </w:rPr>
              <w:t>MR-undersökning vid akuta tillstånd som involverar ryggkotpelaren</w:t>
            </w:r>
          </w:p>
        </w:tc>
      </w:tr>
    </w:tbl>
    <w:p w14:paraId="77C4A69C" w14:textId="77777777" w:rsidR="00B75545" w:rsidRPr="00C90044" w:rsidRDefault="00B75545" w:rsidP="00C90044">
      <w:pPr>
        <w:pStyle w:val="Rubrik2"/>
        <w:ind w:left="0"/>
        <w:rPr>
          <w:b/>
          <w:bCs w:val="0"/>
        </w:rPr>
      </w:pPr>
      <w:r w:rsidRPr="00C90044">
        <w:rPr>
          <w:b/>
          <w:bCs w:val="0"/>
        </w:rPr>
        <w:t>Revidering i denna version</w:t>
      </w:r>
    </w:p>
    <w:p w14:paraId="4E38A32F" w14:textId="5F0CB064" w:rsidR="00B75545" w:rsidRPr="00B75545" w:rsidRDefault="00C90044" w:rsidP="00B7554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Ingen revidering i denna version, giltighetstiden förlängd. </w:t>
      </w:r>
    </w:p>
    <w:p w14:paraId="6DD92D4B" w14:textId="77777777" w:rsidR="00B75545" w:rsidRPr="00C90044" w:rsidRDefault="00B75545" w:rsidP="00C90044">
      <w:pPr>
        <w:pStyle w:val="Rubrik2"/>
        <w:ind w:left="0"/>
        <w:rPr>
          <w:b/>
          <w:bCs w:val="0"/>
        </w:rPr>
      </w:pPr>
      <w:r w:rsidRPr="00C90044">
        <w:rPr>
          <w:b/>
          <w:bCs w:val="0"/>
        </w:rPr>
        <w:t xml:space="preserve">Bakgrund </w:t>
      </w:r>
    </w:p>
    <w:p w14:paraId="3FAB93AD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 xml:space="preserve">Bedömning av akuta ryggåkommor är erkänt svårt då symptombilden är varierande och underliggande nervpåverkan många gånger svårvärderad. Behov finns efter Lex Maria ärende (Dnr: </w:t>
      </w:r>
      <w:proofErr w:type="gramStart"/>
      <w:r w:rsidRPr="00B75545">
        <w:rPr>
          <w:color w:val="292526"/>
        </w:rPr>
        <w:t>8.2-13003</w:t>
      </w:r>
      <w:proofErr w:type="gramEnd"/>
      <w:r w:rsidRPr="00B75545">
        <w:rPr>
          <w:color w:val="292526"/>
        </w:rPr>
        <w:t xml:space="preserve">/2014) av riktlinje som stöd i ställningstagandet till MR-undersökning vid akuta ryggåkommor. </w:t>
      </w:r>
    </w:p>
    <w:p w14:paraId="344D3063" w14:textId="77777777" w:rsidR="00B75545" w:rsidRPr="00C90044" w:rsidRDefault="00B75545" w:rsidP="00C90044">
      <w:pPr>
        <w:pStyle w:val="Rubrik2"/>
        <w:ind w:left="0"/>
        <w:rPr>
          <w:b/>
          <w:bCs w:val="0"/>
        </w:rPr>
      </w:pPr>
      <w:r w:rsidRPr="00C90044">
        <w:rPr>
          <w:b/>
          <w:bCs w:val="0"/>
        </w:rPr>
        <w:t xml:space="preserve">Syfte </w:t>
      </w:r>
    </w:p>
    <w:p w14:paraId="104605F5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>Tydliggöra när magnetkameraundersökning bör komplettera den kliniska under</w:t>
      </w:r>
      <w:r w:rsidRPr="00B75545">
        <w:rPr>
          <w:color w:val="292526"/>
        </w:rPr>
        <w:softHyphen/>
        <w:t>sökningen vid akuta ryggåkommor.</w:t>
      </w:r>
    </w:p>
    <w:p w14:paraId="695F401F" w14:textId="77777777" w:rsidR="00B75545" w:rsidRPr="00C90044" w:rsidRDefault="00B75545" w:rsidP="00C90044">
      <w:pPr>
        <w:pStyle w:val="Rubrik2"/>
        <w:ind w:left="0"/>
        <w:rPr>
          <w:b/>
          <w:bCs w:val="0"/>
        </w:rPr>
      </w:pPr>
      <w:r w:rsidRPr="00C90044">
        <w:rPr>
          <w:b/>
          <w:bCs w:val="0"/>
        </w:rPr>
        <w:t>Vilka berörs</w:t>
      </w:r>
    </w:p>
    <w:p w14:paraId="062BE757" w14:textId="77777777" w:rsidR="00B75545" w:rsidRPr="00B75545" w:rsidRDefault="00B75545" w:rsidP="00B75545">
      <w:pPr>
        <w:spacing w:after="0" w:line="240" w:lineRule="auto"/>
        <w:ind w:left="0" w:right="-284"/>
        <w:rPr>
          <w:szCs w:val="20"/>
        </w:rPr>
      </w:pPr>
      <w:r w:rsidRPr="00B75545">
        <w:rPr>
          <w:szCs w:val="20"/>
        </w:rPr>
        <w:t>Ortopedkliniken</w:t>
      </w:r>
    </w:p>
    <w:p w14:paraId="5D56B4AB" w14:textId="77777777" w:rsidR="00B75545" w:rsidRPr="00C90044" w:rsidRDefault="00B75545" w:rsidP="00C90044">
      <w:pPr>
        <w:pStyle w:val="Rubrik2"/>
        <w:ind w:left="0"/>
        <w:rPr>
          <w:b/>
          <w:bCs w:val="0"/>
        </w:rPr>
      </w:pPr>
      <w:r w:rsidRPr="00C90044">
        <w:rPr>
          <w:b/>
          <w:bCs w:val="0"/>
        </w:rPr>
        <w:t xml:space="preserve">Åtgärder </w:t>
      </w:r>
    </w:p>
    <w:p w14:paraId="625DE992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>MR används i akutsituationen för att diagnostisera patologi i mjukdelarna.</w:t>
      </w:r>
    </w:p>
    <w:p w14:paraId="47D683FE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0B928E14" w14:textId="62B55DC7" w:rsidR="00B75545" w:rsidRPr="00352EE8" w:rsidRDefault="00B75545" w:rsidP="00352EE8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-284"/>
        <w:rPr>
          <w:color w:val="292526"/>
        </w:rPr>
      </w:pPr>
      <w:r w:rsidRPr="00352EE8">
        <w:rPr>
          <w:color w:val="292526"/>
        </w:rPr>
        <w:t xml:space="preserve">Vid trauma för att (a) påvisa </w:t>
      </w:r>
      <w:proofErr w:type="spellStart"/>
      <w:r w:rsidRPr="00352EE8">
        <w:rPr>
          <w:color w:val="292526"/>
        </w:rPr>
        <w:t>ligamentär</w:t>
      </w:r>
      <w:proofErr w:type="spellEnd"/>
      <w:r w:rsidRPr="00352EE8">
        <w:rPr>
          <w:color w:val="292526"/>
        </w:rPr>
        <w:t xml:space="preserve"> instabilitet, och (b) påvisa nervkompression</w:t>
      </w:r>
    </w:p>
    <w:p w14:paraId="106150D6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0066E4BB" w14:textId="2CAA1AFB" w:rsidR="00B75545" w:rsidRPr="00352EE8" w:rsidRDefault="00B75545" w:rsidP="00352EE8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-284"/>
        <w:rPr>
          <w:color w:val="292526"/>
        </w:rPr>
      </w:pPr>
      <w:r w:rsidRPr="00352EE8">
        <w:rPr>
          <w:color w:val="292526"/>
        </w:rPr>
        <w:t>För att diagnostisera tumörpåverkan och infektion</w:t>
      </w:r>
    </w:p>
    <w:p w14:paraId="06619C40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69B3ED36" w14:textId="23A66D49" w:rsidR="00B75545" w:rsidRPr="00352EE8" w:rsidRDefault="00B75545" w:rsidP="00352EE8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-284"/>
        <w:rPr>
          <w:color w:val="292526"/>
        </w:rPr>
      </w:pPr>
      <w:r w:rsidRPr="00352EE8">
        <w:rPr>
          <w:color w:val="292526"/>
        </w:rPr>
        <w:t>För att påvisa behandlingsbar nervpåverkan där degenerativa tillstånd i kotpelaren inverkar, av akut karaktär.</w:t>
      </w:r>
    </w:p>
    <w:p w14:paraId="36A00E0A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35476C07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lastRenderedPageBreak/>
        <w:t>Ställningstagande till MR-undersökning föregås alltid av noggrann anamnes och kliniskt status med nivådiagnostik.</w:t>
      </w:r>
    </w:p>
    <w:p w14:paraId="10080C95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1FD760E9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 xml:space="preserve">Alla som tjänstgör i akutledet ska vara kompetenta att genomföra neurologiskt status med nivådiagnostik eller ha tillgång till handledning. Skillnaden mellan perifer och central påverkan ska vara känd. Likaså skillnaden mellan rotpåverkan och </w:t>
      </w:r>
      <w:proofErr w:type="spellStart"/>
      <w:r w:rsidRPr="00B75545">
        <w:rPr>
          <w:color w:val="292526"/>
        </w:rPr>
        <w:t>cauda</w:t>
      </w:r>
      <w:proofErr w:type="spellEnd"/>
      <w:r w:rsidRPr="00B75545">
        <w:rPr>
          <w:color w:val="292526"/>
        </w:rPr>
        <w:t xml:space="preserve">/ </w:t>
      </w:r>
      <w:proofErr w:type="spellStart"/>
      <w:r w:rsidRPr="00B75545">
        <w:rPr>
          <w:color w:val="292526"/>
        </w:rPr>
        <w:t>medullapåverkan</w:t>
      </w:r>
      <w:proofErr w:type="spellEnd"/>
      <w:r w:rsidRPr="00B75545">
        <w:rPr>
          <w:color w:val="292526"/>
        </w:rPr>
        <w:t>.</w:t>
      </w:r>
    </w:p>
    <w:p w14:paraId="24AD87A3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rFonts w:ascii="Arial" w:hAnsi="Arial" w:cs="Arial"/>
          <w:color w:val="292526"/>
        </w:rPr>
      </w:pPr>
    </w:p>
    <w:p w14:paraId="30394C83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rFonts w:ascii="Calibri" w:hAnsi="Calibri" w:cs="Calibri"/>
          <w:b/>
          <w:color w:val="292526"/>
        </w:rPr>
      </w:pPr>
      <w:r w:rsidRPr="00B75545">
        <w:rPr>
          <w:rFonts w:ascii="Calibri" w:hAnsi="Calibri" w:cs="Calibri"/>
          <w:b/>
          <w:color w:val="292526"/>
        </w:rPr>
        <w:t>Klassifikation av neurologisk påverkan:</w:t>
      </w:r>
    </w:p>
    <w:p w14:paraId="2138FE55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color w:val="292526"/>
          <w:lang w:eastAsia="en-US"/>
        </w:rPr>
      </w:pPr>
      <w:r w:rsidRPr="00B75545">
        <w:rPr>
          <w:rFonts w:eastAsia="Calibri"/>
          <w:color w:val="292526"/>
          <w:lang w:eastAsia="en-US"/>
        </w:rPr>
        <w:t>intakt</w:t>
      </w:r>
    </w:p>
    <w:p w14:paraId="2281B3F6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>rotpåverkan</w:t>
      </w:r>
    </w:p>
    <w:p w14:paraId="64E196DE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komplett </w:t>
      </w:r>
      <w:proofErr w:type="spellStart"/>
      <w:r w:rsidRPr="00B75545">
        <w:rPr>
          <w:rFonts w:eastAsia="Calibri"/>
          <w:lang w:eastAsia="en-US"/>
        </w:rPr>
        <w:t>medullärt</w:t>
      </w:r>
      <w:proofErr w:type="spellEnd"/>
      <w:r w:rsidRPr="00B75545">
        <w:rPr>
          <w:rFonts w:eastAsia="Calibri"/>
          <w:lang w:eastAsia="en-US"/>
        </w:rPr>
        <w:t xml:space="preserve"> bortfall</w:t>
      </w:r>
    </w:p>
    <w:p w14:paraId="3D65ACD3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inkomplett </w:t>
      </w:r>
      <w:proofErr w:type="spellStart"/>
      <w:r w:rsidRPr="00B75545">
        <w:rPr>
          <w:rFonts w:eastAsia="Calibri"/>
          <w:lang w:eastAsia="en-US"/>
        </w:rPr>
        <w:t>medullärt</w:t>
      </w:r>
      <w:proofErr w:type="spellEnd"/>
      <w:r w:rsidRPr="00B75545">
        <w:rPr>
          <w:rFonts w:eastAsia="Calibri"/>
          <w:lang w:eastAsia="en-US"/>
        </w:rPr>
        <w:t xml:space="preserve"> bortfall </w:t>
      </w:r>
    </w:p>
    <w:p w14:paraId="00A3DCE5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komplett </w:t>
      </w:r>
      <w:proofErr w:type="spellStart"/>
      <w:r w:rsidRPr="00B75545">
        <w:rPr>
          <w:rFonts w:eastAsia="Calibri"/>
          <w:lang w:eastAsia="en-US"/>
        </w:rPr>
        <w:t>cauda</w:t>
      </w:r>
      <w:proofErr w:type="spellEnd"/>
      <w:r w:rsidRPr="00B75545">
        <w:rPr>
          <w:rFonts w:eastAsia="Calibri"/>
          <w:lang w:eastAsia="en-US"/>
        </w:rPr>
        <w:t xml:space="preserve"> </w:t>
      </w:r>
      <w:proofErr w:type="spellStart"/>
      <w:r w:rsidRPr="00B75545">
        <w:rPr>
          <w:rFonts w:eastAsia="Calibri"/>
          <w:lang w:eastAsia="en-US"/>
        </w:rPr>
        <w:t>equina</w:t>
      </w:r>
      <w:proofErr w:type="spellEnd"/>
      <w:r w:rsidRPr="00B75545">
        <w:rPr>
          <w:rFonts w:eastAsia="Calibri"/>
          <w:lang w:eastAsia="en-US"/>
        </w:rPr>
        <w:t xml:space="preserve">-påverkan </w:t>
      </w:r>
    </w:p>
    <w:p w14:paraId="295DE02F" w14:textId="77777777" w:rsidR="00B75545" w:rsidRPr="00B75545" w:rsidRDefault="00B75545" w:rsidP="00B75545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-284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inkomplett </w:t>
      </w:r>
      <w:proofErr w:type="spellStart"/>
      <w:r w:rsidRPr="00B75545">
        <w:rPr>
          <w:rFonts w:eastAsia="Calibri"/>
          <w:lang w:eastAsia="en-US"/>
        </w:rPr>
        <w:t>cauda</w:t>
      </w:r>
      <w:proofErr w:type="spellEnd"/>
      <w:r w:rsidRPr="00B75545">
        <w:rPr>
          <w:rFonts w:eastAsia="Calibri"/>
          <w:lang w:eastAsia="en-US"/>
        </w:rPr>
        <w:t xml:space="preserve"> </w:t>
      </w:r>
      <w:proofErr w:type="spellStart"/>
      <w:r w:rsidRPr="00B75545">
        <w:rPr>
          <w:rFonts w:eastAsia="Calibri"/>
          <w:lang w:eastAsia="en-US"/>
        </w:rPr>
        <w:t>equina</w:t>
      </w:r>
      <w:proofErr w:type="spellEnd"/>
      <w:r w:rsidRPr="00B75545">
        <w:rPr>
          <w:rFonts w:eastAsia="Calibri"/>
          <w:lang w:eastAsia="en-US"/>
        </w:rPr>
        <w:t>-påverkan</w:t>
      </w:r>
    </w:p>
    <w:p w14:paraId="116E3E40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rFonts w:ascii="Arial" w:hAnsi="Arial" w:cs="Arial"/>
          <w:color w:val="FF0000"/>
        </w:rPr>
      </w:pPr>
    </w:p>
    <w:p w14:paraId="4D56CDB1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rFonts w:ascii="Calibri" w:hAnsi="Calibri" w:cs="Calibri"/>
          <w:b/>
          <w:color w:val="292526"/>
        </w:rPr>
      </w:pPr>
      <w:proofErr w:type="spellStart"/>
      <w:r w:rsidRPr="00B75545">
        <w:rPr>
          <w:rFonts w:ascii="Calibri" w:hAnsi="Calibri" w:cs="Calibri"/>
          <w:b/>
          <w:color w:val="292526"/>
        </w:rPr>
        <w:t>Atraumatisk</w:t>
      </w:r>
      <w:proofErr w:type="spellEnd"/>
    </w:p>
    <w:p w14:paraId="161DD67C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 xml:space="preserve">Akut MR-undersökning (snarast) är påkallad vid </w:t>
      </w:r>
      <w:proofErr w:type="spellStart"/>
      <w:r w:rsidRPr="00B75545">
        <w:rPr>
          <w:color w:val="292526"/>
        </w:rPr>
        <w:t>progredierande</w:t>
      </w:r>
      <w:proofErr w:type="spellEnd"/>
      <w:r w:rsidRPr="00B75545">
        <w:rPr>
          <w:color w:val="292526"/>
        </w:rPr>
        <w:t xml:space="preserve"> neurologisk påverkan utan trauma, där anamnesen är kort (timmar-något dygn) med neurologiskt status indikerande partiell påverkan (4) eller (6). Vid komplett bortfall (3,5) är prognosen sämre, men akut undersökning får övervägas vid snabb progress. </w:t>
      </w:r>
    </w:p>
    <w:p w14:paraId="11BA004F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27AA7F16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color w:val="292526"/>
          <w:lang w:eastAsia="en-US"/>
        </w:rPr>
      </w:pPr>
      <w:r w:rsidRPr="00B75545">
        <w:rPr>
          <w:rFonts w:eastAsia="Calibri"/>
          <w:color w:val="292526"/>
          <w:lang w:eastAsia="en-US"/>
        </w:rPr>
        <w:t xml:space="preserve">Kontakta AÖL dagtid och </w:t>
      </w:r>
      <w:proofErr w:type="gramStart"/>
      <w:r w:rsidRPr="00B75545">
        <w:rPr>
          <w:rFonts w:eastAsia="Calibri"/>
          <w:color w:val="292526"/>
          <w:lang w:eastAsia="en-US"/>
        </w:rPr>
        <w:t>mellanjour alt</w:t>
      </w:r>
      <w:proofErr w:type="gramEnd"/>
      <w:r w:rsidRPr="00B75545">
        <w:rPr>
          <w:rFonts w:eastAsia="Calibri"/>
          <w:color w:val="292526"/>
          <w:lang w:eastAsia="en-US"/>
        </w:rPr>
        <w:t xml:space="preserve"> bakjour jourtid för kännedom. </w:t>
      </w:r>
    </w:p>
    <w:p w14:paraId="52DA4529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color w:val="292526"/>
          <w:lang w:eastAsia="en-US"/>
        </w:rPr>
      </w:pPr>
      <w:r w:rsidRPr="00B75545">
        <w:rPr>
          <w:rFonts w:eastAsia="Calibri"/>
          <w:color w:val="292526"/>
          <w:lang w:eastAsia="en-US"/>
        </w:rPr>
        <w:t>Skriv akut MR-remiss (se separat rutin)</w:t>
      </w:r>
    </w:p>
    <w:p w14:paraId="1A9C0B64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color w:val="292526"/>
          <w:lang w:eastAsia="en-US"/>
        </w:rPr>
      </w:pPr>
      <w:r w:rsidRPr="00B75545">
        <w:rPr>
          <w:rFonts w:eastAsia="Calibri"/>
          <w:color w:val="292526"/>
          <w:lang w:eastAsia="en-US"/>
        </w:rPr>
        <w:t>Kontakta ryggbakjour (nås via växeln)</w:t>
      </w:r>
    </w:p>
    <w:p w14:paraId="6F6DB878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5F4AB5D3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rPr>
          <w:color w:val="292526"/>
        </w:rPr>
        <w:t xml:space="preserve">Behandlingsbara akuta åkommor är diskbråck, spinal blödning, abscess, </w:t>
      </w:r>
      <w:r w:rsidRPr="00B75545">
        <w:t>tumör/metastas, fraktur.</w:t>
      </w:r>
    </w:p>
    <w:p w14:paraId="502E3E96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1923DFA7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  <w:r w:rsidRPr="00B75545">
        <w:rPr>
          <w:color w:val="292526"/>
        </w:rPr>
        <w:t xml:space="preserve">Subakut MR-undersökning (dagtid) är påkallad vid; längre anamnes (dagar), oklarheter i anamnes och status, misstanke på aggravering samt vid tecken på komplett bortfall som stått mer än 24 timmar. </w:t>
      </w:r>
    </w:p>
    <w:p w14:paraId="1047D75F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2F1E18DA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709" w:right="-284" w:hanging="283"/>
        <w:rPr>
          <w:color w:val="292526"/>
        </w:rPr>
      </w:pPr>
      <w:r w:rsidRPr="00B75545">
        <w:rPr>
          <w:color w:val="292526"/>
        </w:rPr>
        <w:t xml:space="preserve">- </w:t>
      </w:r>
      <w:r w:rsidRPr="00B75545">
        <w:rPr>
          <w:color w:val="292526"/>
        </w:rPr>
        <w:tab/>
        <w:t>Sätt KAD</w:t>
      </w:r>
    </w:p>
    <w:p w14:paraId="30AC25A8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709" w:right="-284" w:hanging="283"/>
        <w:rPr>
          <w:color w:val="292526"/>
        </w:rPr>
      </w:pPr>
      <w:r w:rsidRPr="00B75545">
        <w:rPr>
          <w:color w:val="292526"/>
        </w:rPr>
        <w:t xml:space="preserve">- </w:t>
      </w:r>
      <w:r w:rsidRPr="00B75545">
        <w:rPr>
          <w:color w:val="292526"/>
        </w:rPr>
        <w:tab/>
        <w:t xml:space="preserve">Kontakta AÖL dagtid, </w:t>
      </w:r>
      <w:proofErr w:type="gramStart"/>
      <w:r w:rsidRPr="00B75545">
        <w:rPr>
          <w:color w:val="292526"/>
        </w:rPr>
        <w:t>mellanjour alt</w:t>
      </w:r>
      <w:proofErr w:type="gramEnd"/>
      <w:r w:rsidRPr="00B75545">
        <w:rPr>
          <w:color w:val="292526"/>
        </w:rPr>
        <w:t xml:space="preserve"> bakjourring jourtid. </w:t>
      </w:r>
    </w:p>
    <w:p w14:paraId="572D7C4A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709" w:right="-284" w:hanging="283"/>
        <w:rPr>
          <w:color w:val="292526"/>
        </w:rPr>
      </w:pPr>
      <w:r w:rsidRPr="00B75545">
        <w:rPr>
          <w:color w:val="292526"/>
        </w:rPr>
        <w:t xml:space="preserve">- </w:t>
      </w:r>
      <w:r w:rsidRPr="00B75545">
        <w:rPr>
          <w:color w:val="292526"/>
        </w:rPr>
        <w:tab/>
        <w:t>Skriv subakut MR-remiss</w:t>
      </w:r>
    </w:p>
    <w:p w14:paraId="0706100F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709" w:right="-284" w:hanging="283"/>
        <w:rPr>
          <w:color w:val="292526"/>
        </w:rPr>
      </w:pPr>
      <w:r w:rsidRPr="00B75545">
        <w:rPr>
          <w:color w:val="292526"/>
        </w:rPr>
        <w:t xml:space="preserve">- </w:t>
      </w:r>
      <w:r w:rsidRPr="00B75545">
        <w:rPr>
          <w:color w:val="292526"/>
        </w:rPr>
        <w:tab/>
        <w:t>Kontakta ryggbakjour dagtid (nås via växeln)</w:t>
      </w:r>
    </w:p>
    <w:p w14:paraId="0EA2B584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color w:val="292526"/>
        </w:rPr>
      </w:pPr>
    </w:p>
    <w:p w14:paraId="721F8786" w14:textId="2B387C28" w:rsidR="00B75545" w:rsidRPr="00E1600B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 xml:space="preserve">Behandlingsbara subakuta åkommor; diskbråck, spinal stenos, tumör/metastas, </w:t>
      </w:r>
      <w:proofErr w:type="spellStart"/>
      <w:r w:rsidRPr="00B75545">
        <w:t>spondylodiskit</w:t>
      </w:r>
      <w:proofErr w:type="spellEnd"/>
      <w:r w:rsidRPr="00B75545">
        <w:t>/abscess, fraktur.</w:t>
      </w:r>
    </w:p>
    <w:p w14:paraId="3E9F1DEF" w14:textId="77777777" w:rsidR="00B75545" w:rsidRPr="00E1600B" w:rsidRDefault="00B75545" w:rsidP="00E1600B">
      <w:pPr>
        <w:pStyle w:val="Rubrik3"/>
        <w:ind w:left="0"/>
        <w:rPr>
          <w:b/>
          <w:bCs w:val="0"/>
        </w:rPr>
      </w:pPr>
      <w:r w:rsidRPr="00E1600B">
        <w:rPr>
          <w:b/>
          <w:bCs w:val="0"/>
        </w:rPr>
        <w:t>Traumatisk</w:t>
      </w:r>
    </w:p>
    <w:p w14:paraId="794C3635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>Vid trauma görs MR:</w:t>
      </w:r>
    </w:p>
    <w:p w14:paraId="7BC88E07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om det föreligger neurologisk påverkan utan att CT visat fraktur eller felställning, d.v.s. misstanke på ex </w:t>
      </w:r>
      <w:proofErr w:type="gramStart"/>
      <w:r w:rsidRPr="00B75545">
        <w:rPr>
          <w:rFonts w:eastAsia="Calibri"/>
          <w:lang w:eastAsia="en-US"/>
        </w:rPr>
        <w:t>vis blödning</w:t>
      </w:r>
      <w:proofErr w:type="gramEnd"/>
      <w:r w:rsidRPr="00B75545">
        <w:rPr>
          <w:rFonts w:eastAsia="Calibri"/>
          <w:lang w:eastAsia="en-US"/>
        </w:rPr>
        <w:t xml:space="preserve"> eller traumatisk diskruptur med nervkompression (oftast halsrygg). Rådgör med ryggbakjour.</w:t>
      </w:r>
    </w:p>
    <w:p w14:paraId="57FDAFA2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om CT visar misstanke på </w:t>
      </w:r>
      <w:proofErr w:type="spellStart"/>
      <w:r w:rsidRPr="00B75545">
        <w:rPr>
          <w:rFonts w:eastAsia="Calibri"/>
          <w:lang w:eastAsia="en-US"/>
        </w:rPr>
        <w:t>ligamentär</w:t>
      </w:r>
      <w:proofErr w:type="spellEnd"/>
      <w:r w:rsidRPr="00B75545">
        <w:rPr>
          <w:rFonts w:eastAsia="Calibri"/>
          <w:lang w:eastAsia="en-US"/>
        </w:rPr>
        <w:t xml:space="preserve"> skada görs MR planerat inför mobilisering </w:t>
      </w:r>
    </w:p>
    <w:p w14:paraId="3A47B4E4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</w:p>
    <w:p w14:paraId="6BF35CE7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>Vid trauma görs MR inte:</w:t>
      </w:r>
    </w:p>
    <w:p w14:paraId="723FEE18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vid multitrauma med spinal fraktur och eventuell dislokation, där patienten har partiell eller komplett neurologisk påverkan, handläggs patienten primärt av kirurgklinik/IVA </w:t>
      </w:r>
      <w:r w:rsidRPr="00B75545">
        <w:rPr>
          <w:rFonts w:eastAsia="Calibri"/>
          <w:lang w:eastAsia="en-US"/>
        </w:rPr>
        <w:lastRenderedPageBreak/>
        <w:t xml:space="preserve">enligt ATLS-konceptet. Förutom trauma-CT är MR rygg oftast inte aktuell i akutskedet vid skador i flera organsystem. Patientens skador behandlas i prioriteringsordning och övriga skador avgör när vidare utredning/MRT och ryggkirurgi blir aktuell. Under tiden temporär frakturstabilisering, ex vis </w:t>
      </w:r>
      <w:proofErr w:type="spellStart"/>
      <w:r w:rsidRPr="00B75545">
        <w:rPr>
          <w:rFonts w:eastAsia="Calibri"/>
          <w:lang w:eastAsia="en-US"/>
        </w:rPr>
        <w:t>ortos</w:t>
      </w:r>
      <w:proofErr w:type="spellEnd"/>
      <w:r w:rsidRPr="00B75545">
        <w:rPr>
          <w:rFonts w:eastAsia="Calibri"/>
          <w:lang w:eastAsia="en-US"/>
        </w:rPr>
        <w:t xml:space="preserve">, planläge, blockvändning. Kontakta alltid ryggbakjour, även jourtid, för planering. Noggrant och gärna upprepat neurologiskt status är värdefullt, även då patienten ofta hålls </w:t>
      </w:r>
      <w:proofErr w:type="spellStart"/>
      <w:r w:rsidRPr="00B75545">
        <w:rPr>
          <w:rFonts w:eastAsia="Calibri"/>
          <w:lang w:eastAsia="en-US"/>
        </w:rPr>
        <w:t>sederad</w:t>
      </w:r>
      <w:proofErr w:type="spellEnd"/>
      <w:r w:rsidRPr="00B75545">
        <w:rPr>
          <w:rFonts w:eastAsia="Calibri"/>
          <w:lang w:eastAsia="en-US"/>
        </w:rPr>
        <w:t xml:space="preserve">/intuberad. Man får väcka patienten tillfälligt för att upprepa neurologstatus om man bedömer att indikation finns.   </w:t>
      </w:r>
    </w:p>
    <w:p w14:paraId="199E0961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</w:p>
    <w:p w14:paraId="5EDA8F0D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rPr>
          <w:b/>
        </w:rPr>
        <w:t>Obs!</w:t>
      </w:r>
      <w:r w:rsidRPr="00B75545">
        <w:t xml:space="preserve"> Patienter med fraktur och neurologisk skada är </w:t>
      </w:r>
      <w:r w:rsidRPr="00B75545">
        <w:rPr>
          <w:b/>
        </w:rPr>
        <w:t>regionspecialistfall</w:t>
      </w:r>
      <w:r w:rsidRPr="00B75545">
        <w:t xml:space="preserve">. För att säkerställa optimal behandling ska dessa aldrig skötas på ortopedavdelning, </w:t>
      </w:r>
      <w:proofErr w:type="gramStart"/>
      <w:r w:rsidRPr="00B75545">
        <w:t>vare sig före eller</w:t>
      </w:r>
      <w:proofErr w:type="gramEnd"/>
      <w:r w:rsidRPr="00B75545">
        <w:t xml:space="preserve"> efter kirurgisk stabilisering. På regionsjukhus är neurologkliniken ansvarig, respektive rehab kliniken, beroende på lokala uppgörelser.</w:t>
      </w:r>
    </w:p>
    <w:p w14:paraId="01AEC423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</w:p>
    <w:p w14:paraId="28A72119" w14:textId="77777777" w:rsidR="00B75545" w:rsidRPr="00B75545" w:rsidRDefault="00B75545" w:rsidP="00B7554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-284" w:hanging="283"/>
        <w:contextualSpacing/>
        <w:rPr>
          <w:rFonts w:eastAsia="Calibri"/>
          <w:lang w:eastAsia="en-US"/>
        </w:rPr>
      </w:pPr>
      <w:r w:rsidRPr="00B75545">
        <w:rPr>
          <w:rFonts w:eastAsia="Calibri"/>
          <w:lang w:eastAsia="en-US"/>
        </w:rPr>
        <w:t xml:space="preserve">vid fraktur utan neurologisk påverkan stabilisera (sängläge/sängläge + krage beroende på frakturlokalisation). Ring ryggbakjour dagtid. Tag bort </w:t>
      </w:r>
      <w:proofErr w:type="spellStart"/>
      <w:r w:rsidRPr="00B75545">
        <w:rPr>
          <w:rFonts w:eastAsia="Calibri"/>
          <w:lang w:eastAsia="en-US"/>
        </w:rPr>
        <w:t>spineboard</w:t>
      </w:r>
      <w:proofErr w:type="spellEnd"/>
      <w:r w:rsidRPr="00B75545">
        <w:rPr>
          <w:rFonts w:eastAsia="Calibri"/>
          <w:lang w:eastAsia="en-US"/>
        </w:rPr>
        <w:t xml:space="preserve"> och byt akutkrage. Ordinera log-roll och KAD. Dessa patienter kan vara ortopediska, men ska alltid värderas enligt lokalt traumaomhändertagande. Ryggfrakturen opereras/mobiliseras när patienten för övrigt är stabil och överförs från traumaenhet till ortoped</w:t>
      </w:r>
      <w:r w:rsidRPr="00B75545">
        <w:rPr>
          <w:rFonts w:eastAsia="Calibri"/>
          <w:lang w:eastAsia="en-US"/>
        </w:rPr>
        <w:softHyphen/>
        <w:t>avdelning i samband med detta.</w:t>
      </w:r>
    </w:p>
    <w:p w14:paraId="2EAD8045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  <w:rPr>
          <w:rFonts w:ascii="Arial" w:hAnsi="Arial" w:cs="Arial"/>
        </w:rPr>
      </w:pPr>
    </w:p>
    <w:p w14:paraId="511EACC9" w14:textId="77777777" w:rsidR="00B75545" w:rsidRPr="00E1600B" w:rsidRDefault="00B75545" w:rsidP="00E1600B">
      <w:pPr>
        <w:pStyle w:val="Rubrik3"/>
        <w:ind w:left="0"/>
        <w:rPr>
          <w:b/>
          <w:bCs w:val="0"/>
        </w:rPr>
      </w:pPr>
      <w:r w:rsidRPr="00E1600B">
        <w:rPr>
          <w:b/>
          <w:bCs w:val="0"/>
        </w:rPr>
        <w:t>Tumör</w:t>
      </w:r>
    </w:p>
    <w:p w14:paraId="20D76D11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 xml:space="preserve">Vid nydebuterad ryggvärk med/utan neurologisk påverkan och malign tumörsjukdom i anamnesen, ska alltid en MRT </w:t>
      </w:r>
      <w:proofErr w:type="spellStart"/>
      <w:r w:rsidRPr="00B75545">
        <w:t>helrygg</w:t>
      </w:r>
      <w:proofErr w:type="spellEnd"/>
      <w:r w:rsidRPr="00B75545">
        <w:t xml:space="preserve"> göras (alt CT om MRT är kontraindicerad). Graden av neurologi avgör hur skyndsamt undersökningen ska göras. Många maligna sjukdomar debuterar med symtom på ryggvärk med/utan neurologisk påverkan. Var därför frikostig med MRT rygg/</w:t>
      </w:r>
      <w:proofErr w:type="spellStart"/>
      <w:r w:rsidRPr="00B75545">
        <w:t>helrygg</w:t>
      </w:r>
      <w:proofErr w:type="spellEnd"/>
      <w:r w:rsidRPr="00B75545">
        <w:t xml:space="preserve"> vid nydebuterad ryggsmärta/nattlig ryggvärk/B-symtom med/utan neurologi även hos tidigare frisk/ryggfrisk person. Primärtumörer i </w:t>
      </w:r>
      <w:proofErr w:type="spellStart"/>
      <w:r w:rsidRPr="00B75545">
        <w:t>kotskelettet</w:t>
      </w:r>
      <w:proofErr w:type="spellEnd"/>
      <w:r w:rsidRPr="00B75545">
        <w:t xml:space="preserve"> är mycket ovanliga, </w:t>
      </w:r>
      <w:proofErr w:type="spellStart"/>
      <w:r w:rsidRPr="00B75545">
        <w:t>neurotumörer</w:t>
      </w:r>
      <w:proofErr w:type="spellEnd"/>
      <w:r w:rsidRPr="00B75545">
        <w:t xml:space="preserve"> betydligt vanligare. Om nyupptäckt tumörsjukdom utan behov av akuta åtgärder, remiss CUP för vidare utredning. Gärna kontakt med ryggbakjour om osäkerhet kring vidare åtgärder – akut inläggning och utredning alt pol </w:t>
      </w:r>
      <w:proofErr w:type="spellStart"/>
      <w:r w:rsidRPr="00B75545">
        <w:t>klin</w:t>
      </w:r>
      <w:proofErr w:type="spellEnd"/>
      <w:r w:rsidRPr="00B75545">
        <w:t xml:space="preserve"> handläggning. </w:t>
      </w:r>
    </w:p>
    <w:p w14:paraId="037FFB0C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</w:p>
    <w:p w14:paraId="5FCEB4FA" w14:textId="77777777" w:rsidR="00B75545" w:rsidRPr="00E1600B" w:rsidRDefault="00B75545" w:rsidP="00E1600B">
      <w:pPr>
        <w:pStyle w:val="Rubrik3"/>
        <w:ind w:left="0"/>
        <w:rPr>
          <w:b/>
          <w:bCs w:val="0"/>
        </w:rPr>
      </w:pPr>
      <w:r w:rsidRPr="00E1600B">
        <w:rPr>
          <w:b/>
          <w:bCs w:val="0"/>
        </w:rPr>
        <w:t>Infektion</w:t>
      </w:r>
    </w:p>
    <w:p w14:paraId="1801CED0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proofErr w:type="spellStart"/>
      <w:r w:rsidRPr="00B75545">
        <w:t>Spondylodiskit</w:t>
      </w:r>
      <w:proofErr w:type="spellEnd"/>
      <w:r w:rsidRPr="00B75545">
        <w:t xml:space="preserve"> behandlas av kollegorna på infektionskliniken. Ryggbakjouren fungerar som konsult och ska kontaktas vid terapisvikt, </w:t>
      </w:r>
      <w:proofErr w:type="spellStart"/>
      <w:r w:rsidRPr="00B75545">
        <w:t>progredierande</w:t>
      </w:r>
      <w:proofErr w:type="spellEnd"/>
      <w:r w:rsidRPr="00B75545">
        <w:t xml:space="preserve"> ryggsmärta/instabilitet/felställning eller neurologisk påverkan. Upprepat status(dagligen) bör göras, särskilt vid allmänpåverkad patient. Neurologisk påverkan kan </w:t>
      </w:r>
      <w:proofErr w:type="spellStart"/>
      <w:r w:rsidRPr="00B75545">
        <w:t>progrediera</w:t>
      </w:r>
      <w:proofErr w:type="spellEnd"/>
      <w:r w:rsidRPr="00B75545">
        <w:t xml:space="preserve"> utan att patienten kan meddela sig. Upprepade MRT-undersökningar av ryggen kan vara av värde i det initiala förloppet. CT-ledd punktion för odling görs av radiolog, antingen lokalt eller via </w:t>
      </w:r>
      <w:proofErr w:type="spellStart"/>
      <w:r w:rsidRPr="00B75545">
        <w:t>embolilab</w:t>
      </w:r>
      <w:proofErr w:type="spellEnd"/>
      <w:r w:rsidRPr="00B75545">
        <w:t xml:space="preserve"> på SU. Remiss för detta ombesörjs av infektionsläkare.</w:t>
      </w:r>
    </w:p>
    <w:p w14:paraId="1867BBEF" w14:textId="77777777" w:rsidR="00B75545" w:rsidRPr="00B75545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</w:p>
    <w:p w14:paraId="75AE21AA" w14:textId="2D3BBB7E" w:rsidR="00B75545" w:rsidRPr="00E1600B" w:rsidRDefault="00B75545" w:rsidP="00B75545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 xml:space="preserve">Spinala abscesser med nervpåverkan handläggs via neurokirurgjouren, SU </w:t>
      </w:r>
    </w:p>
    <w:p w14:paraId="344E6773" w14:textId="77777777" w:rsidR="00B75545" w:rsidRPr="00E1600B" w:rsidRDefault="00B75545" w:rsidP="00E1600B">
      <w:pPr>
        <w:pStyle w:val="Rubrik3"/>
        <w:ind w:left="0"/>
        <w:rPr>
          <w:b/>
          <w:bCs w:val="0"/>
        </w:rPr>
      </w:pPr>
      <w:r w:rsidRPr="00E1600B">
        <w:rPr>
          <w:b/>
          <w:bCs w:val="0"/>
        </w:rPr>
        <w:t>Övrigt</w:t>
      </w:r>
    </w:p>
    <w:p w14:paraId="76B9F95B" w14:textId="1FD84C25" w:rsidR="00536A5A" w:rsidRPr="00536A5A" w:rsidRDefault="00B75545" w:rsidP="00E1600B">
      <w:pPr>
        <w:autoSpaceDE w:val="0"/>
        <w:autoSpaceDN w:val="0"/>
        <w:adjustRightInd w:val="0"/>
        <w:spacing w:after="0" w:line="240" w:lineRule="auto"/>
        <w:ind w:left="0" w:right="-284"/>
      </w:pPr>
      <w:r w:rsidRPr="00B75545">
        <w:t xml:space="preserve">Ibland ser vi udda och ovanliga åkommor. Oftast som oväntade fynd vid utredning. Neurologisk undersökning med nivådiagnostik är central. Vid motorisk svaghet utan </w:t>
      </w:r>
      <w:proofErr w:type="spellStart"/>
      <w:r w:rsidRPr="00B75545">
        <w:t>rizopati</w:t>
      </w:r>
      <w:proofErr w:type="spellEnd"/>
      <w:r w:rsidRPr="00B75545">
        <w:t xml:space="preserve">, överväg neuromuskulär sjuka. Vid akut debut, ex vis </w:t>
      </w:r>
      <w:proofErr w:type="spellStart"/>
      <w:r w:rsidRPr="00B75545">
        <w:t>spinalis</w:t>
      </w:r>
      <w:proofErr w:type="spellEnd"/>
      <w:r w:rsidRPr="00B75545">
        <w:t xml:space="preserve"> </w:t>
      </w:r>
      <w:proofErr w:type="spellStart"/>
      <w:r w:rsidRPr="00B75545">
        <w:t>anterior</w:t>
      </w:r>
      <w:proofErr w:type="spellEnd"/>
      <w:r w:rsidRPr="00B75545">
        <w:t xml:space="preserve"> syndrom. Behandlas och utreds inte av ortoped, kontakt med neurolog. </w:t>
      </w:r>
      <w:bookmarkEnd w:id="0"/>
    </w:p>
    <w:sectPr w:rsidR="00536A5A" w:rsidRPr="00536A5A" w:rsidSect="00B755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C94D3" w14:textId="77777777" w:rsidR="005C4C35" w:rsidRDefault="005C4C35">
      <w:r>
        <w:separator/>
      </w:r>
    </w:p>
  </w:endnote>
  <w:endnote w:type="continuationSeparator" w:id="0">
    <w:p w14:paraId="00D6D36C" w14:textId="77777777" w:rsidR="005C4C35" w:rsidRDefault="005C4C35">
      <w:r>
        <w:continuationSeparator/>
      </w:r>
    </w:p>
  </w:endnote>
  <w:endnote w:type="continuationNotice" w:id="1">
    <w:p w14:paraId="6DA4DCCA" w14:textId="77777777" w:rsidR="005C4C35" w:rsidRDefault="005C4C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06A899" w14:textId="77777777" w:rsidR="005C4C35" w:rsidRDefault="005C4C35"/>
  </w:footnote>
  <w:footnote w:type="continuationSeparator" w:id="0">
    <w:p w14:paraId="49725935" w14:textId="77777777" w:rsidR="005C4C35" w:rsidRDefault="005C4C35">
      <w:r>
        <w:continuationSeparator/>
      </w:r>
    </w:p>
  </w:footnote>
  <w:footnote w:type="continuationNotice" w:id="1">
    <w:p w14:paraId="077ED066" w14:textId="77777777" w:rsidR="005C4C35" w:rsidRDefault="005C4C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AD6757"/>
    <w:multiLevelType w:val="hybridMultilevel"/>
    <w:tmpl w:val="CFD84F00"/>
    <w:lvl w:ilvl="0" w:tplc="FFFFFFFF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480D04"/>
    <w:multiLevelType w:val="hybridMultilevel"/>
    <w:tmpl w:val="182CA2C0"/>
    <w:lvl w:ilvl="0" w:tplc="85E424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3B7F32"/>
    <w:multiLevelType w:val="hybridMultilevel"/>
    <w:tmpl w:val="336AC0CC"/>
    <w:lvl w:ilvl="0" w:tplc="FFFFFFFF">
      <w:start w:val="1"/>
      <w:numFmt w:val="bullet"/>
      <w:lvlText w:val="-"/>
      <w:lvlJc w:val="left"/>
      <w:pPr>
        <w:ind w:left="1664" w:hanging="360"/>
      </w:pPr>
      <w:rPr>
        <w:rFonts w:ascii="Arial" w:eastAsia="Calibr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0767822">
    <w:abstractNumId w:val="20"/>
  </w:num>
  <w:num w:numId="2" w16cid:durableId="1589193148">
    <w:abstractNumId w:val="17"/>
  </w:num>
  <w:num w:numId="3" w16cid:durableId="2057660888">
    <w:abstractNumId w:val="0"/>
  </w:num>
  <w:num w:numId="4" w16cid:durableId="742677099">
    <w:abstractNumId w:val="6"/>
  </w:num>
  <w:num w:numId="5" w16cid:durableId="271208398">
    <w:abstractNumId w:val="18"/>
  </w:num>
  <w:num w:numId="6" w16cid:durableId="942495703">
    <w:abstractNumId w:val="2"/>
  </w:num>
  <w:num w:numId="7" w16cid:durableId="1832941369">
    <w:abstractNumId w:val="13"/>
  </w:num>
  <w:num w:numId="8" w16cid:durableId="1647707942">
    <w:abstractNumId w:val="9"/>
  </w:num>
  <w:num w:numId="9" w16cid:durableId="127360394">
    <w:abstractNumId w:val="1"/>
  </w:num>
  <w:num w:numId="10" w16cid:durableId="292946792">
    <w:abstractNumId w:val="1"/>
  </w:num>
  <w:num w:numId="11" w16cid:durableId="1184393204">
    <w:abstractNumId w:val="3"/>
  </w:num>
  <w:num w:numId="12" w16cid:durableId="1072702446">
    <w:abstractNumId w:val="4"/>
  </w:num>
  <w:num w:numId="13" w16cid:durableId="1827432400">
    <w:abstractNumId w:val="16"/>
  </w:num>
  <w:num w:numId="14" w16cid:durableId="1649431022">
    <w:abstractNumId w:val="11"/>
  </w:num>
  <w:num w:numId="15" w16cid:durableId="1649894187">
    <w:abstractNumId w:val="7"/>
  </w:num>
  <w:num w:numId="16" w16cid:durableId="1243028343">
    <w:abstractNumId w:val="15"/>
  </w:num>
  <w:num w:numId="17" w16cid:durableId="1398549417">
    <w:abstractNumId w:val="5"/>
  </w:num>
  <w:num w:numId="18" w16cid:durableId="1128544013">
    <w:abstractNumId w:val="12"/>
  </w:num>
  <w:num w:numId="19" w16cid:durableId="1269241906">
    <w:abstractNumId w:val="19"/>
  </w:num>
  <w:num w:numId="20" w16cid:durableId="1746799470">
    <w:abstractNumId w:val="8"/>
  </w:num>
  <w:num w:numId="21" w16cid:durableId="654988329">
    <w:abstractNumId w:val="14"/>
  </w:num>
  <w:num w:numId="22" w16cid:durableId="157863117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EE8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C35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54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044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00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3</Pages>
  <Words>980</Words>
  <Characters>5194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MR-undersökning vid akuta tillstånd som involverar ryggkotpelaren</dc:title>
  <dc:subject/>
  <dc:creator>patrik.jens.johansson@vgregion.se</dc:creator>
  <keywords/>
  <lastModifiedBy>Elisabeth Carlsson</lastModifiedBy>
  <revision>5</revision>
  <lastPrinted>2016-03-31T10:56:00.0000000Z</lastPrinted>
  <dcterms:created xsi:type="dcterms:W3CDTF">2022-05-10T07:42:00.0000000Z</dcterms:created>
  <dcterms:modified xsi:type="dcterms:W3CDTF">2023-11-27T14:38:00.0000000Z</dcterms:modified>
</coreProperties>
</file>