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7CED0" w14:textId="77777777" w:rsidR="002C576A" w:rsidRDefault="002C576A" w:rsidP="00F35B05">
      <w:pPr>
        <w:pStyle w:val="Rubrik2"/>
        <w:sectPr w:rsidR="002C576A" w:rsidSect="002C57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55BEB5" w14:textId="18C188AC" w:rsidR="002C576A" w:rsidRPr="002C576A" w:rsidRDefault="00BE168D" w:rsidP="00816DBD">
      <w:pPr>
        <w:pStyle w:val="Rubrik1"/>
        <w:ind w:right="849"/>
        <w:rPr>
          <w:szCs w:val="20"/>
        </w:rPr>
      </w:pPr>
      <w:r w:rsidRPr="002C576A">
        <w:t>MR Säkerhetsrutiner</w:t>
      </w:r>
    </w:p>
    <w:p w14:paraId="7DCFB471" w14:textId="77777777" w:rsidR="002C576A" w:rsidRPr="002C576A" w:rsidRDefault="002C576A" w:rsidP="00816DBD">
      <w:pPr>
        <w:pStyle w:val="Rubrik2"/>
        <w:ind w:right="849"/>
      </w:pPr>
      <w:bookmarkStart w:id="1" w:name="_Toc501440349"/>
      <w:r w:rsidRPr="002C576A">
        <w:t>Sammanfattning/syfte</w:t>
      </w:r>
    </w:p>
    <w:bookmarkEnd w:id="1"/>
    <w:p w14:paraId="4F6938D1" w14:textId="3D49D2F0" w:rsid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szCs w:val="20"/>
        </w:rPr>
        <w:t>Säkerhetsanvisningen innehåller policy gällande magnetkameran, biologiska effekter av magnetkamerans fält, samt policy personal och patienter.</w:t>
      </w:r>
    </w:p>
    <w:p w14:paraId="560B6A8F" w14:textId="2FA3C311" w:rsidR="00BE168D" w:rsidRPr="002C576A" w:rsidRDefault="00326A9D" w:rsidP="00816DBD">
      <w:pPr>
        <w:pStyle w:val="Rubrik2"/>
      </w:pPr>
      <w:r>
        <w:t>Förändringar sedan föregående version</w:t>
      </w:r>
    </w:p>
    <w:p w14:paraId="5CC393D6" w14:textId="1B520561" w:rsidR="00BE168D" w:rsidRPr="002C576A" w:rsidRDefault="00766F9E" w:rsidP="00816DBD">
      <w:pPr>
        <w:spacing w:after="0" w:line="240" w:lineRule="auto"/>
        <w:ind w:left="993" w:right="849"/>
        <w:rPr>
          <w:szCs w:val="20"/>
        </w:rPr>
      </w:pPr>
      <w:r>
        <w:rPr>
          <w:szCs w:val="20"/>
        </w:rPr>
        <w:t>Förändring avseende p</w:t>
      </w:r>
      <w:r w:rsidR="00D5301B">
        <w:rPr>
          <w:szCs w:val="20"/>
        </w:rPr>
        <w:t>acemaker</w:t>
      </w:r>
      <w:r w:rsidR="00BE168D" w:rsidRPr="002C576A">
        <w:rPr>
          <w:szCs w:val="20"/>
        </w:rPr>
        <w:t>.</w:t>
      </w:r>
    </w:p>
    <w:p w14:paraId="12B5771B" w14:textId="77777777" w:rsidR="002C576A" w:rsidRPr="002C576A" w:rsidRDefault="002C576A" w:rsidP="00816DBD">
      <w:pPr>
        <w:pStyle w:val="Rubrik2"/>
      </w:pPr>
      <w:r w:rsidRPr="002C576A">
        <w:t>Ansvar</w:t>
      </w:r>
    </w:p>
    <w:p w14:paraId="042C8CD3" w14:textId="77777777" w:rsidR="00816DBD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szCs w:val="20"/>
        </w:rPr>
        <w:t xml:space="preserve">Det är viktigt att frågeformuläret fylls i korrekt och att det är undertecknat av ansvarig läkare/sjuksköterska eller patienten. </w:t>
      </w:r>
    </w:p>
    <w:p w14:paraId="60C134E3" w14:textId="77777777" w:rsidR="00C947A7" w:rsidRDefault="00C947A7" w:rsidP="00816DBD">
      <w:pPr>
        <w:spacing w:after="0" w:line="240" w:lineRule="auto"/>
        <w:ind w:left="993" w:right="849"/>
        <w:rPr>
          <w:szCs w:val="20"/>
        </w:rPr>
      </w:pPr>
    </w:p>
    <w:p w14:paraId="56A6FDBB" w14:textId="168AAAA5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szCs w:val="20"/>
        </w:rPr>
        <w:t>Patientansvarig personal och MR-personal har ett gemensamt ansvar att se till att patienten inte kommer till skada på grund av inopererade metallföremål eller metallföremål utanpå kroppen. Viktigt är också att följa nedanstående rutinåtgärder.</w:t>
      </w:r>
    </w:p>
    <w:p w14:paraId="5F60CE3E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1FD4FC2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szCs w:val="20"/>
        </w:rPr>
        <w:t>Det kommer ständigt nya implantat som inte finns med i denna lista vilket man behöver undersöka noggrant innan man godkänner att patienten gör en MR-undersökning.</w:t>
      </w:r>
    </w:p>
    <w:p w14:paraId="48DA905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5EBD4C48" w14:textId="30F29FA5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szCs w:val="20"/>
        </w:rPr>
        <w:t>Operationsberättelse beställs av röntgenpersonal.</w:t>
      </w:r>
    </w:p>
    <w:p w14:paraId="1F24507B" w14:textId="77777777" w:rsidR="002C576A" w:rsidRPr="002C576A" w:rsidRDefault="002C576A" w:rsidP="00816DBD">
      <w:pPr>
        <w:pStyle w:val="Rubrik2"/>
      </w:pPr>
      <w:r w:rsidRPr="002C576A">
        <w:t>Rutinåtgärder på vanliga frågor och problem</w:t>
      </w:r>
    </w:p>
    <w:p w14:paraId="4F304EDB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Aneurysmklämmor</w:t>
      </w:r>
      <w:r w:rsidRPr="002C576A">
        <w:rPr>
          <w:szCs w:val="20"/>
        </w:rPr>
        <w:t>: Beställ operationsberättelse. Det används magnetiska klämmor av olika skäl.</w:t>
      </w:r>
    </w:p>
    <w:p w14:paraId="0B4E0F0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4CA3A030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 xml:space="preserve">Baksträngselektroder: </w:t>
      </w:r>
      <w:r w:rsidRPr="002C576A">
        <w:rPr>
          <w:szCs w:val="20"/>
        </w:rPr>
        <w:t>Kontraindikation.</w:t>
      </w:r>
    </w:p>
    <w:p w14:paraId="3C453C10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471DF77F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 xml:space="preserve">Cochleaimplantat: </w:t>
      </w:r>
      <w:r w:rsidRPr="002C576A">
        <w:rPr>
          <w:szCs w:val="20"/>
        </w:rPr>
        <w:t>Beställ operationsberättelse.</w:t>
      </w:r>
    </w:p>
    <w:p w14:paraId="63AC9A20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6FA1B967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GDC-coils</w:t>
      </w:r>
      <w:r w:rsidRPr="002C576A">
        <w:rPr>
          <w:szCs w:val="20"/>
        </w:rPr>
        <w:t>: Går bra. Används för att plugga intrakraniella aneurysm.</w:t>
      </w:r>
    </w:p>
    <w:p w14:paraId="2A52A752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3FE9B4D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Graviditet</w:t>
      </w:r>
      <w:r w:rsidRPr="002C576A">
        <w:rPr>
          <w:szCs w:val="20"/>
        </w:rPr>
        <w:t>: Körs ej under de första 3 månaderna. MR-läkaren får ta ställning till om undersökningen ska göras under graviditeten.</w:t>
      </w:r>
    </w:p>
    <w:p w14:paraId="03CBF4A7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42755BE5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Gastric banding</w:t>
      </w:r>
      <w:r w:rsidRPr="002C576A">
        <w:rPr>
          <w:szCs w:val="20"/>
        </w:rPr>
        <w:t>: Beställ operationsberättelse.</w:t>
      </w:r>
    </w:p>
    <w:p w14:paraId="2B5346FF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34D76035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Hjärtklaffar</w:t>
      </w:r>
      <w:r w:rsidRPr="002C576A">
        <w:rPr>
          <w:szCs w:val="20"/>
        </w:rPr>
        <w:t>: Beställ operationsberättelse.</w:t>
      </w:r>
    </w:p>
    <w:p w14:paraId="4592943D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234DD0D6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Hjärnoperationer</w:t>
      </w:r>
      <w:r w:rsidRPr="002C576A">
        <w:rPr>
          <w:szCs w:val="20"/>
        </w:rPr>
        <w:t>: Beställ operationsberättelse.</w:t>
      </w:r>
    </w:p>
    <w:p w14:paraId="7B517210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7E91C539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Hjärnelektroder</w:t>
      </w:r>
      <w:r w:rsidRPr="002C576A">
        <w:rPr>
          <w:szCs w:val="20"/>
        </w:rPr>
        <w:t>: Kontraindikation.</w:t>
      </w:r>
    </w:p>
    <w:p w14:paraId="39480DD3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1C4723B5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Hoffmaninstrument</w:t>
      </w:r>
      <w:r w:rsidRPr="002C576A">
        <w:rPr>
          <w:szCs w:val="20"/>
        </w:rPr>
        <w:t>: Kontraindikation. Ramen som fixerar bildar tillsammans en ”spole” som kan ge avsevärda strömmar och därmed ge brännskador.</w:t>
      </w:r>
    </w:p>
    <w:p w14:paraId="7031983D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39AA52EC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Haloväst</w:t>
      </w:r>
      <w:r w:rsidRPr="002C576A">
        <w:rPr>
          <w:szCs w:val="20"/>
        </w:rPr>
        <w:t>: Kolfiber går bra. Metallkrona kontraindikation.</w:t>
      </w:r>
    </w:p>
    <w:p w14:paraId="563BFDD3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56857C8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Höftproteser</w:t>
      </w:r>
      <w:r w:rsidRPr="002C576A">
        <w:rPr>
          <w:szCs w:val="20"/>
        </w:rPr>
        <w:t>: Mooreproteser är magnetiska. Bilaterala bör ej köras. Ovanlig sort numera.</w:t>
      </w:r>
    </w:p>
    <w:p w14:paraId="5A07A1C2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71D57155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Intrakraniell tryckmätare</w:t>
      </w:r>
      <w:r w:rsidRPr="002C576A">
        <w:rPr>
          <w:szCs w:val="20"/>
        </w:rPr>
        <w:t xml:space="preserve">: Kontraindikation. </w:t>
      </w:r>
    </w:p>
    <w:p w14:paraId="2469AC43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05024CD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Jugularis-bulb-kateter</w:t>
      </w:r>
      <w:r w:rsidRPr="002C576A">
        <w:rPr>
          <w:szCs w:val="20"/>
        </w:rPr>
        <w:t>: Kontraindikation. Beställ operationsberättelse.</w:t>
      </w:r>
    </w:p>
    <w:p w14:paraId="444AF7C0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0B0F4F34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Metallsplitter</w:t>
      </w:r>
      <w:r w:rsidRPr="002C576A">
        <w:rPr>
          <w:szCs w:val="20"/>
        </w:rPr>
        <w:t>: Patienten ska göra slätröntgen. Viktigt att ta reda på var i kroppen det sitter. Kan skada kärl eller ge brännskada.</w:t>
      </w:r>
    </w:p>
    <w:p w14:paraId="655E382F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6A9E490D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Nervstimulator</w:t>
      </w:r>
      <w:r w:rsidRPr="002C576A">
        <w:rPr>
          <w:szCs w:val="20"/>
        </w:rPr>
        <w:t>: Kontraindikation. Beställ operationsberättelse.</w:t>
      </w:r>
    </w:p>
    <w:p w14:paraId="556559B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2C3024E4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Per-operativ endotrachealtub och vissa trachealkanyler</w:t>
      </w:r>
      <w:r w:rsidRPr="002C576A">
        <w:rPr>
          <w:szCs w:val="20"/>
        </w:rPr>
        <w:t>: Kontraindikation. Innehåller armeringar och ståltrådar.</w:t>
      </w:r>
    </w:p>
    <w:p w14:paraId="4E03FD05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0A0E7985" w14:textId="24345CC1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Pacemaker</w:t>
      </w:r>
      <w:r w:rsidRPr="002C576A">
        <w:rPr>
          <w:szCs w:val="20"/>
        </w:rPr>
        <w:t xml:space="preserve">: </w:t>
      </w:r>
      <w:r w:rsidR="00766F9E">
        <w:rPr>
          <w:szCs w:val="20"/>
        </w:rPr>
        <w:t>Remissen skickas till NÄL för bedömning och prioritering av radiolog</w:t>
      </w:r>
      <w:r w:rsidRPr="002C576A">
        <w:rPr>
          <w:szCs w:val="20"/>
        </w:rPr>
        <w:t>.</w:t>
      </w:r>
    </w:p>
    <w:p w14:paraId="6858887B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2778B41F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Piercing</w:t>
      </w:r>
      <w:r w:rsidRPr="002C576A">
        <w:rPr>
          <w:szCs w:val="20"/>
        </w:rPr>
        <w:t xml:space="preserve">: Kontraindikation. Piercing ska tas bort. Kan bilda en ”spole” oavsett materiel och ge brännskador. </w:t>
      </w:r>
    </w:p>
    <w:p w14:paraId="5CA2D024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6D17EED6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Port-a-cath</w:t>
      </w:r>
      <w:r w:rsidRPr="002C576A">
        <w:rPr>
          <w:szCs w:val="20"/>
        </w:rPr>
        <w:t>: Går bra men den får ej vara kopplad.</w:t>
      </w:r>
    </w:p>
    <w:p w14:paraId="4A3267F3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0ACAB7D0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Pumpar</w:t>
      </w:r>
      <w:r w:rsidRPr="002C576A">
        <w:rPr>
          <w:szCs w:val="20"/>
        </w:rPr>
        <w:t>: Koppla bort smärtlindringspumpen innan patienten går in i MR-rummet. Övriga pumpar ska kontrolleras. Eventuellt med operationsberättelse.</w:t>
      </w:r>
    </w:p>
    <w:p w14:paraId="1DFA5492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278B2CBF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Peg (Perkutan Endoskopisk Gastrostomi):</w:t>
      </w:r>
      <w:r w:rsidRPr="002C576A">
        <w:rPr>
          <w:szCs w:val="20"/>
        </w:rPr>
        <w:t xml:space="preserve"> Beställ operationsberättelse.</w:t>
      </w:r>
    </w:p>
    <w:p w14:paraId="21406EB6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3FE3EEFE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Sandsäckar</w:t>
      </w:r>
      <w:r w:rsidRPr="002C576A">
        <w:rPr>
          <w:szCs w:val="20"/>
        </w:rPr>
        <w:t>: Kontraindicerade. De är ofta starkt ferromagnetiska.</w:t>
      </w:r>
    </w:p>
    <w:p w14:paraId="26546CED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0FE39418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lastRenderedPageBreak/>
        <w:t>Perifera stentar</w:t>
      </w:r>
      <w:r w:rsidRPr="002C576A">
        <w:rPr>
          <w:szCs w:val="20"/>
        </w:rPr>
        <w:t xml:space="preserve">: Evar-stent kontraindicerad. Ska kontrolleras. Beställ operationsberättelse. </w:t>
      </w:r>
    </w:p>
    <w:p w14:paraId="28B527F3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48CA56D7" w14:textId="024A284C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Stentar</w:t>
      </w:r>
      <w:r w:rsidRPr="002C576A">
        <w:rPr>
          <w:szCs w:val="20"/>
        </w:rPr>
        <w:t>: Alla stentar i hjärtats kranskärl som suttit mer än 3 månader går bra. Omagnetiska stentar går att undersöka med direkt efter op</w:t>
      </w:r>
      <w:r w:rsidR="00DC4B7C">
        <w:rPr>
          <w:szCs w:val="20"/>
        </w:rPr>
        <w:t>eration</w:t>
      </w:r>
      <w:r w:rsidRPr="002C576A">
        <w:rPr>
          <w:szCs w:val="20"/>
        </w:rPr>
        <w:t>.</w:t>
      </w:r>
    </w:p>
    <w:p w14:paraId="15724D7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5D12ECD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Shuntar</w:t>
      </w:r>
      <w:r w:rsidRPr="002C576A">
        <w:rPr>
          <w:szCs w:val="20"/>
        </w:rPr>
        <w:t>: Måste alltid kontrolleras, eventuellt med operationsberättelse. Det finns en neurolog i ”huset” som justerar Strata-shuntar.</w:t>
      </w:r>
    </w:p>
    <w:p w14:paraId="3A15557E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5F7D84A2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Stag</w:t>
      </w:r>
      <w:r w:rsidRPr="002C576A">
        <w:rPr>
          <w:szCs w:val="20"/>
        </w:rPr>
        <w:t>: Harrington och titan går bra. Övriga stag ger ofta mycket artefakter.</w:t>
      </w:r>
    </w:p>
    <w:p w14:paraId="6D562E17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1E331022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Spiral</w:t>
      </w:r>
      <w:r w:rsidRPr="002C576A">
        <w:rPr>
          <w:szCs w:val="20"/>
        </w:rPr>
        <w:t>: Går bra.</w:t>
      </w:r>
    </w:p>
    <w:p w14:paraId="27FEB1DC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70F9FFAA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Tandställning</w:t>
      </w:r>
      <w:r w:rsidRPr="002C576A">
        <w:rPr>
          <w:szCs w:val="20"/>
        </w:rPr>
        <w:t>: ”Räls” på patienter som ska undersöka huvudet ska tas bort på grund av artefakter. Övriga tandställningar går bra att köra. Patienten bör vara uppmärksam på värmeökning.</w:t>
      </w:r>
    </w:p>
    <w:p w14:paraId="41D2062F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p w14:paraId="3144026E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  <w:r w:rsidRPr="002C576A">
        <w:rPr>
          <w:b/>
          <w:bCs/>
          <w:szCs w:val="20"/>
        </w:rPr>
        <w:t>Tatuering</w:t>
      </w:r>
      <w:r w:rsidRPr="002C576A">
        <w:rPr>
          <w:szCs w:val="20"/>
        </w:rPr>
        <w:t>: Går bra, men patienten ska vara observant på värmeökning. Vissa färger innehåller metallspån.</w:t>
      </w:r>
    </w:p>
    <w:p w14:paraId="191E0922" w14:textId="77777777" w:rsidR="002C576A" w:rsidRPr="002C576A" w:rsidRDefault="002C576A" w:rsidP="00816DBD">
      <w:pPr>
        <w:spacing w:after="0" w:line="240" w:lineRule="auto"/>
        <w:ind w:left="993" w:right="849"/>
        <w:rPr>
          <w:szCs w:val="20"/>
        </w:rPr>
      </w:pPr>
    </w:p>
    <w:bookmarkEnd w:id="0"/>
    <w:p w14:paraId="76B9F95B" w14:textId="24513497" w:rsidR="00536A5A" w:rsidRPr="00536A5A" w:rsidRDefault="00536A5A" w:rsidP="00816DBD">
      <w:pPr>
        <w:spacing w:after="0" w:line="240" w:lineRule="auto"/>
        <w:ind w:left="993" w:right="849"/>
      </w:pPr>
    </w:p>
    <w:sectPr w:rsidR="00536A5A" w:rsidRPr="00536A5A" w:rsidSect="002C576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5A033" w14:textId="77777777" w:rsidR="000E7832" w:rsidRDefault="000E7832">
      <w:r>
        <w:separator/>
      </w:r>
    </w:p>
  </w:endnote>
  <w:endnote w:type="continuationSeparator" w:id="0">
    <w:p w14:paraId="07850B8D" w14:textId="77777777" w:rsidR="000E7832" w:rsidRDefault="000E7832">
      <w:r>
        <w:continuationSeparator/>
      </w:r>
    </w:p>
  </w:endnote>
  <w:endnote w:type="continuationNotice" w:id="1">
    <w:p w14:paraId="547DC92B" w14:textId="77777777" w:rsidR="000E7832" w:rsidRDefault="000E78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B3D11F" w14:textId="77777777" w:rsidR="000E7832" w:rsidRDefault="000E7832"/>
  </w:footnote>
  <w:footnote w:type="continuationSeparator" w:id="0">
    <w:p w14:paraId="14DE03DD" w14:textId="77777777" w:rsidR="000E7832" w:rsidRDefault="000E7832">
      <w:r>
        <w:continuationSeparator/>
      </w:r>
    </w:p>
  </w:footnote>
  <w:footnote w:type="continuationNotice" w:id="1">
    <w:p w14:paraId="4E84BC36" w14:textId="77777777" w:rsidR="000E7832" w:rsidRDefault="000E78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832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76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A9D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F9E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6DB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68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7A7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301B"/>
    <w:rsid w:val="00D85218"/>
    <w:rsid w:val="00D915B1"/>
    <w:rsid w:val="00DA299D"/>
    <w:rsid w:val="00DA65C4"/>
    <w:rsid w:val="00DC4B7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3</Pages>
  <Words>551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Säkerhetsrutiner</dc:title>
  <dc:subject/>
  <dc:creator>patrik.jens.johansson@vgregion.se</dc:creator>
  <keywords/>
  <lastModifiedBy>Mathilda Hall Ström</lastModifiedBy>
  <revision>9</revision>
  <lastPrinted>2016-03-31T10:56:00.0000000Z</lastPrinted>
  <dcterms:created xsi:type="dcterms:W3CDTF">2022-05-18T03:56:00.0000000Z</dcterms:created>
  <dcterms:modified xsi:type="dcterms:W3CDTF">2022-06-22T08:54:00.0000000Z</dcterms:modified>
</coreProperties>
</file>