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3D55FD" w14:textId="77777777" w:rsidR="00345CAC" w:rsidRDefault="00345CAC" w:rsidP="00F35B05">
      <w:pPr>
        <w:pStyle w:val="Rubrik2"/>
        <w:sectPr w:rsidR="00345CAC" w:rsidSect="00345CA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B697A2A" w14:textId="160A5164" w:rsidR="00345CAC" w:rsidRPr="00345CAC" w:rsidRDefault="009D5C86" w:rsidP="009F03C1">
      <w:pPr>
        <w:pStyle w:val="Rubrik1"/>
        <w:rPr>
          <w:szCs w:val="20"/>
        </w:rPr>
      </w:pPr>
      <w:r w:rsidRPr="00345CAC">
        <w:t>Intravenös gadoliniumkontrast – Allmänna riktlinjer</w:t>
      </w:r>
    </w:p>
    <w:p w14:paraId="26B6F563" w14:textId="34592B6F" w:rsidR="00345CAC" w:rsidRPr="00345CAC" w:rsidRDefault="00D62797" w:rsidP="0046349F">
      <w:pPr>
        <w:pStyle w:val="Rubrik2"/>
        <w:rPr>
          <w:rFonts w:ascii="Arial" w:hAnsi="Arial"/>
        </w:rPr>
      </w:pPr>
      <w:bookmarkStart w:id="1" w:name="_Toc501440349"/>
      <w:r>
        <w:t xml:space="preserve">Förändringar sedan </w:t>
      </w:r>
      <w:r w:rsidR="0046349F">
        <w:t>föregående</w:t>
      </w:r>
      <w:r w:rsidR="00345CAC" w:rsidRPr="00345CAC">
        <w:t xml:space="preserve"> version </w:t>
      </w:r>
      <w:bookmarkEnd w:id="1"/>
    </w:p>
    <w:p w14:paraId="53F09D2C" w14:textId="50189F84" w:rsidR="00345CAC" w:rsidRPr="00345CAC" w:rsidRDefault="0046349F" w:rsidP="009D5C86">
      <w:pPr>
        <w:spacing w:after="0" w:line="240" w:lineRule="auto"/>
        <w:ind w:left="993" w:right="991"/>
        <w:rPr>
          <w:szCs w:val="20"/>
        </w:rPr>
      </w:pPr>
      <w:r>
        <w:rPr>
          <w:szCs w:val="20"/>
        </w:rPr>
        <w:t>Inga förändringar</w:t>
      </w:r>
      <w:r w:rsidR="009671D6">
        <w:rPr>
          <w:szCs w:val="20"/>
        </w:rPr>
        <w:t>.</w:t>
      </w:r>
    </w:p>
    <w:p w14:paraId="50CA8264" w14:textId="77777777" w:rsidR="00345CAC" w:rsidRPr="0046349F" w:rsidRDefault="00345CAC" w:rsidP="0046349F">
      <w:pPr>
        <w:pStyle w:val="Rubrik2"/>
      </w:pPr>
      <w:bookmarkStart w:id="2" w:name="_Toc501440348"/>
      <w:r w:rsidRPr="0046349F">
        <w:t xml:space="preserve">Bakgrund </w:t>
      </w:r>
      <w:bookmarkEnd w:id="2"/>
    </w:p>
    <w:p w14:paraId="20B17305" w14:textId="77777777" w:rsidR="00E25897" w:rsidRDefault="00345CAC" w:rsidP="00E25897">
      <w:pPr>
        <w:pStyle w:val="Normalefterlista"/>
      </w:pPr>
      <w:r w:rsidRPr="00345CAC">
        <w:t>Kontrastmedel (KM) avsedda för MR innehåller gadolinium (</w:t>
      </w:r>
      <w:proofErr w:type="spellStart"/>
      <w:r w:rsidRPr="00345CAC">
        <w:t>Gd</w:t>
      </w:r>
      <w:proofErr w:type="spellEnd"/>
      <w:r w:rsidRPr="00345CAC">
        <w:t xml:space="preserve">). Till skillnad från </w:t>
      </w:r>
      <w:proofErr w:type="spellStart"/>
      <w:r w:rsidRPr="00345CAC">
        <w:t>jodbaserade</w:t>
      </w:r>
      <w:proofErr w:type="spellEnd"/>
      <w:r w:rsidRPr="00345CAC">
        <w:t xml:space="preserve"> KM vid konventionell radiologi är kontrasteffekten indirekt. Signalförändringen i bilden kommer inte ifrån KM utan genom interaktion mellan detta och protoner i den omgivande vävnaden. </w:t>
      </w:r>
    </w:p>
    <w:p w14:paraId="03F91544" w14:textId="3F9DB83B" w:rsidR="00345CAC" w:rsidRPr="00345CAC" w:rsidRDefault="00345CAC" w:rsidP="00E25897">
      <w:pPr>
        <w:pStyle w:val="Normalefterlista"/>
      </w:pPr>
      <w:proofErr w:type="spellStart"/>
      <w:r w:rsidRPr="00345CAC">
        <w:t>Gd</w:t>
      </w:r>
      <w:proofErr w:type="spellEnd"/>
      <w:r w:rsidRPr="00345CAC">
        <w:t xml:space="preserve">-joner är toxiska därför innesluts dessa i ett s.k. kelat. </w:t>
      </w:r>
      <w:proofErr w:type="spellStart"/>
      <w:r w:rsidRPr="00345CAC">
        <w:t>Gd</w:t>
      </w:r>
      <w:proofErr w:type="spellEnd"/>
      <w:r w:rsidRPr="00345CAC">
        <w:t>-kelat är inte njurtoxiska men det finns ett samband mellan dessa och den ovanliga sjukdomen NSF (</w:t>
      </w:r>
      <w:proofErr w:type="spellStart"/>
      <w:r w:rsidRPr="00345CAC">
        <w:t>nefrogen</w:t>
      </w:r>
      <w:proofErr w:type="spellEnd"/>
      <w:r w:rsidRPr="00345CAC">
        <w:t xml:space="preserve"> systemisk fibros) med potentiellt dödligt förlopp. Då </w:t>
      </w:r>
      <w:proofErr w:type="spellStart"/>
      <w:r w:rsidRPr="00345CAC">
        <w:t>Gd</w:t>
      </w:r>
      <w:proofErr w:type="spellEnd"/>
      <w:r w:rsidRPr="00345CAC">
        <w:t xml:space="preserve"> hittats i fibrosvävnad ifrån drabbade patienter är teorin att </w:t>
      </w:r>
      <w:proofErr w:type="spellStart"/>
      <w:r w:rsidRPr="00345CAC">
        <w:t>Gd</w:t>
      </w:r>
      <w:proofErr w:type="spellEnd"/>
      <w:r w:rsidRPr="00345CAC">
        <w:t xml:space="preserve"> i vissa fall dissocieras ifrån </w:t>
      </w:r>
      <w:proofErr w:type="spellStart"/>
      <w:r w:rsidRPr="00345CAC">
        <w:t>kelatet</w:t>
      </w:r>
      <w:proofErr w:type="spellEnd"/>
      <w:r w:rsidRPr="00345CAC">
        <w:t xml:space="preserve">, lagras i vävnad och där triggar en fibros. </w:t>
      </w:r>
    </w:p>
    <w:p w14:paraId="05B18A81" w14:textId="77777777" w:rsidR="00345CAC" w:rsidRPr="0046349F" w:rsidRDefault="00345CAC" w:rsidP="0046349F">
      <w:pPr>
        <w:pStyle w:val="Rubrik2"/>
      </w:pPr>
      <w:r w:rsidRPr="0046349F">
        <w:t>Rekommendationer</w:t>
      </w:r>
    </w:p>
    <w:p w14:paraId="3662723B" w14:textId="513581DE" w:rsidR="00345CAC" w:rsidRPr="00345CAC" w:rsidRDefault="00345CAC" w:rsidP="009F03C1">
      <w:pPr>
        <w:pStyle w:val="Normalefterlista"/>
        <w:rPr>
          <w:rFonts w:cs="Myriad Pro"/>
          <w:color w:val="000000"/>
          <w:szCs w:val="20"/>
        </w:rPr>
      </w:pPr>
      <w:r w:rsidRPr="00345CAC">
        <w:t xml:space="preserve">Som vanligt skall en tydlig och välgrundad klinisk indikation föreligga. Grupp 2 </w:t>
      </w:r>
      <w:proofErr w:type="spellStart"/>
      <w:r w:rsidRPr="00345CAC">
        <w:t>Gd</w:t>
      </w:r>
      <w:proofErr w:type="spellEnd"/>
      <w:r w:rsidRPr="00345CAC">
        <w:t>-KM är att föredra, speciellt i riskpatienter. Lägsta möjliga KM-dos som ger adekvat bildkvalitet skall dock eftersträvas.</w:t>
      </w:r>
    </w:p>
    <w:p w14:paraId="79C503E4" w14:textId="77777777" w:rsidR="00345CAC" w:rsidRPr="00E25897" w:rsidRDefault="00345CAC" w:rsidP="00E25897">
      <w:pPr>
        <w:pStyle w:val="Normalefterlista"/>
        <w:rPr>
          <w:i/>
          <w:iCs/>
        </w:rPr>
      </w:pPr>
      <w:r w:rsidRPr="00E25897">
        <w:rPr>
          <w:i/>
          <w:iCs/>
        </w:rPr>
        <w:t>Skattning av GFR (ml/min/1.73 m</w:t>
      </w:r>
      <w:r w:rsidRPr="00E25897">
        <w:rPr>
          <w:i/>
          <w:iCs/>
          <w:vertAlign w:val="superscript"/>
        </w:rPr>
        <w:t>2</w:t>
      </w:r>
      <w:r w:rsidRPr="00E25897">
        <w:rPr>
          <w:i/>
          <w:iCs/>
        </w:rPr>
        <w:t xml:space="preserve">) bör göras i följande fall </w:t>
      </w:r>
    </w:p>
    <w:p w14:paraId="16334674" w14:textId="77777777" w:rsidR="00345CAC" w:rsidRPr="00345CAC" w:rsidRDefault="00345CAC" w:rsidP="00E25897">
      <w:pPr>
        <w:pStyle w:val="Normalefterlista"/>
        <w:numPr>
          <w:ilvl w:val="0"/>
          <w:numId w:val="24"/>
        </w:numPr>
        <w:rPr>
          <w:rFonts w:eastAsia="Calibri"/>
          <w:szCs w:val="22"/>
          <w:lang w:eastAsia="en-US"/>
        </w:rPr>
      </w:pPr>
      <w:r w:rsidRPr="00345CAC">
        <w:rPr>
          <w:rFonts w:eastAsia="Calibri"/>
          <w:szCs w:val="22"/>
          <w:lang w:eastAsia="en-US"/>
        </w:rPr>
        <w:t xml:space="preserve">Patienter ≥70 år (nedsatt GFR trots normalt </w:t>
      </w:r>
      <w:proofErr w:type="spellStart"/>
      <w:r w:rsidRPr="00345CAC">
        <w:rPr>
          <w:rFonts w:eastAsia="Calibri"/>
          <w:szCs w:val="22"/>
          <w:lang w:eastAsia="en-US"/>
        </w:rPr>
        <w:t>kreatinin</w:t>
      </w:r>
      <w:proofErr w:type="spellEnd"/>
      <w:r w:rsidRPr="00345CAC">
        <w:rPr>
          <w:rFonts w:eastAsia="Calibri"/>
          <w:szCs w:val="22"/>
          <w:lang w:eastAsia="en-US"/>
        </w:rPr>
        <w:t xml:space="preserve"> förekommer) </w:t>
      </w:r>
    </w:p>
    <w:p w14:paraId="48229719" w14:textId="77777777" w:rsidR="00345CAC" w:rsidRPr="00345CAC" w:rsidRDefault="00345CAC" w:rsidP="00E25897">
      <w:pPr>
        <w:pStyle w:val="Normalefterlista"/>
        <w:numPr>
          <w:ilvl w:val="0"/>
          <w:numId w:val="24"/>
        </w:numPr>
        <w:rPr>
          <w:rFonts w:eastAsia="Calibri"/>
          <w:szCs w:val="22"/>
          <w:lang w:eastAsia="en-US"/>
        </w:rPr>
      </w:pPr>
      <w:r w:rsidRPr="00345CAC">
        <w:rPr>
          <w:rFonts w:eastAsia="Calibri"/>
          <w:szCs w:val="22"/>
          <w:lang w:eastAsia="en-US"/>
        </w:rPr>
        <w:t xml:space="preserve">Patienter med förhöjt </w:t>
      </w:r>
      <w:proofErr w:type="spellStart"/>
      <w:r w:rsidRPr="00345CAC">
        <w:rPr>
          <w:rFonts w:eastAsia="Calibri"/>
          <w:szCs w:val="22"/>
          <w:lang w:eastAsia="en-US"/>
        </w:rPr>
        <w:t>kreatinin</w:t>
      </w:r>
      <w:proofErr w:type="spellEnd"/>
      <w:r w:rsidRPr="00345CAC">
        <w:rPr>
          <w:rFonts w:eastAsia="Calibri"/>
          <w:szCs w:val="22"/>
          <w:lang w:eastAsia="en-US"/>
        </w:rPr>
        <w:t xml:space="preserve"> </w:t>
      </w:r>
    </w:p>
    <w:p w14:paraId="720B7471" w14:textId="77777777" w:rsidR="00345CAC" w:rsidRPr="00345CAC" w:rsidRDefault="00345CAC" w:rsidP="00E25897">
      <w:pPr>
        <w:pStyle w:val="Normalefterlista"/>
        <w:numPr>
          <w:ilvl w:val="0"/>
          <w:numId w:val="24"/>
        </w:numPr>
        <w:rPr>
          <w:rFonts w:eastAsia="Calibri"/>
          <w:szCs w:val="22"/>
          <w:lang w:eastAsia="en-US"/>
        </w:rPr>
      </w:pPr>
      <w:r w:rsidRPr="00345CAC">
        <w:rPr>
          <w:rFonts w:eastAsia="Calibri"/>
          <w:szCs w:val="22"/>
          <w:lang w:eastAsia="en-US"/>
        </w:rPr>
        <w:lastRenderedPageBreak/>
        <w:t>Hos patienter med anamnes som indikerar njurfunktionspåverkan, t.ex. diabetes.</w:t>
      </w:r>
    </w:p>
    <w:p w14:paraId="3C7F1580" w14:textId="77777777" w:rsidR="00345CAC" w:rsidRPr="00E25897" w:rsidRDefault="00345CAC" w:rsidP="00E25897">
      <w:pPr>
        <w:pStyle w:val="Normalefterlista"/>
        <w:rPr>
          <w:rFonts w:cs="Myriad Pro"/>
          <w:i/>
          <w:iCs/>
          <w:color w:val="000000"/>
        </w:rPr>
      </w:pPr>
      <w:r w:rsidRPr="00E25897">
        <w:rPr>
          <w:rFonts w:cs="Myriad Pro"/>
          <w:i/>
          <w:iCs/>
          <w:color w:val="000000"/>
        </w:rPr>
        <w:t>Följande algoritm kan användas för patienter med nedsatt njurfunktion:</w:t>
      </w:r>
    </w:p>
    <w:p w14:paraId="7268B27A" w14:textId="4230F196" w:rsidR="00345CAC" w:rsidRPr="00345CAC" w:rsidRDefault="00345CAC" w:rsidP="009D5C86">
      <w:pPr>
        <w:spacing w:after="0" w:line="240" w:lineRule="auto"/>
        <w:ind w:left="993" w:right="991"/>
        <w:jc w:val="center"/>
        <w:rPr>
          <w:rFonts w:cs="Myriad Pro"/>
          <w:noProof/>
          <w:color w:val="000000"/>
          <w:szCs w:val="20"/>
        </w:rPr>
      </w:pPr>
      <w:r w:rsidRPr="00345CAC">
        <w:rPr>
          <w:rFonts w:cs="Myriad Pro"/>
          <w:noProof/>
          <w:color w:val="000000"/>
          <w:szCs w:val="20"/>
        </w:rPr>
        <w:drawing>
          <wp:inline distT="0" distB="0" distL="0" distR="0" wp14:anchorId="6FEAAD26" wp14:editId="236704D4">
            <wp:extent cx="3924300" cy="2038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24300" cy="2038350"/>
                    </a:xfrm>
                    <a:prstGeom prst="rect">
                      <a:avLst/>
                    </a:prstGeom>
                    <a:noFill/>
                    <a:ln>
                      <a:noFill/>
                    </a:ln>
                  </pic:spPr>
                </pic:pic>
              </a:graphicData>
            </a:graphic>
          </wp:inline>
        </w:drawing>
      </w:r>
    </w:p>
    <w:p w14:paraId="3593F080" w14:textId="77777777" w:rsidR="00345CAC" w:rsidRPr="00345CAC" w:rsidRDefault="00345CAC" w:rsidP="009D5C86">
      <w:pPr>
        <w:spacing w:after="0" w:line="240" w:lineRule="auto"/>
        <w:ind w:left="993" w:right="991"/>
        <w:rPr>
          <w:rFonts w:cs="Myriad Pro"/>
          <w:noProof/>
          <w:color w:val="000000"/>
          <w:szCs w:val="20"/>
        </w:rPr>
      </w:pPr>
    </w:p>
    <w:p w14:paraId="077E33D9" w14:textId="370AA5DC" w:rsidR="00345CAC" w:rsidRPr="00345CAC" w:rsidRDefault="00345CAC" w:rsidP="00E97ACE">
      <w:pPr>
        <w:pStyle w:val="Normalefterlista"/>
      </w:pPr>
      <w:r w:rsidRPr="00345CAC">
        <w:t xml:space="preserve">Nedan följer två förhållningssätt vilka båda kan användas hos oss kliniskt. </w:t>
      </w:r>
      <w:hyperlink r:id="rId18" w:history="1">
        <w:proofErr w:type="spellStart"/>
        <w:r w:rsidRPr="00345CAC">
          <w:rPr>
            <w:color w:val="0000FF"/>
            <w:u w:val="single"/>
          </w:rPr>
          <w:t>SFMRs</w:t>
        </w:r>
        <w:proofErr w:type="spellEnd"/>
        <w:r w:rsidRPr="00345CAC">
          <w:rPr>
            <w:color w:val="0000FF"/>
            <w:u w:val="single"/>
          </w:rPr>
          <w:t xml:space="preserve"> rekommendationer</w:t>
        </w:r>
      </w:hyperlink>
      <w:r w:rsidRPr="00345CAC">
        <w:t xml:space="preserve">  (2017-11-24) överensstämmer väl med </w:t>
      </w:r>
      <w:proofErr w:type="spellStart"/>
      <w:r w:rsidRPr="00345CAC">
        <w:t>European</w:t>
      </w:r>
      <w:proofErr w:type="spellEnd"/>
      <w:r w:rsidRPr="00345CAC">
        <w:t xml:space="preserve"> </w:t>
      </w:r>
      <w:proofErr w:type="spellStart"/>
      <w:r w:rsidRPr="00345CAC">
        <w:t>Society</w:t>
      </w:r>
      <w:proofErr w:type="spellEnd"/>
      <w:r w:rsidRPr="00345CAC">
        <w:t xml:space="preserve"> </w:t>
      </w:r>
      <w:proofErr w:type="spellStart"/>
      <w:r w:rsidRPr="00345CAC">
        <w:t>of</w:t>
      </w:r>
      <w:proofErr w:type="spellEnd"/>
      <w:r w:rsidRPr="00345CAC">
        <w:t xml:space="preserve"> </w:t>
      </w:r>
      <w:proofErr w:type="spellStart"/>
      <w:r w:rsidRPr="00345CAC">
        <w:t>Uroradiology’s</w:t>
      </w:r>
      <w:proofErr w:type="spellEnd"/>
      <w:r w:rsidRPr="00345CAC">
        <w:t xml:space="preserve"> </w:t>
      </w:r>
      <w:hyperlink r:id="rId19" w:history="1">
        <w:r w:rsidRPr="00345CAC">
          <w:rPr>
            <w:color w:val="0000FF"/>
            <w:u w:val="single"/>
          </w:rPr>
          <w:t xml:space="preserve">(ESUR) </w:t>
        </w:r>
        <w:proofErr w:type="spellStart"/>
        <w:r w:rsidRPr="00345CAC">
          <w:rPr>
            <w:color w:val="0000FF"/>
            <w:u w:val="single"/>
          </w:rPr>
          <w:t>guidelines</w:t>
        </w:r>
        <w:proofErr w:type="spellEnd"/>
        <w:r w:rsidRPr="00345CAC">
          <w:rPr>
            <w:color w:val="0000FF"/>
            <w:u w:val="single"/>
          </w:rPr>
          <w:t xml:space="preserve"> on </w:t>
        </w:r>
        <w:proofErr w:type="spellStart"/>
        <w:r w:rsidRPr="00345CAC">
          <w:rPr>
            <w:color w:val="0000FF"/>
            <w:u w:val="single"/>
          </w:rPr>
          <w:t>contrast</w:t>
        </w:r>
        <w:proofErr w:type="spellEnd"/>
        <w:r w:rsidRPr="00345CAC">
          <w:rPr>
            <w:color w:val="0000FF"/>
            <w:u w:val="single"/>
          </w:rPr>
          <w:t xml:space="preserve"> media</w:t>
        </w:r>
      </w:hyperlink>
      <w:r w:rsidRPr="00345CAC">
        <w:t xml:space="preserve">. </w:t>
      </w:r>
      <w:r w:rsidR="00243C06">
        <w:t>Se även</w:t>
      </w:r>
      <w:r w:rsidR="00243C06" w:rsidRPr="00345CAC">
        <w:t xml:space="preserve"> </w:t>
      </w:r>
      <w:hyperlink r:id="rId20" w:history="1">
        <w:proofErr w:type="spellStart"/>
        <w:r w:rsidR="00243C06" w:rsidRPr="00345CAC">
          <w:rPr>
            <w:color w:val="0000FF"/>
            <w:u w:val="single"/>
          </w:rPr>
          <w:t>ACRs</w:t>
        </w:r>
        <w:proofErr w:type="spellEnd"/>
        <w:r w:rsidR="00243C06" w:rsidRPr="00345CAC">
          <w:rPr>
            <w:color w:val="0000FF"/>
            <w:u w:val="single"/>
          </w:rPr>
          <w:t xml:space="preserve"> rekommendationer</w:t>
        </w:r>
      </w:hyperlink>
      <w:r w:rsidR="00243C06" w:rsidRPr="00345CAC">
        <w:t xml:space="preserve"> (</w:t>
      </w:r>
      <w:r w:rsidR="00243C06">
        <w:t>2022).</w:t>
      </w:r>
    </w:p>
    <w:p w14:paraId="0F97BB0A" w14:textId="3433BB7E" w:rsidR="00345CAC" w:rsidRDefault="00345CAC" w:rsidP="00E97ACE">
      <w:pPr>
        <w:pStyle w:val="Normalefterlista"/>
      </w:pPr>
      <w:r w:rsidRPr="00345CAC">
        <w:t xml:space="preserve">Det är alltid den prioriterande radiologen som får göra övervägandet om </w:t>
      </w:r>
      <w:proofErr w:type="spellStart"/>
      <w:r w:rsidRPr="00345CAC">
        <w:t>Gd</w:t>
      </w:r>
      <w:proofErr w:type="spellEnd"/>
      <w:r w:rsidRPr="00345CAC">
        <w:t xml:space="preserve">-KM ska ges samt vilket </w:t>
      </w:r>
      <w:proofErr w:type="spellStart"/>
      <w:r w:rsidRPr="00345CAC">
        <w:t>Gd</w:t>
      </w:r>
      <w:proofErr w:type="spellEnd"/>
      <w:r w:rsidRPr="00345CAC">
        <w:t xml:space="preserve">-KM. Generellt väger en möjlig cancerdiagnos mycket högre än den potentiella men minimala risken för NSF. </w:t>
      </w:r>
    </w:p>
    <w:p w14:paraId="61A85308" w14:textId="11864DAC" w:rsidR="00091798" w:rsidRDefault="00091798">
      <w:pPr>
        <w:spacing w:after="0" w:line="240" w:lineRule="auto"/>
        <w:ind w:left="0" w:right="0"/>
      </w:pPr>
      <w:r>
        <w:br w:type="page"/>
      </w:r>
    </w:p>
    <w:p w14:paraId="685E8B4F" w14:textId="77777777" w:rsidR="00091798" w:rsidRPr="00091798" w:rsidRDefault="00091798" w:rsidP="00091798"/>
    <w:tbl>
      <w:tblPr>
        <w:tblW w:w="9213"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42"/>
        <w:gridCol w:w="3402"/>
        <w:gridCol w:w="3969"/>
      </w:tblGrid>
      <w:tr w:rsidR="00345CAC" w:rsidRPr="00243C06" w14:paraId="6D811E27" w14:textId="77777777" w:rsidTr="00091798">
        <w:trPr>
          <w:trHeight w:val="367"/>
        </w:trPr>
        <w:tc>
          <w:tcPr>
            <w:tcW w:w="1842" w:type="dxa"/>
            <w:tcBorders>
              <w:top w:val="single" w:sz="4" w:space="0" w:color="auto"/>
              <w:left w:val="single" w:sz="4" w:space="0" w:color="auto"/>
              <w:bottom w:val="single" w:sz="4" w:space="0" w:color="auto"/>
              <w:right w:val="single" w:sz="4" w:space="0" w:color="auto"/>
              <w:tl2br w:val="nil"/>
            </w:tcBorders>
            <w:shd w:val="clear" w:color="auto" w:fill="BDD6EE"/>
            <w:tcMar>
              <w:top w:w="58" w:type="dxa"/>
              <w:left w:w="58" w:type="dxa"/>
              <w:bottom w:w="58" w:type="dxa"/>
              <w:right w:w="58" w:type="dxa"/>
            </w:tcMar>
            <w:hideMark/>
          </w:tcPr>
          <w:p w14:paraId="57B8D496" w14:textId="77777777" w:rsidR="00345CAC" w:rsidRPr="00243C06" w:rsidRDefault="00345CAC" w:rsidP="00AE7C80">
            <w:pPr>
              <w:widowControl w:val="0"/>
              <w:spacing w:after="0" w:line="240" w:lineRule="auto"/>
              <w:ind w:left="0" w:right="87"/>
              <w:rPr>
                <w:rFonts w:ascii="Calibri" w:hAnsi="Calibri"/>
                <w:color w:val="000000"/>
                <w:kern w:val="28"/>
              </w:rPr>
            </w:pPr>
            <w:r w:rsidRPr="00243C06">
              <w:t xml:space="preserve">         </w:t>
            </w:r>
          </w:p>
        </w:tc>
        <w:tc>
          <w:tcPr>
            <w:tcW w:w="3402" w:type="dxa"/>
            <w:tcBorders>
              <w:top w:val="single" w:sz="4" w:space="0" w:color="auto"/>
              <w:left w:val="single" w:sz="4" w:space="0" w:color="auto"/>
              <w:bottom w:val="single" w:sz="4" w:space="0" w:color="auto"/>
              <w:right w:val="single" w:sz="4" w:space="0" w:color="auto"/>
            </w:tcBorders>
            <w:shd w:val="clear" w:color="auto" w:fill="BDD6EE"/>
            <w:tcMar>
              <w:top w:w="58" w:type="dxa"/>
              <w:left w:w="58" w:type="dxa"/>
              <w:bottom w:w="58" w:type="dxa"/>
              <w:right w:w="58" w:type="dxa"/>
            </w:tcMar>
            <w:hideMark/>
          </w:tcPr>
          <w:p w14:paraId="68C05329" w14:textId="77777777" w:rsidR="00345CAC" w:rsidRPr="00243C06" w:rsidRDefault="00345CAC" w:rsidP="00AD1B4D">
            <w:pPr>
              <w:widowControl w:val="0"/>
              <w:spacing w:after="0" w:line="240" w:lineRule="auto"/>
              <w:ind w:left="0" w:right="81"/>
              <w:jc w:val="center"/>
              <w:rPr>
                <w:i/>
                <w:lang w:val="en-US"/>
              </w:rPr>
            </w:pPr>
            <w:proofErr w:type="spellStart"/>
            <w:r w:rsidRPr="00243C06">
              <w:rPr>
                <w:b/>
                <w:i/>
              </w:rPr>
              <w:t>American</w:t>
            </w:r>
            <w:proofErr w:type="spellEnd"/>
            <w:r w:rsidRPr="00243C06">
              <w:rPr>
                <w:b/>
                <w:i/>
              </w:rPr>
              <w:t xml:space="preserve"> College </w:t>
            </w:r>
            <w:proofErr w:type="spellStart"/>
            <w:r w:rsidRPr="00243C06">
              <w:rPr>
                <w:b/>
                <w:i/>
              </w:rPr>
              <w:t>of</w:t>
            </w:r>
            <w:proofErr w:type="spellEnd"/>
            <w:r w:rsidRPr="00243C06">
              <w:rPr>
                <w:b/>
                <w:i/>
              </w:rPr>
              <w:t xml:space="preserve"> </w:t>
            </w:r>
            <w:proofErr w:type="spellStart"/>
            <w:r w:rsidRPr="00243C06">
              <w:rPr>
                <w:b/>
                <w:i/>
              </w:rPr>
              <w:t>Radiology</w:t>
            </w:r>
            <w:proofErr w:type="spellEnd"/>
          </w:p>
        </w:tc>
        <w:tc>
          <w:tcPr>
            <w:tcW w:w="3969" w:type="dxa"/>
            <w:tcBorders>
              <w:top w:val="single" w:sz="4" w:space="0" w:color="auto"/>
              <w:left w:val="single" w:sz="4" w:space="0" w:color="auto"/>
              <w:bottom w:val="single" w:sz="4" w:space="0" w:color="auto"/>
              <w:right w:val="single" w:sz="4" w:space="0" w:color="auto"/>
            </w:tcBorders>
            <w:shd w:val="clear" w:color="auto" w:fill="BDD6EE"/>
            <w:tcMar>
              <w:top w:w="58" w:type="dxa"/>
              <w:left w:w="58" w:type="dxa"/>
              <w:bottom w:w="58" w:type="dxa"/>
              <w:right w:w="58" w:type="dxa"/>
            </w:tcMar>
            <w:hideMark/>
          </w:tcPr>
          <w:p w14:paraId="35432F7A" w14:textId="77777777" w:rsidR="00345CAC" w:rsidRPr="00243C06" w:rsidRDefault="00345CAC" w:rsidP="00AD1B4D">
            <w:pPr>
              <w:widowControl w:val="0"/>
              <w:spacing w:after="0" w:line="240" w:lineRule="auto"/>
              <w:ind w:left="87" w:right="165"/>
              <w:jc w:val="center"/>
              <w:rPr>
                <w:i/>
              </w:rPr>
            </w:pPr>
            <w:r w:rsidRPr="00243C06">
              <w:rPr>
                <w:b/>
                <w:i/>
              </w:rPr>
              <w:t>Svensk förening för medicinsk radiologi</w:t>
            </w:r>
          </w:p>
        </w:tc>
      </w:tr>
      <w:tr w:rsidR="00345CAC" w:rsidRPr="00243C06" w14:paraId="261F7B40" w14:textId="77777777" w:rsidTr="00091798">
        <w:trPr>
          <w:trHeight w:val="6172"/>
        </w:trPr>
        <w:tc>
          <w:tcPr>
            <w:tcW w:w="1842" w:type="dxa"/>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hideMark/>
          </w:tcPr>
          <w:p w14:paraId="0D6EBF46" w14:textId="77777777" w:rsidR="00345CAC" w:rsidRPr="00243C06" w:rsidRDefault="00345CAC" w:rsidP="00AE7C80">
            <w:pPr>
              <w:widowControl w:val="0"/>
              <w:spacing w:after="0" w:line="240" w:lineRule="auto"/>
              <w:ind w:left="0" w:right="87"/>
            </w:pPr>
            <w:r w:rsidRPr="00243C06">
              <w:rPr>
                <w:b/>
              </w:rPr>
              <w:t>Grupp 2:</w:t>
            </w:r>
            <w:r w:rsidRPr="00243C06">
              <w:t xml:space="preserve"> </w:t>
            </w:r>
            <w:r w:rsidRPr="00243C06">
              <w:br/>
              <w:t xml:space="preserve">t.ex. </w:t>
            </w:r>
            <w:proofErr w:type="spellStart"/>
            <w:r w:rsidRPr="00243C06">
              <w:rPr>
                <w:b/>
              </w:rPr>
              <w:t>Clariscan</w:t>
            </w:r>
            <w:proofErr w:type="spellEnd"/>
            <w:r w:rsidRPr="00243C06">
              <w:rPr>
                <w:b/>
              </w:rPr>
              <w:t xml:space="preserve">, </w:t>
            </w:r>
            <w:proofErr w:type="spellStart"/>
            <w:r w:rsidRPr="00243C06">
              <w:rPr>
                <w:b/>
              </w:rPr>
              <w:t>Dotarem</w:t>
            </w:r>
            <w:proofErr w:type="spellEnd"/>
            <w:r w:rsidRPr="00243C06">
              <w:rPr>
                <w:b/>
              </w:rPr>
              <w:t>, Gadovist</w:t>
            </w:r>
          </w:p>
        </w:tc>
        <w:tc>
          <w:tcPr>
            <w:tcW w:w="3402" w:type="dxa"/>
            <w:tcBorders>
              <w:top w:val="single" w:sz="4" w:space="0" w:color="auto"/>
              <w:left w:val="single" w:sz="4" w:space="0" w:color="auto"/>
              <w:bottom w:val="single" w:sz="4" w:space="0" w:color="auto"/>
            </w:tcBorders>
            <w:tcMar>
              <w:top w:w="58" w:type="dxa"/>
              <w:left w:w="58" w:type="dxa"/>
              <w:bottom w:w="58" w:type="dxa"/>
              <w:right w:w="58" w:type="dxa"/>
            </w:tcMar>
            <w:hideMark/>
          </w:tcPr>
          <w:p w14:paraId="6CAC92B4" w14:textId="77777777" w:rsidR="00345CAC" w:rsidRPr="00243C06" w:rsidRDefault="00345CAC" w:rsidP="00AE7C80">
            <w:pPr>
              <w:widowControl w:val="0"/>
              <w:numPr>
                <w:ilvl w:val="0"/>
                <w:numId w:val="22"/>
              </w:numPr>
              <w:spacing w:after="0" w:line="259" w:lineRule="auto"/>
              <w:ind w:left="506" w:right="81" w:hanging="357"/>
              <w:contextualSpacing/>
              <w:rPr>
                <w:rFonts w:eastAsia="Calibri"/>
                <w:lang w:eastAsia="en-US"/>
              </w:rPr>
            </w:pPr>
            <w:r w:rsidRPr="00243C06">
              <w:rPr>
                <w:rFonts w:eastAsia="Calibri"/>
                <w:b/>
                <w:lang w:eastAsia="en-US"/>
              </w:rPr>
              <w:t>Kan användas för riskpatienter</w:t>
            </w:r>
            <w:r w:rsidRPr="00243C06">
              <w:rPr>
                <w:rFonts w:eastAsia="Calibri"/>
                <w:lang w:eastAsia="en-US"/>
              </w:rPr>
              <w:t xml:space="preserve"> p.g.a. mycket liten, eller obefintlig, risk att utveckla sjukdomen. </w:t>
            </w:r>
          </w:p>
          <w:p w14:paraId="3384FF06" w14:textId="0DD4F756" w:rsidR="00345CAC" w:rsidRPr="00243C06" w:rsidRDefault="00345CAC" w:rsidP="00AE7C80">
            <w:pPr>
              <w:widowControl w:val="0"/>
              <w:numPr>
                <w:ilvl w:val="0"/>
                <w:numId w:val="22"/>
              </w:numPr>
              <w:spacing w:after="0" w:line="259" w:lineRule="auto"/>
              <w:ind w:left="506" w:right="81" w:hanging="357"/>
              <w:contextualSpacing/>
              <w:rPr>
                <w:rFonts w:eastAsia="Calibri"/>
                <w:lang w:eastAsia="en-US"/>
              </w:rPr>
            </w:pPr>
            <w:r w:rsidRPr="00243C06">
              <w:rPr>
                <w:rFonts w:eastAsia="Calibri"/>
                <w:lang w:eastAsia="en-US"/>
              </w:rPr>
              <w:t xml:space="preserve">Om patienten är under dialysbehandling ska </w:t>
            </w:r>
            <w:r w:rsidRPr="00243C06">
              <w:rPr>
                <w:rFonts w:eastAsia="Calibri"/>
                <w:b/>
                <w:lang w:eastAsia="en-US"/>
              </w:rPr>
              <w:t>dialys påbörjas så snart som möjligt</w:t>
            </w:r>
            <w:r w:rsidRPr="00243C06">
              <w:rPr>
                <w:rFonts w:eastAsia="Calibri"/>
                <w:lang w:eastAsia="en-US"/>
              </w:rPr>
              <w:t xml:space="preserve"> efter KM-administrering. </w:t>
            </w:r>
          </w:p>
          <w:p w14:paraId="103857EF" w14:textId="77777777" w:rsidR="00345CAC" w:rsidRPr="00243C06" w:rsidRDefault="00345CAC" w:rsidP="00AE7C80">
            <w:pPr>
              <w:widowControl w:val="0"/>
              <w:numPr>
                <w:ilvl w:val="0"/>
                <w:numId w:val="22"/>
              </w:numPr>
              <w:spacing w:after="0" w:line="259" w:lineRule="auto"/>
              <w:ind w:left="506" w:right="81" w:hanging="357"/>
              <w:contextualSpacing/>
              <w:rPr>
                <w:rFonts w:ascii="Calibri" w:eastAsia="Calibri" w:hAnsi="Calibri"/>
                <w:lang w:eastAsia="en-US"/>
              </w:rPr>
            </w:pPr>
            <w:r w:rsidRPr="00243C06">
              <w:rPr>
                <w:rFonts w:eastAsia="Calibri"/>
                <w:b/>
                <w:lang w:eastAsia="en-US"/>
              </w:rPr>
              <w:t>Upprepad administrering</w:t>
            </w:r>
            <w:r w:rsidRPr="00243C06">
              <w:rPr>
                <w:rFonts w:eastAsia="Calibri"/>
                <w:lang w:eastAsia="en-US"/>
              </w:rPr>
              <w:t xml:space="preserve"> anses </w:t>
            </w:r>
            <w:r w:rsidRPr="00243C06">
              <w:rPr>
                <w:rFonts w:eastAsia="Calibri"/>
                <w:b/>
                <w:lang w:eastAsia="en-US"/>
              </w:rPr>
              <w:t>ej</w:t>
            </w:r>
            <w:r w:rsidRPr="00243C06">
              <w:rPr>
                <w:rFonts w:eastAsia="Calibri"/>
                <w:lang w:eastAsia="en-US"/>
              </w:rPr>
              <w:t xml:space="preserve"> medföra </w:t>
            </w:r>
            <w:r w:rsidRPr="00243C06">
              <w:rPr>
                <w:rFonts w:eastAsia="Calibri"/>
                <w:b/>
                <w:lang w:eastAsia="en-US"/>
              </w:rPr>
              <w:t>ökad risk</w:t>
            </w:r>
            <w:r w:rsidRPr="00243C06">
              <w:rPr>
                <w:rFonts w:eastAsia="Calibri"/>
                <w:lang w:eastAsia="en-US"/>
              </w:rPr>
              <w:t xml:space="preserve"> för NSF för patienter med normal njurfunktion.</w:t>
            </w:r>
          </w:p>
        </w:tc>
        <w:tc>
          <w:tcPr>
            <w:tcW w:w="3969" w:type="dxa"/>
            <w:tcBorders>
              <w:top w:val="single" w:sz="4" w:space="0" w:color="auto"/>
            </w:tcBorders>
            <w:tcMar>
              <w:top w:w="58" w:type="dxa"/>
              <w:left w:w="58" w:type="dxa"/>
              <w:bottom w:w="58" w:type="dxa"/>
              <w:right w:w="58" w:type="dxa"/>
            </w:tcMar>
            <w:hideMark/>
          </w:tcPr>
          <w:p w14:paraId="5C921BA1" w14:textId="77777777"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b/>
                <w:lang w:eastAsia="en-US"/>
              </w:rPr>
              <w:t xml:space="preserve">Screening </w:t>
            </w:r>
            <w:r w:rsidRPr="00243C06">
              <w:rPr>
                <w:rFonts w:eastAsia="Calibri"/>
                <w:lang w:eastAsia="en-US"/>
              </w:rPr>
              <w:t xml:space="preserve">för </w:t>
            </w:r>
            <w:r w:rsidRPr="00243C06">
              <w:rPr>
                <w:rFonts w:eastAsia="Calibri"/>
                <w:b/>
                <w:lang w:eastAsia="en-US"/>
              </w:rPr>
              <w:t>nedsatt njurfunktion</w:t>
            </w:r>
            <w:r w:rsidRPr="00243C06">
              <w:rPr>
                <w:rFonts w:eastAsia="Calibri"/>
                <w:lang w:eastAsia="en-US"/>
              </w:rPr>
              <w:t xml:space="preserve"> rekommenderas.</w:t>
            </w:r>
          </w:p>
          <w:p w14:paraId="6C3AC4FB" w14:textId="77777777"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lang w:eastAsia="en-US"/>
              </w:rPr>
              <w:t>Används med</w:t>
            </w:r>
            <w:r w:rsidRPr="00243C06">
              <w:rPr>
                <w:rFonts w:eastAsia="Calibri"/>
                <w:b/>
                <w:lang w:eastAsia="en-US"/>
              </w:rPr>
              <w:t xml:space="preserve"> försiktighet för </w:t>
            </w:r>
            <w:r w:rsidRPr="00243C06">
              <w:rPr>
                <w:rFonts w:eastAsia="Calibri"/>
                <w:b/>
                <w:u w:val="single"/>
                <w:lang w:eastAsia="en-US"/>
              </w:rPr>
              <w:t>riskpatienter</w:t>
            </w:r>
            <w:r w:rsidRPr="00243C06">
              <w:rPr>
                <w:rFonts w:eastAsia="Calibri"/>
                <w:b/>
                <w:lang w:eastAsia="en-US"/>
              </w:rPr>
              <w:t>:</w:t>
            </w:r>
            <w:r w:rsidRPr="00243C06">
              <w:rPr>
                <w:rFonts w:eastAsia="Calibri"/>
                <w:lang w:eastAsia="en-US"/>
              </w:rPr>
              <w:t xml:space="preserve"> </w:t>
            </w:r>
          </w:p>
          <w:p w14:paraId="25A3B4B1" w14:textId="77777777" w:rsidR="00345CAC" w:rsidRPr="00243C06" w:rsidRDefault="00345CAC" w:rsidP="00DC7639">
            <w:pPr>
              <w:widowControl w:val="0"/>
              <w:numPr>
                <w:ilvl w:val="2"/>
                <w:numId w:val="21"/>
              </w:numPr>
              <w:spacing w:after="0" w:line="259" w:lineRule="auto"/>
              <w:ind w:left="795" w:right="165"/>
              <w:contextualSpacing/>
              <w:rPr>
                <w:rFonts w:eastAsia="Calibri"/>
                <w:lang w:eastAsia="en-US"/>
              </w:rPr>
            </w:pPr>
            <w:r w:rsidRPr="00243C06">
              <w:rPr>
                <w:rFonts w:eastAsia="Calibri"/>
                <w:lang w:eastAsia="en-US"/>
              </w:rPr>
              <w:t xml:space="preserve">patienter med </w:t>
            </w:r>
            <w:r w:rsidRPr="00243C06">
              <w:rPr>
                <w:rFonts w:eastAsia="Calibri"/>
                <w:b/>
                <w:lang w:eastAsia="en-US"/>
              </w:rPr>
              <w:t>GFR &lt;30</w:t>
            </w:r>
            <w:r w:rsidRPr="00243C06">
              <w:rPr>
                <w:rFonts w:eastAsia="Calibri"/>
                <w:lang w:eastAsia="en-US"/>
              </w:rPr>
              <w:t xml:space="preserve"> ml/min/1,73 m</w:t>
            </w:r>
            <w:r w:rsidRPr="00243C06">
              <w:rPr>
                <w:rFonts w:eastAsia="Calibri"/>
                <w:vertAlign w:val="superscript"/>
                <w:lang w:eastAsia="en-US"/>
              </w:rPr>
              <w:t>2</w:t>
            </w:r>
            <w:r w:rsidRPr="00243C06">
              <w:rPr>
                <w:rFonts w:eastAsia="Calibri"/>
                <w:lang w:eastAsia="en-US"/>
              </w:rPr>
              <w:t xml:space="preserve">, inkl. </w:t>
            </w:r>
            <w:r w:rsidRPr="00243C06">
              <w:rPr>
                <w:rFonts w:eastAsia="Calibri"/>
                <w:b/>
                <w:lang w:eastAsia="en-US"/>
              </w:rPr>
              <w:t>dialyspatienter</w:t>
            </w:r>
            <w:r w:rsidRPr="00243C06">
              <w:rPr>
                <w:rFonts w:eastAsia="Calibri"/>
                <w:lang w:eastAsia="en-US"/>
              </w:rPr>
              <w:t xml:space="preserve"> och </w:t>
            </w:r>
            <w:r w:rsidRPr="00243C06">
              <w:rPr>
                <w:rFonts w:eastAsia="Calibri"/>
                <w:b/>
                <w:lang w:eastAsia="en-US"/>
              </w:rPr>
              <w:t>akut njursvikt</w:t>
            </w:r>
          </w:p>
          <w:p w14:paraId="1457A62C" w14:textId="77777777" w:rsidR="00345CAC" w:rsidRPr="00243C06" w:rsidRDefault="00345CAC" w:rsidP="00DC7639">
            <w:pPr>
              <w:widowControl w:val="0"/>
              <w:numPr>
                <w:ilvl w:val="2"/>
                <w:numId w:val="21"/>
              </w:numPr>
              <w:spacing w:after="0" w:line="259" w:lineRule="auto"/>
              <w:ind w:left="795" w:right="165"/>
              <w:contextualSpacing/>
              <w:rPr>
                <w:rFonts w:eastAsia="Calibri"/>
                <w:lang w:eastAsia="en-US"/>
              </w:rPr>
            </w:pPr>
            <w:r w:rsidRPr="00243C06">
              <w:rPr>
                <w:rFonts w:eastAsia="Calibri"/>
                <w:lang w:eastAsia="en-US"/>
              </w:rPr>
              <w:t xml:space="preserve">patienter under den </w:t>
            </w:r>
            <w:proofErr w:type="spellStart"/>
            <w:r w:rsidRPr="00243C06">
              <w:rPr>
                <w:rFonts w:eastAsia="Calibri"/>
                <w:lang w:eastAsia="en-US"/>
              </w:rPr>
              <w:t>perioperativa</w:t>
            </w:r>
            <w:proofErr w:type="spellEnd"/>
            <w:r w:rsidRPr="00243C06">
              <w:rPr>
                <w:rFonts w:eastAsia="Calibri"/>
                <w:lang w:eastAsia="en-US"/>
              </w:rPr>
              <w:t xml:space="preserve"> levertransplantationsperioden </w:t>
            </w:r>
          </w:p>
          <w:p w14:paraId="018E9E7C" w14:textId="77777777" w:rsidR="00345CAC" w:rsidRPr="00243C06" w:rsidRDefault="00345CAC" w:rsidP="00DC7639">
            <w:pPr>
              <w:widowControl w:val="0"/>
              <w:numPr>
                <w:ilvl w:val="2"/>
                <w:numId w:val="21"/>
              </w:numPr>
              <w:spacing w:after="0" w:line="259" w:lineRule="auto"/>
              <w:ind w:left="795" w:right="165"/>
              <w:contextualSpacing/>
              <w:rPr>
                <w:rFonts w:eastAsia="Calibri"/>
                <w:b/>
                <w:lang w:eastAsia="en-US"/>
              </w:rPr>
            </w:pPr>
            <w:r w:rsidRPr="00243C06">
              <w:rPr>
                <w:rFonts w:eastAsia="Calibri"/>
                <w:lang w:eastAsia="en-US"/>
              </w:rPr>
              <w:t>nyfödda</w:t>
            </w:r>
            <w:r w:rsidRPr="00243C06">
              <w:rPr>
                <w:rFonts w:eastAsia="Calibri"/>
                <w:b/>
                <w:lang w:eastAsia="en-US"/>
              </w:rPr>
              <w:t xml:space="preserve">, prematura barn och spädbarn </w:t>
            </w:r>
          </w:p>
          <w:p w14:paraId="5762ACE0" w14:textId="77777777"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lang w:eastAsia="en-US"/>
              </w:rPr>
              <w:t xml:space="preserve">Använd </w:t>
            </w:r>
            <w:r w:rsidRPr="00243C06">
              <w:rPr>
                <w:rFonts w:eastAsia="Calibri"/>
                <w:b/>
                <w:lang w:eastAsia="en-US"/>
              </w:rPr>
              <w:t>en enda dos</w:t>
            </w:r>
            <w:r w:rsidRPr="00243C06">
              <w:rPr>
                <w:rFonts w:eastAsia="Calibri"/>
                <w:lang w:eastAsia="en-US"/>
              </w:rPr>
              <w:t xml:space="preserve"> som är </w:t>
            </w:r>
            <w:r w:rsidRPr="00243C06">
              <w:rPr>
                <w:rFonts w:eastAsia="Calibri"/>
                <w:b/>
                <w:lang w:eastAsia="en-US"/>
              </w:rPr>
              <w:t xml:space="preserve">så låg som möjligt </w:t>
            </w:r>
            <w:r w:rsidRPr="00243C06">
              <w:rPr>
                <w:rFonts w:eastAsia="Calibri"/>
                <w:lang w:eastAsia="en-US"/>
              </w:rPr>
              <w:t xml:space="preserve">om användning inte undviks. </w:t>
            </w:r>
          </w:p>
          <w:p w14:paraId="7F8EDF32" w14:textId="77777777"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lang w:eastAsia="en-US"/>
              </w:rPr>
              <w:t xml:space="preserve">Användning av ett </w:t>
            </w:r>
            <w:proofErr w:type="spellStart"/>
            <w:r w:rsidRPr="00243C06">
              <w:rPr>
                <w:rFonts w:eastAsia="Calibri"/>
                <w:lang w:eastAsia="en-US"/>
              </w:rPr>
              <w:t>Gd</w:t>
            </w:r>
            <w:proofErr w:type="spellEnd"/>
            <w:r w:rsidRPr="00243C06">
              <w:rPr>
                <w:rFonts w:eastAsia="Calibri"/>
                <w:lang w:eastAsia="en-US"/>
              </w:rPr>
              <w:t xml:space="preserve">-kontrastmedel ska </w:t>
            </w:r>
            <w:r w:rsidRPr="00243C06">
              <w:rPr>
                <w:rFonts w:eastAsia="Calibri"/>
                <w:b/>
                <w:lang w:eastAsia="en-US"/>
              </w:rPr>
              <w:t xml:space="preserve">inte upprepas på minst 7 dagar. </w:t>
            </w:r>
          </w:p>
          <w:p w14:paraId="271573F5" w14:textId="77777777"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lang w:eastAsia="en-US"/>
              </w:rPr>
              <w:t xml:space="preserve">Om patienten är under dialysbehandling skall </w:t>
            </w:r>
            <w:r w:rsidRPr="00243C06">
              <w:rPr>
                <w:rFonts w:eastAsia="Calibri"/>
                <w:b/>
                <w:lang w:eastAsia="en-US"/>
              </w:rPr>
              <w:t>dialys påbörjas så snart som möjligt</w:t>
            </w:r>
            <w:r w:rsidRPr="00243C06">
              <w:rPr>
                <w:rFonts w:eastAsia="Calibri"/>
                <w:lang w:eastAsia="en-US"/>
              </w:rPr>
              <w:t xml:space="preserve"> efter KM-administrering. </w:t>
            </w:r>
          </w:p>
          <w:p w14:paraId="7D0E3BF7" w14:textId="32B0E325" w:rsidR="00345CAC" w:rsidRPr="00243C06" w:rsidRDefault="00345CAC" w:rsidP="00AE7C80">
            <w:pPr>
              <w:widowControl w:val="0"/>
              <w:numPr>
                <w:ilvl w:val="0"/>
                <w:numId w:val="21"/>
              </w:numPr>
              <w:spacing w:after="0" w:line="259" w:lineRule="auto"/>
              <w:ind w:left="512" w:right="165" w:hanging="357"/>
              <w:contextualSpacing/>
              <w:rPr>
                <w:rFonts w:eastAsia="Calibri"/>
                <w:lang w:eastAsia="en-US"/>
              </w:rPr>
            </w:pPr>
            <w:r w:rsidRPr="00243C06">
              <w:rPr>
                <w:rFonts w:eastAsia="Calibri"/>
                <w:lang w:eastAsia="en-US"/>
              </w:rPr>
              <w:t xml:space="preserve">Beslutet om </w:t>
            </w:r>
            <w:r w:rsidRPr="00243C06">
              <w:rPr>
                <w:rFonts w:eastAsia="Calibri"/>
                <w:b/>
                <w:lang w:eastAsia="en-US"/>
              </w:rPr>
              <w:t>amning</w:t>
            </w:r>
            <w:r w:rsidRPr="00243C06">
              <w:rPr>
                <w:rFonts w:eastAsia="Calibri"/>
                <w:lang w:eastAsia="en-US"/>
              </w:rPr>
              <w:t xml:space="preserve"> ska fortsätta eller uppskjutas i 24 timmar ska läkaren fatta</w:t>
            </w:r>
            <w:r w:rsidR="009F03C1" w:rsidRPr="00243C06">
              <w:rPr>
                <w:rFonts w:eastAsia="Calibri"/>
                <w:lang w:eastAsia="en-US"/>
              </w:rPr>
              <w:t xml:space="preserve"> </w:t>
            </w:r>
            <w:r w:rsidRPr="00243C06">
              <w:rPr>
                <w:rFonts w:eastAsia="Calibri"/>
                <w:b/>
                <w:lang w:eastAsia="en-US"/>
              </w:rPr>
              <w:t>i samråd med modern</w:t>
            </w:r>
          </w:p>
        </w:tc>
      </w:tr>
      <w:tr w:rsidR="00345CAC" w:rsidRPr="00243C06" w14:paraId="0AF54F30" w14:textId="77777777" w:rsidTr="00091798">
        <w:trPr>
          <w:trHeight w:val="665"/>
        </w:trPr>
        <w:tc>
          <w:tcPr>
            <w:tcW w:w="1842" w:type="dxa"/>
            <w:tcBorders>
              <w:top w:val="single" w:sz="4" w:space="0" w:color="auto"/>
              <w:left w:val="single" w:sz="4" w:space="0" w:color="auto"/>
              <w:bottom w:val="single" w:sz="4" w:space="0" w:color="auto"/>
              <w:right w:val="single" w:sz="4" w:space="0" w:color="auto"/>
            </w:tcBorders>
            <w:tcMar>
              <w:top w:w="58" w:type="dxa"/>
              <w:left w:w="58" w:type="dxa"/>
              <w:bottom w:w="58" w:type="dxa"/>
              <w:right w:w="58" w:type="dxa"/>
            </w:tcMar>
            <w:hideMark/>
          </w:tcPr>
          <w:p w14:paraId="20C81E4B" w14:textId="77777777" w:rsidR="00345CAC" w:rsidRPr="00243C06" w:rsidRDefault="00345CAC" w:rsidP="00AE7C80">
            <w:pPr>
              <w:widowControl w:val="0"/>
              <w:spacing w:after="0" w:line="240" w:lineRule="auto"/>
              <w:ind w:left="0" w:right="87"/>
            </w:pPr>
            <w:r w:rsidRPr="00243C06">
              <w:rPr>
                <w:b/>
              </w:rPr>
              <w:t>Grupp 3:</w:t>
            </w:r>
            <w:r w:rsidRPr="00243C06">
              <w:t xml:space="preserve"> </w:t>
            </w:r>
            <w:r w:rsidRPr="00243C06">
              <w:br/>
              <w:t xml:space="preserve">t.ex. </w:t>
            </w:r>
            <w:r w:rsidRPr="00243C06">
              <w:rPr>
                <w:b/>
              </w:rPr>
              <w:t>Primovist</w:t>
            </w:r>
          </w:p>
        </w:tc>
        <w:tc>
          <w:tcPr>
            <w:tcW w:w="3402" w:type="dxa"/>
            <w:tcBorders>
              <w:top w:val="single" w:sz="4" w:space="0" w:color="auto"/>
              <w:left w:val="single" w:sz="4" w:space="0" w:color="auto"/>
              <w:bottom w:val="single" w:sz="4" w:space="0" w:color="auto"/>
            </w:tcBorders>
            <w:tcMar>
              <w:top w:w="58" w:type="dxa"/>
              <w:left w:w="58" w:type="dxa"/>
              <w:bottom w:w="58" w:type="dxa"/>
              <w:right w:w="58" w:type="dxa"/>
            </w:tcMar>
            <w:hideMark/>
          </w:tcPr>
          <w:p w14:paraId="383EE722" w14:textId="77777777" w:rsidR="00345CAC" w:rsidRPr="00243C06" w:rsidRDefault="00345CAC" w:rsidP="00AE7C80">
            <w:pPr>
              <w:widowControl w:val="0"/>
              <w:numPr>
                <w:ilvl w:val="0"/>
                <w:numId w:val="22"/>
              </w:numPr>
              <w:spacing w:after="160" w:line="259" w:lineRule="auto"/>
              <w:ind w:left="506" w:right="81"/>
              <w:contextualSpacing/>
              <w:rPr>
                <w:rFonts w:eastAsia="Calibri"/>
                <w:lang w:eastAsia="en-US"/>
              </w:rPr>
            </w:pPr>
            <w:r w:rsidRPr="00243C06">
              <w:rPr>
                <w:rFonts w:eastAsia="Calibri"/>
                <w:lang w:eastAsia="en-US"/>
              </w:rPr>
              <w:t xml:space="preserve">Ungefär som </w:t>
            </w:r>
            <w:r w:rsidRPr="00243C06">
              <w:rPr>
                <w:rFonts w:eastAsia="Calibri"/>
                <w:b/>
                <w:lang w:eastAsia="en-US"/>
              </w:rPr>
              <w:t xml:space="preserve">SFMR </w:t>
            </w:r>
            <w:proofErr w:type="spellStart"/>
            <w:r w:rsidRPr="00243C06">
              <w:rPr>
                <w:rFonts w:eastAsia="Calibri"/>
                <w:b/>
                <w:lang w:eastAsia="en-US"/>
              </w:rPr>
              <w:t>rekom-mendationer</w:t>
            </w:r>
            <w:proofErr w:type="spellEnd"/>
            <w:r w:rsidRPr="00243C06">
              <w:rPr>
                <w:rFonts w:eastAsia="Calibri"/>
                <w:b/>
                <w:lang w:eastAsia="en-US"/>
              </w:rPr>
              <w:t xml:space="preserve"> för grupp 2</w:t>
            </w:r>
            <w:r w:rsidRPr="00243C06">
              <w:rPr>
                <w:rFonts w:eastAsia="Calibri"/>
                <w:lang w:eastAsia="en-US"/>
              </w:rPr>
              <w:t xml:space="preserve">. </w:t>
            </w:r>
          </w:p>
        </w:tc>
        <w:tc>
          <w:tcPr>
            <w:tcW w:w="3969" w:type="dxa"/>
            <w:tcMar>
              <w:top w:w="58" w:type="dxa"/>
              <w:left w:w="58" w:type="dxa"/>
              <w:bottom w:w="58" w:type="dxa"/>
              <w:right w:w="58" w:type="dxa"/>
            </w:tcMar>
            <w:hideMark/>
          </w:tcPr>
          <w:p w14:paraId="6035CC8E" w14:textId="24937FB3" w:rsidR="00345CAC" w:rsidRPr="00243C06" w:rsidRDefault="00345CAC" w:rsidP="00AE7C80">
            <w:pPr>
              <w:widowControl w:val="0"/>
              <w:numPr>
                <w:ilvl w:val="0"/>
                <w:numId w:val="21"/>
              </w:numPr>
              <w:spacing w:after="160" w:line="259" w:lineRule="auto"/>
              <w:ind w:left="512" w:right="165"/>
              <w:contextualSpacing/>
              <w:rPr>
                <w:rFonts w:eastAsia="Calibri"/>
                <w:lang w:eastAsia="en-US"/>
              </w:rPr>
            </w:pPr>
            <w:r w:rsidRPr="00243C06">
              <w:rPr>
                <w:rFonts w:eastAsia="Calibri"/>
                <w:lang w:eastAsia="en-US"/>
              </w:rPr>
              <w:t xml:space="preserve">Samma </w:t>
            </w:r>
            <w:r w:rsidRPr="00243C06">
              <w:rPr>
                <w:rFonts w:eastAsia="Calibri"/>
                <w:b/>
                <w:lang w:eastAsia="en-US"/>
              </w:rPr>
              <w:t>rekommendationer som för grupp 2.</w:t>
            </w:r>
          </w:p>
        </w:tc>
      </w:tr>
    </w:tbl>
    <w:p w14:paraId="0B3E488C" w14:textId="33EFC9DF" w:rsidR="00345CAC" w:rsidRPr="00345CAC" w:rsidRDefault="00345CAC" w:rsidP="009F03C1">
      <w:pPr>
        <w:spacing w:after="0" w:line="240" w:lineRule="auto"/>
        <w:ind w:left="0" w:right="991"/>
        <w:rPr>
          <w:szCs w:val="20"/>
        </w:rPr>
      </w:pPr>
    </w:p>
    <w:p w14:paraId="68AD0F2A" w14:textId="77777777" w:rsidR="00243C06" w:rsidRDefault="00243C06">
      <w:pPr>
        <w:spacing w:after="0" w:line="240" w:lineRule="auto"/>
        <w:ind w:left="0" w:right="0"/>
        <w:rPr>
          <w:rFonts w:asciiTheme="majorHAnsi" w:eastAsiaTheme="majorEastAsia" w:hAnsiTheme="majorHAnsi" w:cstheme="majorBidi"/>
          <w:bCs/>
          <w:color w:val="000000" w:themeColor="text1"/>
          <w:sz w:val="40"/>
          <w:szCs w:val="26"/>
        </w:rPr>
      </w:pPr>
      <w:r>
        <w:br w:type="page"/>
      </w:r>
    </w:p>
    <w:p w14:paraId="6F71D6EF" w14:textId="307A8E2D" w:rsidR="00345CAC" w:rsidRPr="0046349F" w:rsidRDefault="00345CAC" w:rsidP="008D0D2B">
      <w:pPr>
        <w:pStyle w:val="Rubrik2"/>
      </w:pPr>
      <w:r w:rsidRPr="0046349F">
        <w:lastRenderedPageBreak/>
        <w:t>Klassificering av gadoliniumkontrastmedel (</w:t>
      </w:r>
      <w:proofErr w:type="spellStart"/>
      <w:r w:rsidRPr="0046349F">
        <w:t>Gd</w:t>
      </w:r>
      <w:proofErr w:type="spellEnd"/>
      <w:r w:rsidRPr="0046349F">
        <w:t>-KM) relativt NSF</w:t>
      </w:r>
    </w:p>
    <w:p w14:paraId="7D4F71E0" w14:textId="77777777" w:rsidR="00345CAC" w:rsidRPr="00345CAC" w:rsidRDefault="00345CAC" w:rsidP="00A22521">
      <w:pPr>
        <w:pStyle w:val="Rubrik3"/>
        <w:rPr>
          <w:rFonts w:ascii="Arial" w:hAnsi="Arial"/>
        </w:rPr>
      </w:pPr>
      <w:r w:rsidRPr="00345CAC">
        <w:t>Grupp</w:t>
      </w:r>
      <w:r w:rsidRPr="00345CAC">
        <w:rPr>
          <w:rFonts w:ascii="Arial" w:hAnsi="Arial"/>
        </w:rPr>
        <w:t xml:space="preserve"> 1</w:t>
      </w:r>
    </w:p>
    <w:p w14:paraId="6BD0A3AC" w14:textId="77777777" w:rsidR="00345CAC" w:rsidRPr="007E4321" w:rsidRDefault="00345CAC" w:rsidP="00A22521">
      <w:pPr>
        <w:rPr>
          <w:b/>
          <w:bCs/>
        </w:rPr>
      </w:pPr>
      <w:r w:rsidRPr="007E4321">
        <w:rPr>
          <w:b/>
          <w:bCs/>
        </w:rPr>
        <w:t>Associerade med de flesta NSF-fallen, tillstånd indragna av europeiska läkemedelsmyndighetens säkerhetskommitté</w:t>
      </w:r>
    </w:p>
    <w:p w14:paraId="3E23DCB8" w14:textId="77777777" w:rsidR="00345CAC" w:rsidRPr="00345CAC" w:rsidRDefault="00345CAC" w:rsidP="008D0D2B">
      <w:pPr>
        <w:spacing w:after="0" w:line="240" w:lineRule="auto"/>
        <w:ind w:right="-284"/>
        <w:rPr>
          <w:szCs w:val="20"/>
          <w:lang w:val="en-US"/>
        </w:rPr>
      </w:pPr>
      <w:proofErr w:type="spellStart"/>
      <w:r w:rsidRPr="007E4321">
        <w:t>Omniscan</w:t>
      </w:r>
      <w:proofErr w:type="spellEnd"/>
      <w:r w:rsidRPr="007E4321">
        <w:t>® (</w:t>
      </w:r>
      <w:proofErr w:type="spellStart"/>
      <w:r w:rsidRPr="007E4321">
        <w:t>Gadodiamide</w:t>
      </w:r>
      <w:proofErr w:type="spellEnd"/>
      <w:r w:rsidRPr="007E4321">
        <w:t>– GE Healthcare)</w:t>
      </w:r>
      <w:r w:rsidRPr="007E4321">
        <w:br/>
        <w:t>Magnevist®  (</w:t>
      </w:r>
      <w:proofErr w:type="spellStart"/>
      <w:r w:rsidRPr="007E4321">
        <w:t>Gadopentetate</w:t>
      </w:r>
      <w:proofErr w:type="spellEnd"/>
      <w:r w:rsidRPr="007E4321">
        <w:t xml:space="preserve"> </w:t>
      </w:r>
      <w:proofErr w:type="spellStart"/>
      <w:r w:rsidRPr="007E4321">
        <w:t>dimeglumine</w:t>
      </w:r>
      <w:proofErr w:type="spellEnd"/>
      <w:r w:rsidRPr="007E4321">
        <w:t xml:space="preserve"> – Bayer </w:t>
      </w:r>
      <w:proofErr w:type="spellStart"/>
      <w:r w:rsidRPr="007E4321">
        <w:t>HealthCare</w:t>
      </w:r>
      <w:proofErr w:type="spellEnd"/>
      <w:r w:rsidRPr="007E4321">
        <w:t xml:space="preserve"> Pharmaceuticals)</w:t>
      </w:r>
      <w:r w:rsidRPr="007E4321">
        <w:br/>
      </w:r>
      <w:proofErr w:type="spellStart"/>
      <w:r w:rsidRPr="007E4321">
        <w:t>OptiMARK</w:t>
      </w:r>
      <w:proofErr w:type="spellEnd"/>
      <w:r w:rsidRPr="00345CAC">
        <w:rPr>
          <w:sz w:val="10"/>
          <w:szCs w:val="10"/>
          <w:lang w:val="en-US"/>
        </w:rPr>
        <w:t>®</w:t>
      </w:r>
      <w:r w:rsidRPr="00345CAC">
        <w:rPr>
          <w:szCs w:val="20"/>
          <w:lang w:val="en-US"/>
        </w:rPr>
        <w:t xml:space="preserve"> (</w:t>
      </w:r>
      <w:proofErr w:type="spellStart"/>
      <w:r w:rsidRPr="00345CAC">
        <w:rPr>
          <w:szCs w:val="20"/>
          <w:lang w:val="en-US"/>
        </w:rPr>
        <w:t>Gadoversetamide</w:t>
      </w:r>
      <w:proofErr w:type="spellEnd"/>
      <w:r w:rsidRPr="00345CAC">
        <w:rPr>
          <w:szCs w:val="20"/>
          <w:lang w:val="en-US"/>
        </w:rPr>
        <w:t xml:space="preserve"> – </w:t>
      </w:r>
      <w:proofErr w:type="spellStart"/>
      <w:r w:rsidRPr="00345CAC">
        <w:rPr>
          <w:szCs w:val="20"/>
          <w:lang w:val="en-US"/>
        </w:rPr>
        <w:t>Guerbet</w:t>
      </w:r>
      <w:proofErr w:type="spellEnd"/>
      <w:r w:rsidRPr="00345CAC">
        <w:rPr>
          <w:szCs w:val="20"/>
          <w:lang w:val="en-US"/>
        </w:rPr>
        <w:t>)</w:t>
      </w:r>
    </w:p>
    <w:p w14:paraId="00D75398" w14:textId="77777777" w:rsidR="00345CAC" w:rsidRPr="00A22521" w:rsidRDefault="00345CAC" w:rsidP="00A22521">
      <w:pPr>
        <w:pStyle w:val="Rubrik3"/>
      </w:pPr>
      <w:r w:rsidRPr="00A22521">
        <w:t>Grupp 2</w:t>
      </w:r>
    </w:p>
    <w:p w14:paraId="5FAE8C0A" w14:textId="77777777" w:rsidR="00345CAC" w:rsidRPr="007E4321" w:rsidRDefault="00345CAC" w:rsidP="007E4321">
      <w:pPr>
        <w:rPr>
          <w:rFonts w:ascii="Myriad Pro" w:hAnsi="Myriad Pro" w:cs="Myriad Pro"/>
          <w:b/>
          <w:bCs/>
          <w:color w:val="000000"/>
        </w:rPr>
      </w:pPr>
      <w:r w:rsidRPr="007E4321">
        <w:rPr>
          <w:b/>
          <w:bCs/>
        </w:rPr>
        <w:t>Associerade med enstaka, om överhuvudtaget några, säkra NSF-fall</w:t>
      </w:r>
    </w:p>
    <w:p w14:paraId="463F40B6" w14:textId="77777777" w:rsidR="00345CAC" w:rsidRPr="00345CAC" w:rsidRDefault="00345CAC" w:rsidP="008D0D2B">
      <w:pPr>
        <w:spacing w:after="0" w:line="240" w:lineRule="auto"/>
        <w:ind w:right="0"/>
        <w:rPr>
          <w:szCs w:val="20"/>
        </w:rPr>
      </w:pPr>
      <w:proofErr w:type="spellStart"/>
      <w:r w:rsidRPr="00345CAC">
        <w:rPr>
          <w:szCs w:val="20"/>
        </w:rPr>
        <w:t>MultiHance</w:t>
      </w:r>
      <w:proofErr w:type="spellEnd"/>
      <w:r w:rsidRPr="00345CAC">
        <w:rPr>
          <w:sz w:val="10"/>
          <w:szCs w:val="10"/>
        </w:rPr>
        <w:t>®</w:t>
      </w:r>
      <w:r w:rsidRPr="00345CAC">
        <w:rPr>
          <w:szCs w:val="20"/>
        </w:rPr>
        <w:t xml:space="preserve"> (</w:t>
      </w:r>
      <w:proofErr w:type="spellStart"/>
      <w:r w:rsidRPr="00345CAC">
        <w:rPr>
          <w:szCs w:val="20"/>
        </w:rPr>
        <w:t>Gadobenate</w:t>
      </w:r>
      <w:proofErr w:type="spellEnd"/>
      <w:r w:rsidRPr="00345CAC">
        <w:rPr>
          <w:szCs w:val="20"/>
        </w:rPr>
        <w:t xml:space="preserve"> </w:t>
      </w:r>
      <w:proofErr w:type="spellStart"/>
      <w:r w:rsidRPr="00345CAC">
        <w:rPr>
          <w:szCs w:val="20"/>
        </w:rPr>
        <w:t>dimeglumine</w:t>
      </w:r>
      <w:proofErr w:type="spellEnd"/>
      <w:r w:rsidRPr="00345CAC">
        <w:rPr>
          <w:sz w:val="10"/>
          <w:szCs w:val="10"/>
        </w:rPr>
        <w:t xml:space="preserve"> </w:t>
      </w:r>
      <w:r w:rsidRPr="00345CAC">
        <w:rPr>
          <w:szCs w:val="20"/>
        </w:rPr>
        <w:t xml:space="preserve">– </w:t>
      </w:r>
      <w:proofErr w:type="spellStart"/>
      <w:r w:rsidRPr="00345CAC">
        <w:rPr>
          <w:szCs w:val="20"/>
        </w:rPr>
        <w:t>Bracco</w:t>
      </w:r>
      <w:proofErr w:type="spellEnd"/>
      <w:r w:rsidRPr="00345CAC">
        <w:rPr>
          <w:szCs w:val="20"/>
        </w:rPr>
        <w:t xml:space="preserve"> </w:t>
      </w:r>
      <w:proofErr w:type="spellStart"/>
      <w:r w:rsidRPr="00345CAC">
        <w:rPr>
          <w:szCs w:val="20"/>
        </w:rPr>
        <w:t>Diagnostics</w:t>
      </w:r>
      <w:proofErr w:type="spellEnd"/>
      <w:r w:rsidRPr="00345CAC">
        <w:rPr>
          <w:szCs w:val="20"/>
        </w:rPr>
        <w:t xml:space="preserve">) </w:t>
      </w:r>
      <w:r w:rsidRPr="00345CAC">
        <w:rPr>
          <w:szCs w:val="20"/>
        </w:rPr>
        <w:br/>
      </w:r>
      <w:proofErr w:type="spellStart"/>
      <w:r w:rsidRPr="00345CAC">
        <w:rPr>
          <w:szCs w:val="20"/>
        </w:rPr>
        <w:t>Gadavist</w:t>
      </w:r>
      <w:proofErr w:type="spellEnd"/>
      <w:r w:rsidRPr="00345CAC">
        <w:rPr>
          <w:sz w:val="10"/>
          <w:szCs w:val="10"/>
        </w:rPr>
        <w:t>®</w:t>
      </w:r>
      <w:r w:rsidRPr="00345CAC">
        <w:rPr>
          <w:szCs w:val="10"/>
        </w:rPr>
        <w:t xml:space="preserve"> </w:t>
      </w:r>
      <w:r w:rsidRPr="00345CAC">
        <w:rPr>
          <w:szCs w:val="20"/>
        </w:rPr>
        <w:t>eller Gadovist</w:t>
      </w:r>
      <w:r w:rsidRPr="00345CAC">
        <w:rPr>
          <w:sz w:val="10"/>
          <w:szCs w:val="10"/>
        </w:rPr>
        <w:t>®</w:t>
      </w:r>
      <w:r w:rsidRPr="00345CAC">
        <w:rPr>
          <w:sz w:val="14"/>
          <w:szCs w:val="10"/>
        </w:rPr>
        <w:t xml:space="preserve"> </w:t>
      </w:r>
      <w:r w:rsidRPr="00345CAC">
        <w:rPr>
          <w:szCs w:val="10"/>
        </w:rPr>
        <w:t>(</w:t>
      </w:r>
      <w:proofErr w:type="spellStart"/>
      <w:r w:rsidRPr="00345CAC">
        <w:rPr>
          <w:szCs w:val="20"/>
        </w:rPr>
        <w:t>Gadobutrol</w:t>
      </w:r>
      <w:proofErr w:type="spellEnd"/>
      <w:r w:rsidRPr="00345CAC">
        <w:rPr>
          <w:szCs w:val="20"/>
        </w:rPr>
        <w:t xml:space="preserve"> –  Bayer </w:t>
      </w:r>
      <w:proofErr w:type="spellStart"/>
      <w:r w:rsidRPr="00345CAC">
        <w:rPr>
          <w:szCs w:val="20"/>
        </w:rPr>
        <w:t>HealthCare</w:t>
      </w:r>
      <w:proofErr w:type="spellEnd"/>
      <w:r w:rsidRPr="00345CAC">
        <w:rPr>
          <w:szCs w:val="20"/>
        </w:rPr>
        <w:t xml:space="preserve"> Pharmaceuticals)</w:t>
      </w:r>
      <w:r w:rsidRPr="00345CAC">
        <w:rPr>
          <w:szCs w:val="20"/>
        </w:rPr>
        <w:br/>
      </w:r>
      <w:proofErr w:type="spellStart"/>
      <w:r w:rsidRPr="00345CAC">
        <w:rPr>
          <w:szCs w:val="20"/>
        </w:rPr>
        <w:t>Dotarem</w:t>
      </w:r>
      <w:proofErr w:type="spellEnd"/>
      <w:r w:rsidRPr="00345CAC">
        <w:rPr>
          <w:sz w:val="10"/>
          <w:szCs w:val="10"/>
        </w:rPr>
        <w:t>®</w:t>
      </w:r>
      <w:r w:rsidRPr="00345CAC">
        <w:rPr>
          <w:szCs w:val="20"/>
        </w:rPr>
        <w:t xml:space="preserve"> (</w:t>
      </w:r>
      <w:proofErr w:type="spellStart"/>
      <w:r w:rsidRPr="00345CAC">
        <w:rPr>
          <w:szCs w:val="20"/>
        </w:rPr>
        <w:t>Gadoteric</w:t>
      </w:r>
      <w:proofErr w:type="spellEnd"/>
      <w:r w:rsidRPr="00345CAC">
        <w:rPr>
          <w:szCs w:val="20"/>
        </w:rPr>
        <w:t xml:space="preserve"> </w:t>
      </w:r>
      <w:proofErr w:type="spellStart"/>
      <w:r w:rsidRPr="00345CAC">
        <w:rPr>
          <w:szCs w:val="20"/>
        </w:rPr>
        <w:t>acid</w:t>
      </w:r>
      <w:proofErr w:type="spellEnd"/>
      <w:r w:rsidRPr="00345CAC">
        <w:rPr>
          <w:szCs w:val="20"/>
        </w:rPr>
        <w:t xml:space="preserve"> – </w:t>
      </w:r>
      <w:proofErr w:type="spellStart"/>
      <w:r w:rsidRPr="00345CAC">
        <w:rPr>
          <w:szCs w:val="20"/>
        </w:rPr>
        <w:t>Guerbet</w:t>
      </w:r>
      <w:proofErr w:type="spellEnd"/>
      <w:r w:rsidRPr="00345CAC">
        <w:rPr>
          <w:szCs w:val="20"/>
        </w:rPr>
        <w:t xml:space="preserve">) / </w:t>
      </w:r>
      <w:proofErr w:type="spellStart"/>
      <w:r w:rsidRPr="00345CAC">
        <w:rPr>
          <w:szCs w:val="20"/>
        </w:rPr>
        <w:t>Clariscan</w:t>
      </w:r>
      <w:proofErr w:type="spellEnd"/>
      <w:r w:rsidRPr="00345CAC">
        <w:rPr>
          <w:sz w:val="10"/>
          <w:szCs w:val="10"/>
        </w:rPr>
        <w:t xml:space="preserve">® </w:t>
      </w:r>
      <w:r w:rsidRPr="00345CAC">
        <w:rPr>
          <w:szCs w:val="20"/>
        </w:rPr>
        <w:t xml:space="preserve"> (</w:t>
      </w:r>
      <w:proofErr w:type="spellStart"/>
      <w:r w:rsidRPr="00345CAC">
        <w:rPr>
          <w:szCs w:val="20"/>
        </w:rPr>
        <w:t>Gadoterate</w:t>
      </w:r>
      <w:proofErr w:type="spellEnd"/>
      <w:r w:rsidRPr="00345CAC">
        <w:rPr>
          <w:szCs w:val="20"/>
        </w:rPr>
        <w:t xml:space="preserve"> </w:t>
      </w:r>
      <w:proofErr w:type="spellStart"/>
      <w:r w:rsidRPr="00345CAC">
        <w:rPr>
          <w:szCs w:val="20"/>
        </w:rPr>
        <w:t>meglumine</w:t>
      </w:r>
      <w:proofErr w:type="spellEnd"/>
      <w:r w:rsidRPr="00345CAC">
        <w:rPr>
          <w:szCs w:val="20"/>
        </w:rPr>
        <w:t xml:space="preserve"> GE Healthcare)</w:t>
      </w:r>
      <w:r w:rsidRPr="00345CAC">
        <w:rPr>
          <w:szCs w:val="20"/>
        </w:rPr>
        <w:br/>
      </w:r>
      <w:proofErr w:type="spellStart"/>
      <w:r w:rsidRPr="00345CAC">
        <w:rPr>
          <w:szCs w:val="20"/>
        </w:rPr>
        <w:t>ProHance</w:t>
      </w:r>
      <w:proofErr w:type="spellEnd"/>
      <w:r w:rsidRPr="00345CAC">
        <w:rPr>
          <w:sz w:val="10"/>
          <w:szCs w:val="10"/>
        </w:rPr>
        <w:t xml:space="preserve">® </w:t>
      </w:r>
      <w:r w:rsidRPr="00345CAC">
        <w:rPr>
          <w:szCs w:val="20"/>
        </w:rPr>
        <w:t>(</w:t>
      </w:r>
      <w:proofErr w:type="spellStart"/>
      <w:r w:rsidRPr="00345CAC">
        <w:rPr>
          <w:szCs w:val="20"/>
        </w:rPr>
        <w:t>Gadoteridol</w:t>
      </w:r>
      <w:proofErr w:type="spellEnd"/>
      <w:r w:rsidRPr="00345CAC">
        <w:rPr>
          <w:szCs w:val="20"/>
        </w:rPr>
        <w:t xml:space="preserve"> – </w:t>
      </w:r>
      <w:proofErr w:type="spellStart"/>
      <w:r w:rsidRPr="00345CAC">
        <w:rPr>
          <w:szCs w:val="20"/>
        </w:rPr>
        <w:t>Bracco</w:t>
      </w:r>
      <w:proofErr w:type="spellEnd"/>
      <w:r w:rsidRPr="00345CAC">
        <w:rPr>
          <w:szCs w:val="20"/>
        </w:rPr>
        <w:t xml:space="preserve"> </w:t>
      </w:r>
      <w:proofErr w:type="spellStart"/>
      <w:r w:rsidRPr="00345CAC">
        <w:rPr>
          <w:szCs w:val="20"/>
        </w:rPr>
        <w:t>Diagnostics</w:t>
      </w:r>
      <w:proofErr w:type="spellEnd"/>
      <w:r w:rsidRPr="00345CAC">
        <w:rPr>
          <w:szCs w:val="20"/>
        </w:rPr>
        <w:t>)</w:t>
      </w:r>
    </w:p>
    <w:p w14:paraId="03A26CB3" w14:textId="77777777" w:rsidR="00345CAC" w:rsidRPr="00345CAC" w:rsidRDefault="00345CAC" w:rsidP="00A22521">
      <w:pPr>
        <w:pStyle w:val="Rubrik3"/>
        <w:rPr>
          <w:rFonts w:ascii="Arial" w:hAnsi="Arial"/>
        </w:rPr>
      </w:pPr>
      <w:r w:rsidRPr="00345CAC">
        <w:t>Grupp</w:t>
      </w:r>
      <w:r w:rsidRPr="00345CAC">
        <w:rPr>
          <w:rFonts w:ascii="Arial" w:hAnsi="Arial"/>
        </w:rPr>
        <w:t xml:space="preserve"> 3</w:t>
      </w:r>
    </w:p>
    <w:p w14:paraId="0930B5B2" w14:textId="77777777" w:rsidR="00345CAC" w:rsidRPr="007E4321" w:rsidRDefault="00345CAC" w:rsidP="007E4321">
      <w:pPr>
        <w:rPr>
          <w:b/>
          <w:bCs/>
        </w:rPr>
      </w:pPr>
      <w:r w:rsidRPr="007E4321">
        <w:rPr>
          <w:b/>
          <w:bCs/>
        </w:rPr>
        <w:t>Saknar tillräckligt med klinisk data, associerade med enstaka, om överhuvudtaget några, säkra NSF-fall</w:t>
      </w:r>
    </w:p>
    <w:p w14:paraId="06ECC5DC" w14:textId="775DB9E8" w:rsidR="00345CAC" w:rsidRPr="00345CAC" w:rsidRDefault="00345CAC" w:rsidP="009E0F6F">
      <w:pPr>
        <w:spacing w:after="0" w:line="240" w:lineRule="auto"/>
        <w:ind w:right="-993"/>
        <w:rPr>
          <w:szCs w:val="20"/>
        </w:rPr>
      </w:pPr>
      <w:r w:rsidRPr="00345CAC">
        <w:rPr>
          <w:szCs w:val="20"/>
        </w:rPr>
        <w:t>Primovist</w:t>
      </w:r>
      <w:r w:rsidRPr="00345CAC">
        <w:rPr>
          <w:sz w:val="10"/>
          <w:szCs w:val="10"/>
        </w:rPr>
        <w:t>®</w:t>
      </w:r>
      <w:r w:rsidRPr="00345CAC">
        <w:rPr>
          <w:szCs w:val="20"/>
        </w:rPr>
        <w:t xml:space="preserve"> eller </w:t>
      </w:r>
      <w:proofErr w:type="spellStart"/>
      <w:r w:rsidRPr="00345CAC">
        <w:rPr>
          <w:szCs w:val="20"/>
        </w:rPr>
        <w:t>Eovist</w:t>
      </w:r>
      <w:proofErr w:type="spellEnd"/>
      <w:r w:rsidRPr="00345CAC">
        <w:rPr>
          <w:sz w:val="10"/>
          <w:szCs w:val="10"/>
        </w:rPr>
        <w:t>®</w:t>
      </w:r>
      <w:r w:rsidRPr="00345CAC">
        <w:rPr>
          <w:szCs w:val="20"/>
        </w:rPr>
        <w:t xml:space="preserve"> (</w:t>
      </w:r>
      <w:proofErr w:type="spellStart"/>
      <w:r w:rsidRPr="00345CAC">
        <w:rPr>
          <w:szCs w:val="20"/>
        </w:rPr>
        <w:t>Gadoxetate</w:t>
      </w:r>
      <w:proofErr w:type="spellEnd"/>
      <w:r w:rsidRPr="00345CAC">
        <w:rPr>
          <w:szCs w:val="20"/>
        </w:rPr>
        <w:t xml:space="preserve"> </w:t>
      </w:r>
      <w:proofErr w:type="spellStart"/>
      <w:r w:rsidRPr="00345CAC">
        <w:rPr>
          <w:szCs w:val="20"/>
        </w:rPr>
        <w:t>disodium</w:t>
      </w:r>
      <w:proofErr w:type="spellEnd"/>
      <w:r w:rsidRPr="00345CAC">
        <w:rPr>
          <w:szCs w:val="20"/>
        </w:rPr>
        <w:t xml:space="preserve"> – Bayer </w:t>
      </w:r>
      <w:proofErr w:type="spellStart"/>
      <w:r w:rsidRPr="00345CAC">
        <w:rPr>
          <w:szCs w:val="20"/>
        </w:rPr>
        <w:t>HealthCare</w:t>
      </w:r>
      <w:proofErr w:type="spellEnd"/>
      <w:r w:rsidRPr="00345CAC">
        <w:rPr>
          <w:szCs w:val="20"/>
        </w:rPr>
        <w:t xml:space="preserve"> Pharmaceuticals</w:t>
      </w:r>
      <w:r w:rsidR="009E0F6F">
        <w:rPr>
          <w:szCs w:val="20"/>
        </w:rPr>
        <w:t>)</w:t>
      </w:r>
    </w:p>
    <w:p w14:paraId="446F3D72" w14:textId="77777777" w:rsidR="00345CAC" w:rsidRPr="00345CAC" w:rsidRDefault="00345CAC" w:rsidP="00A22521">
      <w:pPr>
        <w:pStyle w:val="Rubrik2"/>
      </w:pPr>
      <w:proofErr w:type="spellStart"/>
      <w:r w:rsidRPr="00345CAC">
        <w:t>Myastenia</w:t>
      </w:r>
      <w:proofErr w:type="spellEnd"/>
      <w:r w:rsidRPr="00345CAC">
        <w:t xml:space="preserve"> gravis</w:t>
      </w:r>
    </w:p>
    <w:p w14:paraId="46B6116E" w14:textId="77AD4AD8" w:rsidR="00345CAC" w:rsidRPr="00345CAC" w:rsidRDefault="00345CAC" w:rsidP="009E0F6F">
      <w:pPr>
        <w:rPr>
          <w:color w:val="000000"/>
          <w:szCs w:val="20"/>
        </w:rPr>
      </w:pPr>
      <w:r w:rsidRPr="00345CAC">
        <w:t xml:space="preserve">Andningsstillestånd har beskrivits både i samband med jod- och </w:t>
      </w:r>
      <w:proofErr w:type="spellStart"/>
      <w:r w:rsidRPr="00345CAC">
        <w:t>Gd</w:t>
      </w:r>
      <w:proofErr w:type="spellEnd"/>
      <w:r w:rsidRPr="00345CAC">
        <w:t xml:space="preserve">-KM, trots behandling med </w:t>
      </w:r>
      <w:proofErr w:type="spellStart"/>
      <w:r w:rsidRPr="00345CAC">
        <w:t>kolinesterashämmare</w:t>
      </w:r>
      <w:proofErr w:type="spellEnd"/>
      <w:r w:rsidRPr="00345CAC">
        <w:t xml:space="preserve">. Kontrastmedel bör endast ges om det är nödvändigt och beredskap ska finnas för andningsstöd med blåsa och mask samt annan livräddande behandling.  På MG-patienter med </w:t>
      </w:r>
      <w:proofErr w:type="spellStart"/>
      <w:r w:rsidRPr="00345CAC">
        <w:t>bulbära</w:t>
      </w:r>
      <w:proofErr w:type="spellEnd"/>
      <w:r w:rsidRPr="00345CAC">
        <w:t xml:space="preserve"> symtom bör man överväga ett dygns inläggning p.g.a. risken för fördröjd debut av symtomförsämringen.</w:t>
      </w:r>
    </w:p>
    <w:p w14:paraId="51C77C81" w14:textId="77777777" w:rsidR="00345CAC" w:rsidRPr="00345CAC" w:rsidRDefault="00345CAC" w:rsidP="00A22521">
      <w:pPr>
        <w:pStyle w:val="Rubrik2"/>
        <w:rPr>
          <w:rFonts w:ascii="Arial" w:hAnsi="Arial"/>
          <w:color w:val="000000"/>
          <w:sz w:val="26"/>
        </w:rPr>
      </w:pPr>
      <w:r w:rsidRPr="00345CAC">
        <w:t xml:space="preserve">Ackumulering av </w:t>
      </w:r>
      <w:proofErr w:type="spellStart"/>
      <w:r w:rsidRPr="00345CAC">
        <w:t>Gd</w:t>
      </w:r>
      <w:proofErr w:type="spellEnd"/>
      <w:r w:rsidRPr="00345CAC">
        <w:t xml:space="preserve">-kontrastmedel </w:t>
      </w:r>
    </w:p>
    <w:p w14:paraId="3FE3DA04" w14:textId="694EE7D1" w:rsidR="00345CAC" w:rsidRPr="007E4321" w:rsidRDefault="00345CAC" w:rsidP="007E4321">
      <w:r w:rsidRPr="00345CAC">
        <w:t xml:space="preserve">Det är idag känt att </w:t>
      </w:r>
      <w:proofErr w:type="spellStart"/>
      <w:r w:rsidRPr="00345CAC">
        <w:t>Gd</w:t>
      </w:r>
      <w:proofErr w:type="spellEnd"/>
      <w:r w:rsidRPr="00345CAC">
        <w:t>-KM kan lagras i hjärnparenkym samt hud. Ackumulationen synes vara dosberoende och förekommer även hos patienter som har normal njurfunktion. Publikationer med nya rön om detta kommer fortlöpande. Prevalens och mekanismer är oklara liksom den kliniska signifikansen. Inga säkra sjukdomstillstånd har ännu kopplats till denna inlagring.</w:t>
      </w:r>
    </w:p>
    <w:p w14:paraId="232FA0A6" w14:textId="77777777" w:rsidR="00345CAC" w:rsidRPr="00A22521" w:rsidRDefault="00345CAC" w:rsidP="00A22521">
      <w:pPr>
        <w:pStyle w:val="Rubrik2"/>
      </w:pPr>
      <w:r w:rsidRPr="00A22521">
        <w:lastRenderedPageBreak/>
        <w:t xml:space="preserve">Överkänslighetsreaktioner </w:t>
      </w:r>
    </w:p>
    <w:p w14:paraId="382D0E8A" w14:textId="612CA9F0" w:rsidR="00345CAC" w:rsidRPr="00345CAC" w:rsidRDefault="00345CAC" w:rsidP="009E0F6F">
      <w:pPr>
        <w:rPr>
          <w:szCs w:val="20"/>
        </w:rPr>
      </w:pPr>
      <w:r w:rsidRPr="00345CAC">
        <w:t xml:space="preserve">Överkänslighetsreaktionerna efter tillförsel av </w:t>
      </w:r>
      <w:proofErr w:type="spellStart"/>
      <w:r w:rsidRPr="00345CAC">
        <w:t>Gd</w:t>
      </w:r>
      <w:proofErr w:type="spellEnd"/>
      <w:r w:rsidRPr="00345CAC">
        <w:t xml:space="preserve">-KM liknar dem man ser med </w:t>
      </w:r>
      <w:proofErr w:type="spellStart"/>
      <w:r w:rsidRPr="00345CAC">
        <w:t>jodkontrastmedel</w:t>
      </w:r>
      <w:proofErr w:type="spellEnd"/>
      <w:r w:rsidRPr="00345CAC">
        <w:t xml:space="preserve">, om än mer ovanliga. För beskrivning och åtgärd av dessa hänvisas till vårt PM om </w:t>
      </w:r>
      <w:proofErr w:type="spellStart"/>
      <w:r w:rsidRPr="00345CAC">
        <w:t>jodallergi</w:t>
      </w:r>
      <w:proofErr w:type="spellEnd"/>
      <w:r w:rsidRPr="00345CAC">
        <w:t xml:space="preserve">; </w:t>
      </w:r>
      <w:hyperlink r:id="rId21" w:history="1">
        <w:r w:rsidRPr="00345CAC">
          <w:rPr>
            <w:color w:val="0000FF"/>
            <w:u w:val="single"/>
          </w:rPr>
          <w:t>Premedicinering vid kontrastmedelsöverkänslighet</w:t>
        </w:r>
      </w:hyperlink>
      <w:r w:rsidRPr="00345CAC">
        <w:t xml:space="preserve"> eller </w:t>
      </w:r>
      <w:hyperlink r:id="rId22" w:history="1">
        <w:proofErr w:type="spellStart"/>
        <w:r w:rsidRPr="00345CAC">
          <w:rPr>
            <w:color w:val="0000FF"/>
            <w:u w:val="single"/>
          </w:rPr>
          <w:t>SFMRs</w:t>
        </w:r>
        <w:proofErr w:type="spellEnd"/>
      </w:hyperlink>
      <w:r w:rsidRPr="00345CAC">
        <w:t xml:space="preserve"> hemsida.</w:t>
      </w:r>
    </w:p>
    <w:p w14:paraId="347CDDDE" w14:textId="522BAEA6" w:rsidR="009A224A" w:rsidRDefault="009A224A">
      <w:pPr>
        <w:spacing w:after="0" w:line="240" w:lineRule="auto"/>
        <w:ind w:left="0" w:right="0"/>
        <w:rPr>
          <w:rFonts w:asciiTheme="majorHAnsi" w:eastAsiaTheme="majorEastAsia" w:hAnsiTheme="majorHAnsi" w:cstheme="majorBidi"/>
          <w:bCs/>
          <w:color w:val="000000" w:themeColor="text1"/>
          <w:sz w:val="40"/>
          <w:szCs w:val="26"/>
        </w:rPr>
      </w:pPr>
    </w:p>
    <w:p w14:paraId="3393A192" w14:textId="29622046" w:rsidR="00345CAC" w:rsidRPr="00A22521" w:rsidRDefault="00345CAC" w:rsidP="00A22521">
      <w:pPr>
        <w:pStyle w:val="Rubrik2"/>
      </w:pPr>
      <w:r w:rsidRPr="00A22521">
        <w:t>DT och MR samma dag</w:t>
      </w:r>
    </w:p>
    <w:p w14:paraId="41AA24EC" w14:textId="2BF5AFBE" w:rsidR="00345CAC" w:rsidRPr="00345CAC" w:rsidRDefault="00345CAC" w:rsidP="00397622">
      <w:pPr>
        <w:pStyle w:val="Punktlista"/>
      </w:pPr>
      <w:r w:rsidRPr="00345CAC">
        <w:t>Om GFR ≥ 30 ml/min/1,73 m</w:t>
      </w:r>
      <w:r w:rsidRPr="00345CAC">
        <w:rPr>
          <w:vertAlign w:val="superscript"/>
        </w:rPr>
        <w:t>2</w:t>
      </w:r>
      <w:r w:rsidRPr="00345CAC">
        <w:t xml:space="preserve"> och inga andra riskfaktorer för KMN kan undersökningarna göras samma dag.  </w:t>
      </w:r>
      <w:r w:rsidRPr="00345CAC">
        <w:br/>
        <w:t xml:space="preserve">DT ska föregå MR för att eliminera ev. kontrastartefakter ifrån </w:t>
      </w:r>
      <w:proofErr w:type="spellStart"/>
      <w:r w:rsidRPr="00345CAC">
        <w:t>Gd</w:t>
      </w:r>
      <w:proofErr w:type="spellEnd"/>
      <w:r w:rsidRPr="00345CAC">
        <w:t xml:space="preserve"> i gall-/urinblåsa. </w:t>
      </w:r>
      <w:r w:rsidRPr="00345CAC">
        <w:br/>
        <w:t xml:space="preserve">Minst fyra timmar bör förlöpa mellan undersökningarna om turordning som ovan, annars minst 2 dygn. </w:t>
      </w:r>
      <w:r w:rsidRPr="00345CAC">
        <w:br/>
      </w:r>
    </w:p>
    <w:p w14:paraId="76B9F95B" w14:textId="2CE27F7E" w:rsidR="00536A5A" w:rsidRPr="00536A5A" w:rsidRDefault="00345CAC" w:rsidP="00812407">
      <w:pPr>
        <w:pStyle w:val="Punktlista"/>
      </w:pPr>
      <w:r w:rsidRPr="00345CAC">
        <w:t>Om GFR &lt; 30 ml/min/1,73 m</w:t>
      </w:r>
      <w:r w:rsidRPr="00812407">
        <w:rPr>
          <w:vertAlign w:val="superscript"/>
        </w:rPr>
        <w:t>2</w:t>
      </w:r>
      <w:r w:rsidRPr="00345CAC">
        <w:t xml:space="preserve"> eller multipla riskfaktorer för KMN bör man försöka undvika multipla kontrastförstärkta undersökningar. Beslut tas av radiolog i det enskilda fallet. </w:t>
      </w:r>
      <w:r w:rsidRPr="00345CAC">
        <w:br/>
        <w:t xml:space="preserve">Minst 2 dagar bör förlöpa och förnyad </w:t>
      </w:r>
      <w:proofErr w:type="spellStart"/>
      <w:r w:rsidRPr="00345CAC">
        <w:t>kreatininprovtagning</w:t>
      </w:r>
      <w:proofErr w:type="spellEnd"/>
      <w:r w:rsidRPr="00345CAC">
        <w:t xml:space="preserve"> bör ske innan administration av nytt i.v. kontrastmedel.</w:t>
      </w:r>
      <w:bookmarkEnd w:id="0"/>
    </w:p>
    <w:sectPr w:rsidR="00536A5A" w:rsidRPr="00536A5A" w:rsidSect="00345CA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2EBB15" w14:textId="77777777" w:rsidR="00314CA4" w:rsidRDefault="00314CA4">
      <w:r>
        <w:separator/>
      </w:r>
    </w:p>
  </w:endnote>
  <w:endnote w:type="continuationSeparator" w:id="0">
    <w:p w14:paraId="37BFE5DF" w14:textId="77777777" w:rsidR="00314CA4" w:rsidRDefault="00314CA4">
      <w:r>
        <w:continuationSeparator/>
      </w:r>
    </w:p>
  </w:endnote>
  <w:endnote w:type="continuationNotice" w:id="1">
    <w:p w14:paraId="21D94B85" w14:textId="77777777" w:rsidR="00314CA4" w:rsidRDefault="00314CA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yriad Pro">
    <w:altName w:val="Segoe UI"/>
    <w:panose1 w:val="00000000000000000000"/>
    <w:charset w:val="00"/>
    <w:family w:val="swiss"/>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A63EEB" w14:textId="77777777" w:rsidR="00314CA4" w:rsidRDefault="00314CA4"/>
  </w:footnote>
  <w:footnote w:type="continuationSeparator" w:id="0">
    <w:p w14:paraId="7F6EAC7D" w14:textId="77777777" w:rsidR="00314CA4" w:rsidRDefault="00314CA4">
      <w:r>
        <w:continuationSeparator/>
      </w:r>
    </w:p>
  </w:footnote>
  <w:footnote w:type="continuationNotice" w:id="1">
    <w:p w14:paraId="439BC4C8" w14:textId="77777777" w:rsidR="00314CA4" w:rsidRDefault="00314CA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7341A1"/>
    <w:multiLevelType w:val="hybridMultilevel"/>
    <w:tmpl w:val="4E62544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8785AD7"/>
    <w:multiLevelType w:val="multilevel"/>
    <w:tmpl w:val="6CF2F632"/>
    <w:lvl w:ilvl="0">
      <w:numFmt w:val="bullet"/>
      <w:lvlText w:val=""/>
      <w:lvlJc w:val="left"/>
      <w:pPr>
        <w:ind w:left="360" w:hanging="360"/>
      </w:pPr>
      <w:rPr>
        <w:rFonts w:ascii="Symbol" w:eastAsia="Calibri" w:hAnsi="Symbol" w:cs="Times New Roman"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1C5F0CBC"/>
    <w:multiLevelType w:val="hybridMultilevel"/>
    <w:tmpl w:val="84320F3E"/>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5D2A89"/>
    <w:multiLevelType w:val="hybridMultilevel"/>
    <w:tmpl w:val="4E1264AA"/>
    <w:lvl w:ilvl="0" w:tplc="FFFFFFFF">
      <w:numFmt w:val="bullet"/>
      <w:lvlText w:val=""/>
      <w:lvlJc w:val="left"/>
      <w:pPr>
        <w:ind w:left="720" w:hanging="360"/>
      </w:pPr>
      <w:rPr>
        <w:rFonts w:ascii="Symbol" w:eastAsia="Calibri" w:hAnsi="Symbol" w:cs="Times New Roman" w:hint="default"/>
      </w:rPr>
    </w:lvl>
    <w:lvl w:ilvl="1" w:tplc="FFFFFFFF">
      <w:start w:val="1"/>
      <w:numFmt w:val="bullet"/>
      <w:lvlText w:val="o"/>
      <w:lvlJc w:val="left"/>
      <w:pPr>
        <w:ind w:left="1440" w:hanging="360"/>
      </w:pPr>
      <w:rPr>
        <w:rFonts w:ascii="Courier New" w:hAnsi="Courier New" w:cs="Courier New" w:hint="default"/>
      </w:rPr>
    </w:lvl>
    <w:lvl w:ilvl="2" w:tplc="041D0003">
      <w:start w:val="1"/>
      <w:numFmt w:val="bullet"/>
      <w:lvlText w:val="o"/>
      <w:lvlJc w:val="left"/>
      <w:pPr>
        <w:ind w:left="2160" w:hanging="360"/>
      </w:pPr>
      <w:rPr>
        <w:rFonts w:ascii="Courier New" w:hAnsi="Courier New" w:cs="Courier New"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B396A82"/>
    <w:multiLevelType w:val="hybridMultilevel"/>
    <w:tmpl w:val="B1FCADD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abstractNumId w:val="22"/>
  </w:num>
  <w:num w:numId="2">
    <w:abstractNumId w:val="18"/>
  </w:num>
  <w:num w:numId="3">
    <w:abstractNumId w:val="0"/>
  </w:num>
  <w:num w:numId="4">
    <w:abstractNumId w:val="9"/>
  </w:num>
  <w:num w:numId="5">
    <w:abstractNumId w:val="20"/>
  </w:num>
  <w:num w:numId="6">
    <w:abstractNumId w:val="3"/>
  </w:num>
  <w:num w:numId="7">
    <w:abstractNumId w:val="14"/>
  </w:num>
  <w:num w:numId="8">
    <w:abstractNumId w:val="11"/>
  </w:num>
  <w:num w:numId="9">
    <w:abstractNumId w:val="1"/>
  </w:num>
  <w:num w:numId="10">
    <w:abstractNumId w:val="1"/>
  </w:num>
  <w:num w:numId="11">
    <w:abstractNumId w:val="4"/>
  </w:num>
  <w:num w:numId="12">
    <w:abstractNumId w:val="5"/>
  </w:num>
  <w:num w:numId="13">
    <w:abstractNumId w:val="17"/>
  </w:num>
  <w:num w:numId="14">
    <w:abstractNumId w:val="12"/>
  </w:num>
  <w:num w:numId="15">
    <w:abstractNumId w:val="10"/>
  </w:num>
  <w:num w:numId="16">
    <w:abstractNumId w:val="16"/>
  </w:num>
  <w:num w:numId="17">
    <w:abstractNumId w:val="6"/>
  </w:num>
  <w:num w:numId="18">
    <w:abstractNumId w:val="13"/>
  </w:num>
  <w:num w:numId="19">
    <w:abstractNumId w:val="21"/>
  </w:num>
  <w:num w:numId="20">
    <w:abstractNumId w:val="2"/>
  </w:num>
  <w:num w:numId="21">
    <w:abstractNumId w:val="15"/>
  </w:num>
  <w:num w:numId="22">
    <w:abstractNumId w:val="7"/>
  </w:num>
  <w:num w:numId="23">
    <w:abstractNumId w:val="19"/>
  </w:num>
  <w:num w:numId="2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4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1798"/>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1694B"/>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4D2B"/>
    <w:rsid w:val="001860B9"/>
    <w:rsid w:val="00186F2B"/>
    <w:rsid w:val="001874D6"/>
    <w:rsid w:val="0019632A"/>
    <w:rsid w:val="001A4E7C"/>
    <w:rsid w:val="001B762C"/>
    <w:rsid w:val="001C4D0A"/>
    <w:rsid w:val="001C5FEF"/>
    <w:rsid w:val="001E4B4D"/>
    <w:rsid w:val="00211487"/>
    <w:rsid w:val="00211D91"/>
    <w:rsid w:val="00217DEC"/>
    <w:rsid w:val="00235B57"/>
    <w:rsid w:val="00243C06"/>
    <w:rsid w:val="00250F24"/>
    <w:rsid w:val="002522DD"/>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4CA4"/>
    <w:rsid w:val="003203D7"/>
    <w:rsid w:val="00320F86"/>
    <w:rsid w:val="00324171"/>
    <w:rsid w:val="00326C24"/>
    <w:rsid w:val="00337F99"/>
    <w:rsid w:val="0034307B"/>
    <w:rsid w:val="00345CAC"/>
    <w:rsid w:val="00345EB1"/>
    <w:rsid w:val="00350CC4"/>
    <w:rsid w:val="00360E0D"/>
    <w:rsid w:val="0036357D"/>
    <w:rsid w:val="00363B23"/>
    <w:rsid w:val="0036594C"/>
    <w:rsid w:val="00367D19"/>
    <w:rsid w:val="00371BED"/>
    <w:rsid w:val="00384019"/>
    <w:rsid w:val="003854F1"/>
    <w:rsid w:val="0039118E"/>
    <w:rsid w:val="00397622"/>
    <w:rsid w:val="00397F54"/>
    <w:rsid w:val="003A0D43"/>
    <w:rsid w:val="003B2A4B"/>
    <w:rsid w:val="003D099E"/>
    <w:rsid w:val="003D21A2"/>
    <w:rsid w:val="003D29D2"/>
    <w:rsid w:val="003E0705"/>
    <w:rsid w:val="003E2FF7"/>
    <w:rsid w:val="003F1013"/>
    <w:rsid w:val="003F1184"/>
    <w:rsid w:val="003F1ACF"/>
    <w:rsid w:val="00404948"/>
    <w:rsid w:val="00406BEA"/>
    <w:rsid w:val="00413A60"/>
    <w:rsid w:val="004230F7"/>
    <w:rsid w:val="0043167E"/>
    <w:rsid w:val="0043409A"/>
    <w:rsid w:val="00443C1E"/>
    <w:rsid w:val="00446255"/>
    <w:rsid w:val="00451935"/>
    <w:rsid w:val="00460ED0"/>
    <w:rsid w:val="0046349F"/>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4321"/>
    <w:rsid w:val="007F1CFF"/>
    <w:rsid w:val="007F5DD5"/>
    <w:rsid w:val="00812407"/>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0D2B"/>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671D6"/>
    <w:rsid w:val="00971D93"/>
    <w:rsid w:val="00972792"/>
    <w:rsid w:val="009A224A"/>
    <w:rsid w:val="009B1F6B"/>
    <w:rsid w:val="009C0D12"/>
    <w:rsid w:val="009C192E"/>
    <w:rsid w:val="009D5C86"/>
    <w:rsid w:val="009D6819"/>
    <w:rsid w:val="009D6D1C"/>
    <w:rsid w:val="009E0CF9"/>
    <w:rsid w:val="009E0F6F"/>
    <w:rsid w:val="009E531B"/>
    <w:rsid w:val="009E6C56"/>
    <w:rsid w:val="009E7DCF"/>
    <w:rsid w:val="009F03C1"/>
    <w:rsid w:val="009F4A56"/>
    <w:rsid w:val="009F4E65"/>
    <w:rsid w:val="00A006A5"/>
    <w:rsid w:val="00A05942"/>
    <w:rsid w:val="00A07BEC"/>
    <w:rsid w:val="00A22521"/>
    <w:rsid w:val="00A264BE"/>
    <w:rsid w:val="00A272CA"/>
    <w:rsid w:val="00A33051"/>
    <w:rsid w:val="00A407AD"/>
    <w:rsid w:val="00A40923"/>
    <w:rsid w:val="00A41C05"/>
    <w:rsid w:val="00A42426"/>
    <w:rsid w:val="00A50A25"/>
    <w:rsid w:val="00A514B7"/>
    <w:rsid w:val="00A54A0B"/>
    <w:rsid w:val="00A65FD4"/>
    <w:rsid w:val="00A81198"/>
    <w:rsid w:val="00A81E48"/>
    <w:rsid w:val="00A82035"/>
    <w:rsid w:val="00A90D77"/>
    <w:rsid w:val="00A92E07"/>
    <w:rsid w:val="00AA0B3A"/>
    <w:rsid w:val="00AA6EB4"/>
    <w:rsid w:val="00AA767D"/>
    <w:rsid w:val="00AB0CC9"/>
    <w:rsid w:val="00AC3FF6"/>
    <w:rsid w:val="00AD1B4D"/>
    <w:rsid w:val="00AD73EC"/>
    <w:rsid w:val="00AE5BC7"/>
    <w:rsid w:val="00AE7C80"/>
    <w:rsid w:val="00AF5AAF"/>
    <w:rsid w:val="00B046D8"/>
    <w:rsid w:val="00B13F4C"/>
    <w:rsid w:val="00B16219"/>
    <w:rsid w:val="00B16C59"/>
    <w:rsid w:val="00B24354"/>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3408"/>
    <w:rsid w:val="00D37E7F"/>
    <w:rsid w:val="00D47AD7"/>
    <w:rsid w:val="00D51529"/>
    <w:rsid w:val="00D62797"/>
    <w:rsid w:val="00D85218"/>
    <w:rsid w:val="00D915B1"/>
    <w:rsid w:val="00DA299D"/>
    <w:rsid w:val="00DA65C4"/>
    <w:rsid w:val="00DC7639"/>
    <w:rsid w:val="00DD2BE0"/>
    <w:rsid w:val="00DE4447"/>
    <w:rsid w:val="00DE5DA2"/>
    <w:rsid w:val="00DF0033"/>
    <w:rsid w:val="00E026BF"/>
    <w:rsid w:val="00E07B1B"/>
    <w:rsid w:val="00E11853"/>
    <w:rsid w:val="00E25897"/>
    <w:rsid w:val="00E26C06"/>
    <w:rsid w:val="00E52A86"/>
    <w:rsid w:val="00E54B47"/>
    <w:rsid w:val="00E553BF"/>
    <w:rsid w:val="00E55D93"/>
    <w:rsid w:val="00E61294"/>
    <w:rsid w:val="00E7237C"/>
    <w:rsid w:val="00E77C46"/>
    <w:rsid w:val="00E86CE8"/>
    <w:rsid w:val="00E90E82"/>
    <w:rsid w:val="00E97364"/>
    <w:rsid w:val="00E97ACE"/>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1323"/>
    <w:rsid w:val="00F86F47"/>
    <w:rsid w:val="00F90B64"/>
    <w:rsid w:val="00FB2F0F"/>
    <w:rsid w:val="00FB5086"/>
    <w:rsid w:val="00FB53CF"/>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E26C06"/>
    <w:rPr>
      <w:sz w:val="16"/>
      <w:szCs w:val="16"/>
    </w:rPr>
  </w:style>
  <w:style w:type="paragraph" w:styleId="Kommentarer">
    <w:name w:val="annotation text"/>
    <w:basedOn w:val="Normal"/>
    <w:link w:val="KommentarerChar"/>
    <w:uiPriority w:val="99"/>
    <w:semiHidden/>
    <w:unhideWhenUsed/>
    <w:rsid w:val="00E26C06"/>
    <w:pPr>
      <w:spacing w:line="240" w:lineRule="auto"/>
    </w:pPr>
    <w:rPr>
      <w:sz w:val="20"/>
      <w:szCs w:val="20"/>
    </w:rPr>
  </w:style>
  <w:style w:type="character" w:customStyle="1" w:styleId="KommentarerChar">
    <w:name w:val="Kommentarer Char"/>
    <w:basedOn w:val="Standardstycketeckensnitt"/>
    <w:link w:val="Kommentarer"/>
    <w:uiPriority w:val="99"/>
    <w:semiHidden/>
    <w:rsid w:val="00E26C06"/>
  </w:style>
  <w:style w:type="paragraph" w:styleId="Kommentarsmne">
    <w:name w:val="annotation subject"/>
    <w:basedOn w:val="Kommentarer"/>
    <w:next w:val="Kommentarer"/>
    <w:link w:val="KommentarsmneChar"/>
    <w:uiPriority w:val="99"/>
    <w:semiHidden/>
    <w:unhideWhenUsed/>
    <w:rsid w:val="00E26C06"/>
    <w:rPr>
      <w:b/>
      <w:bCs/>
    </w:rPr>
  </w:style>
  <w:style w:type="character" w:customStyle="1" w:styleId="KommentarsmneChar">
    <w:name w:val="Kommentarsämne Char"/>
    <w:basedOn w:val="KommentarerChar"/>
    <w:link w:val="Kommentarsmne"/>
    <w:uiPriority w:val="99"/>
    <w:semiHidden/>
    <w:rsid w:val="00E26C06"/>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sfmr.se/Files.aspx?f_id=130660" TargetMode="External" Id="rId18" /><Relationship Type="http://schemas.openxmlformats.org/officeDocument/2006/relationships/hyperlink" Target="https://mellanarkiv-offentlig.vgregion.se/alfresco/s/archive/stream/public/v1/source/available/sofia/nu10095-1819752655-401/surrogate/Premedicinering%20vid%20kontrastmedels%c3%b6verk%c3%a4nslighet.pdf"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hyperlink" Target="https://www.acr.org/-/media/ACR/files/clinical-resources/contrast_media.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eader" Target="header2.xm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hyperlink" Target="http://www.esur.org/guidelines/"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www.sfbfm.se/Files.aspx?f_id=123176"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117</TotalTime>
  <Pages>5</Pages>
  <Words>949</Words>
  <Characters>5030</Characters>
  <Application>Microsoft Office Word</Application>
  <DocSecurity>0</DocSecurity>
  <Lines>41</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5968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Kontrastmedel – Intravenös gadoliniumkontrast – Allmänna riktlinjer</dc:title>
  <dc:subject/>
  <dc:creator>patrik.jens.johansson@vgregion.se</dc:creator>
  <keywords/>
  <lastModifiedBy>Mathilda Hall Ström</lastModifiedBy>
  <revision>33</revision>
  <lastPrinted>2016-03-31T10:56:00.0000000Z</lastPrinted>
  <dcterms:created xsi:type="dcterms:W3CDTF">2022-05-18T03:55:00.0000000Z</dcterms:created>
  <dcterms:modified xsi:type="dcterms:W3CDTF">2022-06-29T05:35:00.0000000Z</dcterms:modified>
</coreProperties>
</file>