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CEAC2D" w14:textId="3D05E951" w:rsidR="00184167" w:rsidRPr="006B266D" w:rsidRDefault="00745810" w:rsidP="006B266D">
      <w:pPr>
        <w:pStyle w:val="Rubrik1"/>
      </w:pPr>
      <w:bookmarkStart w:id="0" w:name="_Toc321146591"/>
      <w:r>
        <w:t>Patient som fyller eller har fyllt 18 år</w:t>
      </w:r>
    </w:p>
    <w:p w14:paraId="2C04F677" w14:textId="77777777" w:rsidR="00B260AD" w:rsidRDefault="00B260AD" w:rsidP="003D69C4">
      <w:pPr>
        <w:pStyle w:val="Rubrik2"/>
      </w:pPr>
      <w:bookmarkStart w:id="1" w:name="_Toc72840807"/>
      <w:bookmarkEnd w:id="0"/>
      <w:r w:rsidRPr="003D69C4">
        <w:t>Syfte</w:t>
      </w:r>
    </w:p>
    <w:bookmarkEnd w:id="1"/>
    <w:p w14:paraId="4F3F4187" w14:textId="5BFDA1EF" w:rsidR="00656DCD" w:rsidRPr="00656DCD" w:rsidRDefault="00B260AD" w:rsidP="003D69C4">
      <w:r w:rsidRPr="00B260AD">
        <w:t>Att tydliggöra rutiner i samband med patienter som fyller eller har fyllt 18 år inom Barn- och ungdomspsykiatrin (BUP) NU-sjukvården (NU) och som har behov av fortsatt vård på annan vårdinstans</w:t>
      </w:r>
      <w:r w:rsidR="00656DCD" w:rsidRPr="00656DCD">
        <w:t xml:space="preserve">. </w:t>
      </w:r>
    </w:p>
    <w:p w14:paraId="1E639047" w14:textId="77777777" w:rsidR="00B260AD" w:rsidRPr="00B260AD" w:rsidRDefault="00B260AD" w:rsidP="003D69C4">
      <w:pPr>
        <w:pStyle w:val="Rubrik2"/>
      </w:pPr>
      <w:r w:rsidRPr="00B260AD">
        <w:t>Bakgrund </w:t>
      </w:r>
    </w:p>
    <w:p w14:paraId="3A814B00" w14:textId="047DB745" w:rsidR="00B260AD" w:rsidRPr="00B260AD" w:rsidRDefault="00B260AD" w:rsidP="003D69C4">
      <w:r w:rsidRPr="00B260AD">
        <w:t>Barn- och ungdomspsykiatrin ansvarar för vården av barn och unga 0–17 år. En del av patienterna har fortsatt behov av vård på annan vårdinstans när de fyller 18 år. För ett välfungerande övertagande är en ömsesidig samverkan och planering mellan verksamheterna runt patientens 18-årsdag nödvändig där patienten och vårdnadshavaren involveras.  Det är angeläget att patienten själv är delaktig och får möjlighet att göra sin röst hörd och lyfta frågor och funderingar innan överföringen. Om patienten samtycker till fortsatt vård till annan vårdinstans remitteras patienten till vuxenpsykiatrin (VUP)/primärvård (PV) eller habiliteringen (HAB).</w:t>
      </w:r>
    </w:p>
    <w:p w14:paraId="0D271EB0" w14:textId="77777777" w:rsidR="00B260AD" w:rsidRPr="00B260AD" w:rsidRDefault="00B260AD" w:rsidP="003D69C4">
      <w:pPr>
        <w:pStyle w:val="Rubrik2"/>
      </w:pPr>
      <w:r w:rsidRPr="00B260AD">
        <w:t>Arbetsbeskrivning  </w:t>
      </w:r>
    </w:p>
    <w:p w14:paraId="30D0F7B1" w14:textId="77777777" w:rsidR="00B260AD" w:rsidRPr="00B260AD" w:rsidRDefault="00B260AD" w:rsidP="003D69C4">
      <w:pPr>
        <w:pStyle w:val="Punktlista"/>
      </w:pPr>
      <w:r w:rsidRPr="00B260AD">
        <w:t>Bedömning och beslut om fortsatt vård till annan vårdinstans sker på behandlingskonferens. Här beaktas vilken vårdnivå patientens vårdbehov motsvarar, se </w:t>
      </w:r>
      <w:hyperlink r:id="rId12" w:tgtFrame="_blank" w:history="1">
        <w:r w:rsidRPr="00B260AD">
          <w:rPr>
            <w:rStyle w:val="Hyperlnk"/>
          </w:rPr>
          <w:t xml:space="preserve">RMR </w:t>
        </w:r>
        <w:r w:rsidRPr="00B260AD">
          <w:rPr>
            <w:rStyle w:val="Hyperlnk"/>
          </w:rPr>
          <w:lastRenderedPageBreak/>
          <w:t>Ansvarsfördelning och konsultationer mellan primärvård och specialistpsykiatri (vuxna)</w:t>
        </w:r>
      </w:hyperlink>
      <w:r w:rsidRPr="00B260AD">
        <w:t>. </w:t>
      </w:r>
    </w:p>
    <w:p w14:paraId="5BBB0C27" w14:textId="77777777" w:rsidR="00B260AD" w:rsidRPr="00B260AD" w:rsidRDefault="00B260AD" w:rsidP="00E476B9">
      <w:pPr>
        <w:pStyle w:val="Punktlista"/>
      </w:pPr>
      <w:r w:rsidRPr="00B260AD">
        <w:t>Samtycker patienten till fortsatt vård till annan vårdinstans remitteras patienten till VUP eller PV.  För att tydliggöra och planera en individuellt anpassad/personcentrerad övergång för patienter vid 18 års ålder från BUP till VUP/PV, se </w:t>
      </w:r>
      <w:hyperlink r:id="rId13" w:tgtFrame="_blank" w:history="1">
        <w:r w:rsidRPr="00B260AD">
          <w:rPr>
            <w:rStyle w:val="Hyperlnk"/>
          </w:rPr>
          <w:t>RMR Övergång mellan barn- och ungdomspsykiatri och vuxenpsykiatri eller primärvård</w:t>
        </w:r>
      </w:hyperlink>
      <w:r w:rsidRPr="00B260AD">
        <w:t>. </w:t>
      </w:r>
    </w:p>
    <w:p w14:paraId="31CE1F9E" w14:textId="77777777" w:rsidR="00B260AD" w:rsidRPr="00B260AD" w:rsidRDefault="00B260AD" w:rsidP="00610774">
      <w:pPr>
        <w:pStyle w:val="Punktlista"/>
      </w:pPr>
      <w:r w:rsidRPr="00B260AD">
        <w:t>Utöver remiss till VUP eller PV kan remiss även ställas till HAB. Detta gäller patienter med autism, som oavsett begåvningsnivå hör till habiliteringens målgrupp. Se </w:t>
      </w:r>
      <w:hyperlink r:id="rId14" w:tgtFrame="_blank" w:history="1">
        <w:r w:rsidRPr="00B260AD">
          <w:rPr>
            <w:rStyle w:val="Hyperlnk"/>
          </w:rPr>
          <w:t>RMR Ansvarsfördelning för medicinskt omhändertagande av vuxna med medfödd funktionsnedsättning</w:t>
        </w:r>
      </w:hyperlink>
      <w:r w:rsidRPr="00B260AD">
        <w:t>. </w:t>
      </w:r>
    </w:p>
    <w:p w14:paraId="4B9FB602" w14:textId="0E10B5A0" w:rsidR="00B260AD" w:rsidRPr="00B260AD" w:rsidRDefault="00B260AD" w:rsidP="00610774">
      <w:pPr>
        <w:pStyle w:val="Punktlista"/>
      </w:pPr>
      <w:r w:rsidRPr="00B260AD">
        <w:t>Beslut om fortsatt behandling inom BUP för patienter som fyllt 18 år fattas av verksamhetschef och v</w:t>
      </w:r>
      <w:r w:rsidR="001072B7">
        <w:t>erksamhetsöverläkare</w:t>
      </w:r>
      <w:r w:rsidRPr="00B260AD">
        <w:t>. Dessa patienter ska alltid lyftas under behandlingskonferens.  </w:t>
      </w:r>
    </w:p>
    <w:p w14:paraId="74D8B149" w14:textId="3E6A70D4" w:rsidR="00B260AD" w:rsidRPr="00B260AD" w:rsidRDefault="00B260AD" w:rsidP="00146E60">
      <w:pPr>
        <w:pStyle w:val="Punktlista"/>
      </w:pPr>
      <w:r w:rsidRPr="00B260AD">
        <w:t>Akuta bedömningar görs av BUP fram till 18-årsdagen.</w:t>
      </w:r>
    </w:p>
    <w:p w14:paraId="3816400C" w14:textId="77777777" w:rsidR="00B260AD" w:rsidRPr="00B260AD" w:rsidRDefault="00B260AD" w:rsidP="00A3359E">
      <w:pPr>
        <w:pStyle w:val="Rubrik2"/>
      </w:pPr>
      <w:r w:rsidRPr="00B260AD">
        <w:t>Remittering </w:t>
      </w:r>
    </w:p>
    <w:p w14:paraId="48A3D005" w14:textId="0FD250F9" w:rsidR="00B260AD" w:rsidRPr="00B260AD" w:rsidRDefault="00B260AD" w:rsidP="00A3359E">
      <w:pPr>
        <w:pStyle w:val="Punktlista"/>
      </w:pPr>
      <w:r w:rsidRPr="00B260AD">
        <w:t xml:space="preserve">Remittering från BUP till vuxenpsykiatri/primärvård/habilitering </w:t>
      </w:r>
      <w:r w:rsidR="00A3359E">
        <w:t>ska</w:t>
      </w:r>
      <w:r w:rsidRPr="00B260AD">
        <w:t xml:space="preserve"> ske tre månader före patientens 18-årsdag för att förhindra glapp i vårdkedjan. </w:t>
      </w:r>
    </w:p>
    <w:p w14:paraId="4F702A7B" w14:textId="77777777" w:rsidR="00B260AD" w:rsidRPr="00B260AD" w:rsidRDefault="00B260AD" w:rsidP="00775A2F">
      <w:pPr>
        <w:pStyle w:val="Punktlista"/>
      </w:pPr>
      <w:r w:rsidRPr="00B260AD">
        <w:t>Remisser till BUP gällande en person äldre än 17 år och 9 månader skickas vidare direkt till berörd enhet inom vuxenvården. </w:t>
      </w:r>
    </w:p>
    <w:p w14:paraId="1D1A8248" w14:textId="6B138BC5" w:rsidR="00B260AD" w:rsidRPr="00B260AD" w:rsidRDefault="00B260AD" w:rsidP="00775A2F">
      <w:pPr>
        <w:pStyle w:val="Punktlista"/>
      </w:pPr>
      <w:r w:rsidRPr="00B260AD">
        <w:t>Bedöms en BUP-patient på behandlingskonferens att bli färdigbehandlad före ålder</w:t>
      </w:r>
      <w:r w:rsidR="00D10263">
        <w:t xml:space="preserve"> </w:t>
      </w:r>
      <w:r w:rsidRPr="00B260AD">
        <w:t>18 år och 6 månader, sker ingen remittering inför 18-årsdagen. Beslut om detta fattas av verksamhetschef och v</w:t>
      </w:r>
      <w:r w:rsidR="00D10263">
        <w:t>erksamhetsöverläkare</w:t>
      </w:r>
      <w:r w:rsidRPr="00B260AD">
        <w:t>. </w:t>
      </w:r>
    </w:p>
    <w:p w14:paraId="1D04D694" w14:textId="77777777" w:rsidR="00B260AD" w:rsidRPr="00B260AD" w:rsidRDefault="00B260AD" w:rsidP="00BE41D9">
      <w:pPr>
        <w:pStyle w:val="Punktlista"/>
      </w:pPr>
      <w:r w:rsidRPr="00B260AD">
        <w:t>Om flera vårdgivare/aktörer är involverade, överväg även samordnad individuell plan, se </w:t>
      </w:r>
      <w:hyperlink r:id="rId15" w:tgtFrame="_blank" w:history="1">
        <w:r w:rsidRPr="00B260AD">
          <w:rPr>
            <w:rStyle w:val="Hyperlnk"/>
          </w:rPr>
          <w:t xml:space="preserve">Riktlinje för Samordnad </w:t>
        </w:r>
        <w:r w:rsidRPr="00B260AD">
          <w:rPr>
            <w:rStyle w:val="Hyperlnk"/>
          </w:rPr>
          <w:lastRenderedPageBreak/>
          <w:t>individuell plan för kommunerna i Västra Götaland och Västra Götalandsregionen</w:t>
        </w:r>
      </w:hyperlink>
      <w:r w:rsidRPr="00B260AD">
        <w:t>. </w:t>
      </w:r>
    </w:p>
    <w:p w14:paraId="5DA8BE1C" w14:textId="77777777" w:rsidR="00B260AD" w:rsidRPr="00B260AD" w:rsidRDefault="00B260AD" w:rsidP="007163EB">
      <w:pPr>
        <w:pStyle w:val="Punktlista"/>
      </w:pPr>
      <w:r w:rsidRPr="00B260AD">
        <w:t>För mer specifik information avseende remittering se </w:t>
      </w:r>
      <w:hyperlink r:id="rId16" w:tgtFrame="_blank" w:history="1">
        <w:r w:rsidRPr="00B260AD">
          <w:rPr>
            <w:rStyle w:val="Hyperlnk"/>
          </w:rPr>
          <w:t>RMR Övergång mellan barn- och ungdomspsykiatri och vuxenpsykiatri eller primärvård</w:t>
        </w:r>
      </w:hyperlink>
      <w:r w:rsidRPr="00B260AD">
        <w:t>. </w:t>
      </w:r>
    </w:p>
    <w:p w14:paraId="2D9229EA" w14:textId="77777777" w:rsidR="00B260AD" w:rsidRPr="00B260AD" w:rsidRDefault="00B260AD" w:rsidP="007163EB">
      <w:pPr>
        <w:pStyle w:val="Punktlista"/>
      </w:pPr>
      <w:r w:rsidRPr="00B260AD">
        <w:t>För generella remissregler se och </w:t>
      </w:r>
      <w:hyperlink r:id="rId17" w:tgtFrame="_blank" w:history="1">
        <w:r w:rsidRPr="00B260AD">
          <w:rPr>
            <w:rStyle w:val="Hyperlnk"/>
          </w:rPr>
          <w:t>Remiss inom hälso- och sjukvård</w:t>
        </w:r>
      </w:hyperlink>
      <w:r w:rsidRPr="00B260AD">
        <w:t>. </w:t>
      </w:r>
    </w:p>
    <w:p w14:paraId="5B5EC581" w14:textId="77777777" w:rsidR="00B260AD" w:rsidRPr="00B260AD" w:rsidRDefault="00B260AD" w:rsidP="007163EB">
      <w:pPr>
        <w:pStyle w:val="Rubrik2"/>
      </w:pPr>
      <w:r w:rsidRPr="00B260AD">
        <w:t>Ansvariga  </w:t>
      </w:r>
    </w:p>
    <w:p w14:paraId="70AADE57" w14:textId="74F0E9C2" w:rsidR="00B260AD" w:rsidRPr="00B260AD" w:rsidRDefault="00B260AD" w:rsidP="00590E75">
      <w:r w:rsidRPr="00B260AD">
        <w:t>Ansvariga för att rutinen följs är Verksamhetschef, enhetschef och</w:t>
      </w:r>
      <w:r w:rsidR="00C8410E">
        <w:t xml:space="preserve"> verksamhetsöverläkare</w:t>
      </w:r>
      <w:r w:rsidRPr="00B260AD">
        <w:t>.</w:t>
      </w:r>
    </w:p>
    <w:p w14:paraId="662096DB" w14:textId="77777777" w:rsidR="00B260AD" w:rsidRPr="00B260AD" w:rsidRDefault="00B260AD" w:rsidP="00590E75">
      <w:pPr>
        <w:pStyle w:val="Rubrik2"/>
      </w:pPr>
      <w:r w:rsidRPr="00B260AD">
        <w:t>Uppföljning och utvärdering </w:t>
      </w:r>
    </w:p>
    <w:p w14:paraId="6C296B8D" w14:textId="67ADEDFF" w:rsidR="00B260AD" w:rsidRPr="00B260AD" w:rsidRDefault="00B260AD" w:rsidP="00590E75">
      <w:r w:rsidRPr="00B260AD">
        <w:t>Verksamheten ansvarar för att följa upp att rutinen följs. Avsteg från rutinen rapporteras i MedControl PRO.</w:t>
      </w:r>
    </w:p>
    <w:p w14:paraId="0C0FE2E8" w14:textId="77777777" w:rsidR="00B260AD" w:rsidRPr="00B260AD" w:rsidRDefault="00B260AD" w:rsidP="00590E75">
      <w:pPr>
        <w:pStyle w:val="Rubrik2"/>
      </w:pPr>
      <w:r w:rsidRPr="00B260AD">
        <w:t>Länkar </w:t>
      </w:r>
    </w:p>
    <w:p w14:paraId="58809A4C" w14:textId="77777777" w:rsidR="00B260AD" w:rsidRPr="00B260AD" w:rsidRDefault="00B260AD" w:rsidP="00B260AD">
      <w:hyperlink r:id="rId18" w:tgtFrame="_blank" w:history="1">
        <w:r w:rsidRPr="00B260AD">
          <w:rPr>
            <w:rStyle w:val="Hyperlnk"/>
          </w:rPr>
          <w:t>RMR Ansvarsfördelning och konsultationer mellan primärvård och specialistpsykiatri (vuxna).</w:t>
        </w:r>
      </w:hyperlink>
      <w:r w:rsidRPr="00B260AD">
        <w:t> </w:t>
      </w:r>
    </w:p>
    <w:p w14:paraId="58AC4267" w14:textId="77777777" w:rsidR="00B260AD" w:rsidRPr="00B260AD" w:rsidRDefault="00B260AD" w:rsidP="00B260AD">
      <w:hyperlink r:id="rId19" w:tgtFrame="_blank" w:history="1">
        <w:r w:rsidRPr="00B260AD">
          <w:rPr>
            <w:rStyle w:val="Hyperlnk"/>
          </w:rPr>
          <w:t>RMR Övergång mellan barn- och ungdomspsykiatri och vuxenpsykiatri eller primärvård</w:t>
        </w:r>
      </w:hyperlink>
      <w:r w:rsidRPr="00B260AD">
        <w:t> </w:t>
      </w:r>
    </w:p>
    <w:p w14:paraId="637C5FBA" w14:textId="77777777" w:rsidR="00B260AD" w:rsidRPr="00B260AD" w:rsidRDefault="00B260AD" w:rsidP="00B260AD">
      <w:hyperlink r:id="rId20" w:tgtFrame="_blank" w:history="1">
        <w:r w:rsidRPr="00B260AD">
          <w:rPr>
            <w:rStyle w:val="Hyperlnk"/>
          </w:rPr>
          <w:t>RMR Ansvarsfördelning för medicinskt omhändertagande av vuxna med medfödd funktionsnedsättning</w:t>
        </w:r>
      </w:hyperlink>
      <w:r w:rsidRPr="00B260AD">
        <w:t> </w:t>
      </w:r>
    </w:p>
    <w:p w14:paraId="35715B81" w14:textId="77777777" w:rsidR="00B260AD" w:rsidRPr="00B260AD" w:rsidRDefault="00B260AD" w:rsidP="00B260AD">
      <w:hyperlink r:id="rId21" w:tgtFrame="_blank" w:history="1">
        <w:r w:rsidRPr="00B260AD">
          <w:rPr>
            <w:rStyle w:val="Hyperlnk"/>
          </w:rPr>
          <w:t>RMR Remiss inom hälso- och sjukvård</w:t>
        </w:r>
      </w:hyperlink>
      <w:r w:rsidRPr="00B260AD">
        <w:t> </w:t>
      </w:r>
    </w:p>
    <w:p w14:paraId="58D04425" w14:textId="77777777" w:rsidR="00B260AD" w:rsidRPr="00B260AD" w:rsidRDefault="00B260AD" w:rsidP="00B260AD">
      <w:hyperlink r:id="rId22" w:tgtFrame="_blank" w:history="1">
        <w:r w:rsidRPr="00B260AD">
          <w:rPr>
            <w:rStyle w:val="Hyperlnk"/>
          </w:rPr>
          <w:t>Riktlinje för Samordnad individuell plan för kommunerna i Västra Götaland och Västra Götalandsregionen</w:t>
        </w:r>
      </w:hyperlink>
      <w:r w:rsidRPr="00B260AD">
        <w:t>. </w:t>
      </w:r>
    </w:p>
    <w:p w14:paraId="48D328F1" w14:textId="77777777" w:rsidR="00B260AD" w:rsidRPr="00B260AD" w:rsidRDefault="00B260AD" w:rsidP="00B260AD">
      <w:r w:rsidRPr="00B260AD">
        <w:t> </w:t>
      </w:r>
    </w:p>
    <w:p w14:paraId="0BAB74D2" w14:textId="2C3A2737" w:rsidR="00747066" w:rsidRPr="00747066" w:rsidRDefault="00747066" w:rsidP="00747066"/>
    <w:sectPr w:rsidR="00747066" w:rsidRPr="00747066" w:rsidSect="00330F6A">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7A7132" w14:textId="77777777" w:rsidR="00C25627" w:rsidRDefault="00C25627">
      <w:r>
        <w:separator/>
      </w:r>
    </w:p>
  </w:endnote>
  <w:endnote w:type="continuationSeparator" w:id="0">
    <w:p w14:paraId="0581C90E" w14:textId="77777777" w:rsidR="00C25627" w:rsidRDefault="00C25627">
      <w:r>
        <w:continuationSeparator/>
      </w:r>
    </w:p>
  </w:endnote>
  <w:endnote w:type="continuationNotice" w:id="1">
    <w:p w14:paraId="3FC27435" w14:textId="77777777" w:rsidR="00C25627" w:rsidRDefault="00C256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A7E887"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B906247"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2C1C72"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67F88"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433CAD7E" wp14:editId="09D89ECE">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ECD1C0" w14:textId="77777777" w:rsidR="00C25627" w:rsidRDefault="00C25627"/>
  </w:footnote>
  <w:footnote w:type="continuationSeparator" w:id="0">
    <w:p w14:paraId="64C518CD" w14:textId="77777777" w:rsidR="00C25627" w:rsidRDefault="00C25627">
      <w:r>
        <w:continuationSeparator/>
      </w:r>
    </w:p>
  </w:footnote>
  <w:footnote w:type="continuationNotice" w:id="1">
    <w:p w14:paraId="7DD6B0CA" w14:textId="77777777" w:rsidR="00C25627" w:rsidRDefault="00C2562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54C730"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3C7B729A" wp14:editId="66E8413B">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6510B1E"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C7B729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6510B1E"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0E83B9"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771B529E" wp14:editId="6E3D5D99">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574663E"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1B529E"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5574663E"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6B7898"/>
    <w:multiLevelType w:val="multilevel"/>
    <w:tmpl w:val="5184A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E11518"/>
    <w:multiLevelType w:val="multilevel"/>
    <w:tmpl w:val="DBF6F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0F05D9"/>
    <w:multiLevelType w:val="multilevel"/>
    <w:tmpl w:val="20E8C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13349BA"/>
    <w:multiLevelType w:val="multilevel"/>
    <w:tmpl w:val="4392A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2EE06A3"/>
    <w:multiLevelType w:val="multilevel"/>
    <w:tmpl w:val="7C762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468339E"/>
    <w:multiLevelType w:val="multilevel"/>
    <w:tmpl w:val="F0581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24337F"/>
    <w:multiLevelType w:val="multilevel"/>
    <w:tmpl w:val="9F3E7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44499F"/>
    <w:multiLevelType w:val="multilevel"/>
    <w:tmpl w:val="2A8C9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A3D4196"/>
    <w:multiLevelType w:val="multilevel"/>
    <w:tmpl w:val="CCC8B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776204F"/>
    <w:multiLevelType w:val="multilevel"/>
    <w:tmpl w:val="6AEE9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DE54BD7"/>
    <w:multiLevelType w:val="multilevel"/>
    <w:tmpl w:val="918C3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869398B"/>
    <w:multiLevelType w:val="multilevel"/>
    <w:tmpl w:val="A0902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FC04341"/>
    <w:multiLevelType w:val="multilevel"/>
    <w:tmpl w:val="98C43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555165083">
    <w:abstractNumId w:val="29"/>
  </w:num>
  <w:num w:numId="2" w16cid:durableId="77752350">
    <w:abstractNumId w:val="23"/>
  </w:num>
  <w:num w:numId="3" w16cid:durableId="907374553">
    <w:abstractNumId w:val="0"/>
  </w:num>
  <w:num w:numId="4" w16cid:durableId="1816144419">
    <w:abstractNumId w:val="8"/>
  </w:num>
  <w:num w:numId="5" w16cid:durableId="1010715744">
    <w:abstractNumId w:val="26"/>
  </w:num>
  <w:num w:numId="6" w16cid:durableId="82379985">
    <w:abstractNumId w:val="3"/>
  </w:num>
  <w:num w:numId="7" w16cid:durableId="32001010">
    <w:abstractNumId w:val="18"/>
  </w:num>
  <w:num w:numId="8" w16cid:durableId="800811010">
    <w:abstractNumId w:val="14"/>
  </w:num>
  <w:num w:numId="9" w16cid:durableId="1918400350">
    <w:abstractNumId w:val="1"/>
  </w:num>
  <w:num w:numId="10" w16cid:durableId="1120104860">
    <w:abstractNumId w:val="1"/>
  </w:num>
  <w:num w:numId="11" w16cid:durableId="789979897">
    <w:abstractNumId w:val="4"/>
  </w:num>
  <w:num w:numId="12" w16cid:durableId="1611665312">
    <w:abstractNumId w:val="6"/>
  </w:num>
  <w:num w:numId="13" w16cid:durableId="1657802124">
    <w:abstractNumId w:val="22"/>
  </w:num>
  <w:num w:numId="14" w16cid:durableId="1621447758">
    <w:abstractNumId w:val="15"/>
  </w:num>
  <w:num w:numId="15" w16cid:durableId="771632992">
    <w:abstractNumId w:val="10"/>
  </w:num>
  <w:num w:numId="16" w16cid:durableId="1513834274">
    <w:abstractNumId w:val="21"/>
  </w:num>
  <w:num w:numId="17" w16cid:durableId="249698029">
    <w:abstractNumId w:val="7"/>
  </w:num>
  <w:num w:numId="18" w16cid:durableId="1007949876">
    <w:abstractNumId w:val="16"/>
  </w:num>
  <w:num w:numId="19" w16cid:durableId="532377923">
    <w:abstractNumId w:val="28"/>
  </w:num>
  <w:num w:numId="20" w16cid:durableId="1184130214">
    <w:abstractNumId w:val="2"/>
  </w:num>
  <w:num w:numId="21" w16cid:durableId="1172646480">
    <w:abstractNumId w:val="9"/>
  </w:num>
  <w:num w:numId="22" w16cid:durableId="411779615">
    <w:abstractNumId w:val="25"/>
  </w:num>
  <w:num w:numId="23" w16cid:durableId="1141575646">
    <w:abstractNumId w:val="11"/>
  </w:num>
  <w:num w:numId="24" w16cid:durableId="1666012350">
    <w:abstractNumId w:val="20"/>
  </w:num>
  <w:num w:numId="25" w16cid:durableId="998577041">
    <w:abstractNumId w:val="30"/>
  </w:num>
  <w:num w:numId="26" w16cid:durableId="745811022">
    <w:abstractNumId w:val="12"/>
  </w:num>
  <w:num w:numId="27" w16cid:durableId="1407192309">
    <w:abstractNumId w:val="19"/>
  </w:num>
  <w:num w:numId="28" w16cid:durableId="1303584146">
    <w:abstractNumId w:val="27"/>
  </w:num>
  <w:num w:numId="29" w16cid:durableId="283728951">
    <w:abstractNumId w:val="17"/>
  </w:num>
  <w:num w:numId="30" w16cid:durableId="1102804641">
    <w:abstractNumId w:val="5"/>
  </w:num>
  <w:num w:numId="31" w16cid:durableId="2027824132">
    <w:abstractNumId w:val="24"/>
  </w:num>
  <w:num w:numId="32" w16cid:durableId="164142440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3BA"/>
    <w:rsid w:val="000F7681"/>
    <w:rsid w:val="00103031"/>
    <w:rsid w:val="001044FE"/>
    <w:rsid w:val="001072B7"/>
    <w:rsid w:val="001139D4"/>
    <w:rsid w:val="00131B08"/>
    <w:rsid w:val="00132A59"/>
    <w:rsid w:val="00133337"/>
    <w:rsid w:val="00133A0F"/>
    <w:rsid w:val="00134541"/>
    <w:rsid w:val="0013518E"/>
    <w:rsid w:val="0013580F"/>
    <w:rsid w:val="00136321"/>
    <w:rsid w:val="00137B6D"/>
    <w:rsid w:val="0014070B"/>
    <w:rsid w:val="001422C1"/>
    <w:rsid w:val="00146E60"/>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8601F"/>
    <w:rsid w:val="0039118E"/>
    <w:rsid w:val="00397F54"/>
    <w:rsid w:val="003A0D43"/>
    <w:rsid w:val="003B2A4B"/>
    <w:rsid w:val="003D099E"/>
    <w:rsid w:val="003D21A2"/>
    <w:rsid w:val="003D29D2"/>
    <w:rsid w:val="003D69C4"/>
    <w:rsid w:val="003D6DF1"/>
    <w:rsid w:val="003E0705"/>
    <w:rsid w:val="003E2FF7"/>
    <w:rsid w:val="003E3CD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0E75"/>
    <w:rsid w:val="00597E28"/>
    <w:rsid w:val="005A54ED"/>
    <w:rsid w:val="005A5D5B"/>
    <w:rsid w:val="005A6081"/>
    <w:rsid w:val="005A627D"/>
    <w:rsid w:val="005C0045"/>
    <w:rsid w:val="005C084E"/>
    <w:rsid w:val="005C4606"/>
    <w:rsid w:val="005D0B0C"/>
    <w:rsid w:val="005E02B3"/>
    <w:rsid w:val="005E1E24"/>
    <w:rsid w:val="005E50DA"/>
    <w:rsid w:val="005E541E"/>
    <w:rsid w:val="0060596B"/>
    <w:rsid w:val="00606D97"/>
    <w:rsid w:val="00610774"/>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6F6616"/>
    <w:rsid w:val="007064C6"/>
    <w:rsid w:val="00710B77"/>
    <w:rsid w:val="007155D5"/>
    <w:rsid w:val="007163EB"/>
    <w:rsid w:val="0072075B"/>
    <w:rsid w:val="007221C2"/>
    <w:rsid w:val="00730955"/>
    <w:rsid w:val="00733A9C"/>
    <w:rsid w:val="00736574"/>
    <w:rsid w:val="007367E0"/>
    <w:rsid w:val="00737215"/>
    <w:rsid w:val="00745810"/>
    <w:rsid w:val="00747066"/>
    <w:rsid w:val="00754905"/>
    <w:rsid w:val="00760038"/>
    <w:rsid w:val="00762EE0"/>
    <w:rsid w:val="00765C41"/>
    <w:rsid w:val="00771100"/>
    <w:rsid w:val="007759DD"/>
    <w:rsid w:val="00775A2F"/>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1552"/>
    <w:rsid w:val="008C4B27"/>
    <w:rsid w:val="008C7F2A"/>
    <w:rsid w:val="008E1A35"/>
    <w:rsid w:val="008E36F8"/>
    <w:rsid w:val="008E46B2"/>
    <w:rsid w:val="008E682C"/>
    <w:rsid w:val="008E78A1"/>
    <w:rsid w:val="008F589F"/>
    <w:rsid w:val="00906238"/>
    <w:rsid w:val="00907EF9"/>
    <w:rsid w:val="009110D2"/>
    <w:rsid w:val="00911231"/>
    <w:rsid w:val="0091295C"/>
    <w:rsid w:val="00914D58"/>
    <w:rsid w:val="00917E12"/>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359E"/>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60AD"/>
    <w:rsid w:val="00B272E7"/>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702"/>
    <w:rsid w:val="00BE41D9"/>
    <w:rsid w:val="00BE7978"/>
    <w:rsid w:val="00C01F0D"/>
    <w:rsid w:val="00C07DDB"/>
    <w:rsid w:val="00C1419F"/>
    <w:rsid w:val="00C25627"/>
    <w:rsid w:val="00C4115D"/>
    <w:rsid w:val="00C431B8"/>
    <w:rsid w:val="00C43BDD"/>
    <w:rsid w:val="00C47778"/>
    <w:rsid w:val="00C5011E"/>
    <w:rsid w:val="00C50EE5"/>
    <w:rsid w:val="00C5240A"/>
    <w:rsid w:val="00C5398F"/>
    <w:rsid w:val="00C556F5"/>
    <w:rsid w:val="00C66897"/>
    <w:rsid w:val="00C70E19"/>
    <w:rsid w:val="00C72574"/>
    <w:rsid w:val="00C7430C"/>
    <w:rsid w:val="00C8410E"/>
    <w:rsid w:val="00C85DA1"/>
    <w:rsid w:val="00C9071C"/>
    <w:rsid w:val="00C908FF"/>
    <w:rsid w:val="00C91BCB"/>
    <w:rsid w:val="00C939D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0263"/>
    <w:rsid w:val="00D139CF"/>
    <w:rsid w:val="00D248FD"/>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476B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B691C"/>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526A6E91"/>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B260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54393033">
      <w:bodyDiv w:val="1"/>
      <w:marLeft w:val="0"/>
      <w:marRight w:val="0"/>
      <w:marTop w:val="0"/>
      <w:marBottom w:val="0"/>
      <w:divBdr>
        <w:top w:val="none" w:sz="0" w:space="0" w:color="auto"/>
        <w:left w:val="none" w:sz="0" w:space="0" w:color="auto"/>
        <w:bottom w:val="none" w:sz="0" w:space="0" w:color="auto"/>
        <w:right w:val="none" w:sz="0" w:space="0" w:color="auto"/>
      </w:divBdr>
      <w:divsChild>
        <w:div w:id="2009554337">
          <w:marLeft w:val="0"/>
          <w:marRight w:val="0"/>
          <w:marTop w:val="0"/>
          <w:marBottom w:val="0"/>
          <w:divBdr>
            <w:top w:val="none" w:sz="0" w:space="0" w:color="auto"/>
            <w:left w:val="none" w:sz="0" w:space="0" w:color="auto"/>
            <w:bottom w:val="none" w:sz="0" w:space="0" w:color="auto"/>
            <w:right w:val="none" w:sz="0" w:space="0" w:color="auto"/>
          </w:divBdr>
          <w:divsChild>
            <w:div w:id="933246015">
              <w:marLeft w:val="0"/>
              <w:marRight w:val="0"/>
              <w:marTop w:val="0"/>
              <w:marBottom w:val="0"/>
              <w:divBdr>
                <w:top w:val="none" w:sz="0" w:space="0" w:color="auto"/>
                <w:left w:val="none" w:sz="0" w:space="0" w:color="auto"/>
                <w:bottom w:val="none" w:sz="0" w:space="0" w:color="auto"/>
                <w:right w:val="none" w:sz="0" w:space="0" w:color="auto"/>
              </w:divBdr>
            </w:div>
            <w:div w:id="1903783568">
              <w:marLeft w:val="0"/>
              <w:marRight w:val="0"/>
              <w:marTop w:val="0"/>
              <w:marBottom w:val="0"/>
              <w:divBdr>
                <w:top w:val="none" w:sz="0" w:space="0" w:color="auto"/>
                <w:left w:val="none" w:sz="0" w:space="0" w:color="auto"/>
                <w:bottom w:val="none" w:sz="0" w:space="0" w:color="auto"/>
                <w:right w:val="none" w:sz="0" w:space="0" w:color="auto"/>
              </w:divBdr>
            </w:div>
            <w:div w:id="966008325">
              <w:marLeft w:val="0"/>
              <w:marRight w:val="0"/>
              <w:marTop w:val="0"/>
              <w:marBottom w:val="0"/>
              <w:divBdr>
                <w:top w:val="none" w:sz="0" w:space="0" w:color="auto"/>
                <w:left w:val="none" w:sz="0" w:space="0" w:color="auto"/>
                <w:bottom w:val="none" w:sz="0" w:space="0" w:color="auto"/>
                <w:right w:val="none" w:sz="0" w:space="0" w:color="auto"/>
              </w:divBdr>
            </w:div>
            <w:div w:id="855657842">
              <w:marLeft w:val="0"/>
              <w:marRight w:val="0"/>
              <w:marTop w:val="0"/>
              <w:marBottom w:val="0"/>
              <w:divBdr>
                <w:top w:val="none" w:sz="0" w:space="0" w:color="auto"/>
                <w:left w:val="none" w:sz="0" w:space="0" w:color="auto"/>
                <w:bottom w:val="none" w:sz="0" w:space="0" w:color="auto"/>
                <w:right w:val="none" w:sz="0" w:space="0" w:color="auto"/>
              </w:divBdr>
            </w:div>
            <w:div w:id="1544248760">
              <w:marLeft w:val="0"/>
              <w:marRight w:val="0"/>
              <w:marTop w:val="0"/>
              <w:marBottom w:val="0"/>
              <w:divBdr>
                <w:top w:val="none" w:sz="0" w:space="0" w:color="auto"/>
                <w:left w:val="none" w:sz="0" w:space="0" w:color="auto"/>
                <w:bottom w:val="none" w:sz="0" w:space="0" w:color="auto"/>
                <w:right w:val="none" w:sz="0" w:space="0" w:color="auto"/>
              </w:divBdr>
            </w:div>
            <w:div w:id="990213175">
              <w:marLeft w:val="0"/>
              <w:marRight w:val="0"/>
              <w:marTop w:val="0"/>
              <w:marBottom w:val="0"/>
              <w:divBdr>
                <w:top w:val="none" w:sz="0" w:space="0" w:color="auto"/>
                <w:left w:val="none" w:sz="0" w:space="0" w:color="auto"/>
                <w:bottom w:val="none" w:sz="0" w:space="0" w:color="auto"/>
                <w:right w:val="none" w:sz="0" w:space="0" w:color="auto"/>
              </w:divBdr>
            </w:div>
            <w:div w:id="2007593012">
              <w:marLeft w:val="0"/>
              <w:marRight w:val="0"/>
              <w:marTop w:val="0"/>
              <w:marBottom w:val="0"/>
              <w:divBdr>
                <w:top w:val="none" w:sz="0" w:space="0" w:color="auto"/>
                <w:left w:val="none" w:sz="0" w:space="0" w:color="auto"/>
                <w:bottom w:val="none" w:sz="0" w:space="0" w:color="auto"/>
                <w:right w:val="none" w:sz="0" w:space="0" w:color="auto"/>
              </w:divBdr>
            </w:div>
            <w:div w:id="953056031">
              <w:marLeft w:val="0"/>
              <w:marRight w:val="0"/>
              <w:marTop w:val="0"/>
              <w:marBottom w:val="0"/>
              <w:divBdr>
                <w:top w:val="none" w:sz="0" w:space="0" w:color="auto"/>
                <w:left w:val="none" w:sz="0" w:space="0" w:color="auto"/>
                <w:bottom w:val="none" w:sz="0" w:space="0" w:color="auto"/>
                <w:right w:val="none" w:sz="0" w:space="0" w:color="auto"/>
              </w:divBdr>
            </w:div>
            <w:div w:id="1876237148">
              <w:marLeft w:val="0"/>
              <w:marRight w:val="0"/>
              <w:marTop w:val="0"/>
              <w:marBottom w:val="0"/>
              <w:divBdr>
                <w:top w:val="none" w:sz="0" w:space="0" w:color="auto"/>
                <w:left w:val="none" w:sz="0" w:space="0" w:color="auto"/>
                <w:bottom w:val="none" w:sz="0" w:space="0" w:color="auto"/>
                <w:right w:val="none" w:sz="0" w:space="0" w:color="auto"/>
              </w:divBdr>
            </w:div>
            <w:div w:id="434596927">
              <w:marLeft w:val="0"/>
              <w:marRight w:val="0"/>
              <w:marTop w:val="0"/>
              <w:marBottom w:val="0"/>
              <w:divBdr>
                <w:top w:val="none" w:sz="0" w:space="0" w:color="auto"/>
                <w:left w:val="none" w:sz="0" w:space="0" w:color="auto"/>
                <w:bottom w:val="none" w:sz="0" w:space="0" w:color="auto"/>
                <w:right w:val="none" w:sz="0" w:space="0" w:color="auto"/>
              </w:divBdr>
            </w:div>
            <w:div w:id="1281497694">
              <w:marLeft w:val="0"/>
              <w:marRight w:val="0"/>
              <w:marTop w:val="0"/>
              <w:marBottom w:val="0"/>
              <w:divBdr>
                <w:top w:val="none" w:sz="0" w:space="0" w:color="auto"/>
                <w:left w:val="none" w:sz="0" w:space="0" w:color="auto"/>
                <w:bottom w:val="none" w:sz="0" w:space="0" w:color="auto"/>
                <w:right w:val="none" w:sz="0" w:space="0" w:color="auto"/>
              </w:divBdr>
            </w:div>
            <w:div w:id="1336767867">
              <w:marLeft w:val="0"/>
              <w:marRight w:val="0"/>
              <w:marTop w:val="0"/>
              <w:marBottom w:val="0"/>
              <w:divBdr>
                <w:top w:val="none" w:sz="0" w:space="0" w:color="auto"/>
                <w:left w:val="none" w:sz="0" w:space="0" w:color="auto"/>
                <w:bottom w:val="none" w:sz="0" w:space="0" w:color="auto"/>
                <w:right w:val="none" w:sz="0" w:space="0" w:color="auto"/>
              </w:divBdr>
            </w:div>
            <w:div w:id="517812186">
              <w:marLeft w:val="0"/>
              <w:marRight w:val="0"/>
              <w:marTop w:val="0"/>
              <w:marBottom w:val="0"/>
              <w:divBdr>
                <w:top w:val="none" w:sz="0" w:space="0" w:color="auto"/>
                <w:left w:val="none" w:sz="0" w:space="0" w:color="auto"/>
                <w:bottom w:val="none" w:sz="0" w:space="0" w:color="auto"/>
                <w:right w:val="none" w:sz="0" w:space="0" w:color="auto"/>
              </w:divBdr>
            </w:div>
            <w:div w:id="886262831">
              <w:marLeft w:val="0"/>
              <w:marRight w:val="0"/>
              <w:marTop w:val="0"/>
              <w:marBottom w:val="0"/>
              <w:divBdr>
                <w:top w:val="none" w:sz="0" w:space="0" w:color="auto"/>
                <w:left w:val="none" w:sz="0" w:space="0" w:color="auto"/>
                <w:bottom w:val="none" w:sz="0" w:space="0" w:color="auto"/>
                <w:right w:val="none" w:sz="0" w:space="0" w:color="auto"/>
              </w:divBdr>
            </w:div>
            <w:div w:id="1780687017">
              <w:marLeft w:val="0"/>
              <w:marRight w:val="0"/>
              <w:marTop w:val="0"/>
              <w:marBottom w:val="0"/>
              <w:divBdr>
                <w:top w:val="none" w:sz="0" w:space="0" w:color="auto"/>
                <w:left w:val="none" w:sz="0" w:space="0" w:color="auto"/>
                <w:bottom w:val="none" w:sz="0" w:space="0" w:color="auto"/>
                <w:right w:val="none" w:sz="0" w:space="0" w:color="auto"/>
              </w:divBdr>
            </w:div>
            <w:div w:id="1220018446">
              <w:marLeft w:val="0"/>
              <w:marRight w:val="0"/>
              <w:marTop w:val="0"/>
              <w:marBottom w:val="0"/>
              <w:divBdr>
                <w:top w:val="none" w:sz="0" w:space="0" w:color="auto"/>
                <w:left w:val="none" w:sz="0" w:space="0" w:color="auto"/>
                <w:bottom w:val="none" w:sz="0" w:space="0" w:color="auto"/>
                <w:right w:val="none" w:sz="0" w:space="0" w:color="auto"/>
              </w:divBdr>
            </w:div>
            <w:div w:id="819999761">
              <w:marLeft w:val="0"/>
              <w:marRight w:val="0"/>
              <w:marTop w:val="0"/>
              <w:marBottom w:val="0"/>
              <w:divBdr>
                <w:top w:val="none" w:sz="0" w:space="0" w:color="auto"/>
                <w:left w:val="none" w:sz="0" w:space="0" w:color="auto"/>
                <w:bottom w:val="none" w:sz="0" w:space="0" w:color="auto"/>
                <w:right w:val="none" w:sz="0" w:space="0" w:color="auto"/>
              </w:divBdr>
            </w:div>
          </w:divsChild>
        </w:div>
        <w:div w:id="687758969">
          <w:marLeft w:val="0"/>
          <w:marRight w:val="0"/>
          <w:marTop w:val="0"/>
          <w:marBottom w:val="0"/>
          <w:divBdr>
            <w:top w:val="none" w:sz="0" w:space="0" w:color="auto"/>
            <w:left w:val="none" w:sz="0" w:space="0" w:color="auto"/>
            <w:bottom w:val="none" w:sz="0" w:space="0" w:color="auto"/>
            <w:right w:val="none" w:sz="0" w:space="0" w:color="auto"/>
          </w:divBdr>
          <w:divsChild>
            <w:div w:id="524172071">
              <w:marLeft w:val="0"/>
              <w:marRight w:val="0"/>
              <w:marTop w:val="0"/>
              <w:marBottom w:val="0"/>
              <w:divBdr>
                <w:top w:val="none" w:sz="0" w:space="0" w:color="auto"/>
                <w:left w:val="none" w:sz="0" w:space="0" w:color="auto"/>
                <w:bottom w:val="none" w:sz="0" w:space="0" w:color="auto"/>
                <w:right w:val="none" w:sz="0" w:space="0" w:color="auto"/>
              </w:divBdr>
            </w:div>
            <w:div w:id="634919466">
              <w:marLeft w:val="0"/>
              <w:marRight w:val="0"/>
              <w:marTop w:val="0"/>
              <w:marBottom w:val="0"/>
              <w:divBdr>
                <w:top w:val="none" w:sz="0" w:space="0" w:color="auto"/>
                <w:left w:val="none" w:sz="0" w:space="0" w:color="auto"/>
                <w:bottom w:val="none" w:sz="0" w:space="0" w:color="auto"/>
                <w:right w:val="none" w:sz="0" w:space="0" w:color="auto"/>
              </w:divBdr>
            </w:div>
            <w:div w:id="991566130">
              <w:marLeft w:val="0"/>
              <w:marRight w:val="0"/>
              <w:marTop w:val="0"/>
              <w:marBottom w:val="0"/>
              <w:divBdr>
                <w:top w:val="none" w:sz="0" w:space="0" w:color="auto"/>
                <w:left w:val="none" w:sz="0" w:space="0" w:color="auto"/>
                <w:bottom w:val="none" w:sz="0" w:space="0" w:color="auto"/>
                <w:right w:val="none" w:sz="0" w:space="0" w:color="auto"/>
              </w:divBdr>
            </w:div>
            <w:div w:id="295110314">
              <w:marLeft w:val="0"/>
              <w:marRight w:val="0"/>
              <w:marTop w:val="0"/>
              <w:marBottom w:val="0"/>
              <w:divBdr>
                <w:top w:val="none" w:sz="0" w:space="0" w:color="auto"/>
                <w:left w:val="none" w:sz="0" w:space="0" w:color="auto"/>
                <w:bottom w:val="none" w:sz="0" w:space="0" w:color="auto"/>
                <w:right w:val="none" w:sz="0" w:space="0" w:color="auto"/>
              </w:divBdr>
            </w:div>
            <w:div w:id="1718311082">
              <w:marLeft w:val="0"/>
              <w:marRight w:val="0"/>
              <w:marTop w:val="0"/>
              <w:marBottom w:val="0"/>
              <w:divBdr>
                <w:top w:val="none" w:sz="0" w:space="0" w:color="auto"/>
                <w:left w:val="none" w:sz="0" w:space="0" w:color="auto"/>
                <w:bottom w:val="none" w:sz="0" w:space="0" w:color="auto"/>
                <w:right w:val="none" w:sz="0" w:space="0" w:color="auto"/>
              </w:divBdr>
            </w:div>
            <w:div w:id="128062758">
              <w:marLeft w:val="0"/>
              <w:marRight w:val="0"/>
              <w:marTop w:val="0"/>
              <w:marBottom w:val="0"/>
              <w:divBdr>
                <w:top w:val="none" w:sz="0" w:space="0" w:color="auto"/>
                <w:left w:val="none" w:sz="0" w:space="0" w:color="auto"/>
                <w:bottom w:val="none" w:sz="0" w:space="0" w:color="auto"/>
                <w:right w:val="none" w:sz="0" w:space="0" w:color="auto"/>
              </w:divBdr>
            </w:div>
            <w:div w:id="1518690039">
              <w:marLeft w:val="0"/>
              <w:marRight w:val="0"/>
              <w:marTop w:val="0"/>
              <w:marBottom w:val="0"/>
              <w:divBdr>
                <w:top w:val="none" w:sz="0" w:space="0" w:color="auto"/>
                <w:left w:val="none" w:sz="0" w:space="0" w:color="auto"/>
                <w:bottom w:val="none" w:sz="0" w:space="0" w:color="auto"/>
                <w:right w:val="none" w:sz="0" w:space="0" w:color="auto"/>
              </w:divBdr>
            </w:div>
            <w:div w:id="1274945720">
              <w:marLeft w:val="0"/>
              <w:marRight w:val="0"/>
              <w:marTop w:val="0"/>
              <w:marBottom w:val="0"/>
              <w:divBdr>
                <w:top w:val="none" w:sz="0" w:space="0" w:color="auto"/>
                <w:left w:val="none" w:sz="0" w:space="0" w:color="auto"/>
                <w:bottom w:val="none" w:sz="0" w:space="0" w:color="auto"/>
                <w:right w:val="none" w:sz="0" w:space="0" w:color="auto"/>
              </w:divBdr>
            </w:div>
            <w:div w:id="1453674681">
              <w:marLeft w:val="0"/>
              <w:marRight w:val="0"/>
              <w:marTop w:val="0"/>
              <w:marBottom w:val="0"/>
              <w:divBdr>
                <w:top w:val="none" w:sz="0" w:space="0" w:color="auto"/>
                <w:left w:val="none" w:sz="0" w:space="0" w:color="auto"/>
                <w:bottom w:val="none" w:sz="0" w:space="0" w:color="auto"/>
                <w:right w:val="none" w:sz="0" w:space="0" w:color="auto"/>
              </w:divBdr>
            </w:div>
            <w:div w:id="2071996919">
              <w:marLeft w:val="0"/>
              <w:marRight w:val="0"/>
              <w:marTop w:val="0"/>
              <w:marBottom w:val="0"/>
              <w:divBdr>
                <w:top w:val="none" w:sz="0" w:space="0" w:color="auto"/>
                <w:left w:val="none" w:sz="0" w:space="0" w:color="auto"/>
                <w:bottom w:val="none" w:sz="0" w:space="0" w:color="auto"/>
                <w:right w:val="none" w:sz="0" w:space="0" w:color="auto"/>
              </w:divBdr>
            </w:div>
            <w:div w:id="1868249601">
              <w:marLeft w:val="0"/>
              <w:marRight w:val="0"/>
              <w:marTop w:val="0"/>
              <w:marBottom w:val="0"/>
              <w:divBdr>
                <w:top w:val="none" w:sz="0" w:space="0" w:color="auto"/>
                <w:left w:val="none" w:sz="0" w:space="0" w:color="auto"/>
                <w:bottom w:val="none" w:sz="0" w:space="0" w:color="auto"/>
                <w:right w:val="none" w:sz="0" w:space="0" w:color="auto"/>
              </w:divBdr>
            </w:div>
            <w:div w:id="1079254467">
              <w:marLeft w:val="0"/>
              <w:marRight w:val="0"/>
              <w:marTop w:val="0"/>
              <w:marBottom w:val="0"/>
              <w:divBdr>
                <w:top w:val="none" w:sz="0" w:space="0" w:color="auto"/>
                <w:left w:val="none" w:sz="0" w:space="0" w:color="auto"/>
                <w:bottom w:val="none" w:sz="0" w:space="0" w:color="auto"/>
                <w:right w:val="none" w:sz="0" w:space="0" w:color="auto"/>
              </w:divBdr>
            </w:div>
            <w:div w:id="145386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69452">
      <w:bodyDiv w:val="1"/>
      <w:marLeft w:val="0"/>
      <w:marRight w:val="0"/>
      <w:marTop w:val="0"/>
      <w:marBottom w:val="0"/>
      <w:divBdr>
        <w:top w:val="none" w:sz="0" w:space="0" w:color="auto"/>
        <w:left w:val="none" w:sz="0" w:space="0" w:color="auto"/>
        <w:bottom w:val="none" w:sz="0" w:space="0" w:color="auto"/>
        <w:right w:val="none" w:sz="0" w:space="0" w:color="auto"/>
      </w:divBdr>
      <w:divsChild>
        <w:div w:id="1279608189">
          <w:marLeft w:val="0"/>
          <w:marRight w:val="0"/>
          <w:marTop w:val="0"/>
          <w:marBottom w:val="0"/>
          <w:divBdr>
            <w:top w:val="none" w:sz="0" w:space="0" w:color="auto"/>
            <w:left w:val="none" w:sz="0" w:space="0" w:color="auto"/>
            <w:bottom w:val="none" w:sz="0" w:space="0" w:color="auto"/>
            <w:right w:val="none" w:sz="0" w:space="0" w:color="auto"/>
          </w:divBdr>
          <w:divsChild>
            <w:div w:id="1140415291">
              <w:marLeft w:val="0"/>
              <w:marRight w:val="0"/>
              <w:marTop w:val="0"/>
              <w:marBottom w:val="0"/>
              <w:divBdr>
                <w:top w:val="none" w:sz="0" w:space="0" w:color="auto"/>
                <w:left w:val="none" w:sz="0" w:space="0" w:color="auto"/>
                <w:bottom w:val="none" w:sz="0" w:space="0" w:color="auto"/>
                <w:right w:val="none" w:sz="0" w:space="0" w:color="auto"/>
              </w:divBdr>
            </w:div>
            <w:div w:id="360975889">
              <w:marLeft w:val="0"/>
              <w:marRight w:val="0"/>
              <w:marTop w:val="0"/>
              <w:marBottom w:val="0"/>
              <w:divBdr>
                <w:top w:val="none" w:sz="0" w:space="0" w:color="auto"/>
                <w:left w:val="none" w:sz="0" w:space="0" w:color="auto"/>
                <w:bottom w:val="none" w:sz="0" w:space="0" w:color="auto"/>
                <w:right w:val="none" w:sz="0" w:space="0" w:color="auto"/>
              </w:divBdr>
            </w:div>
            <w:div w:id="870265657">
              <w:marLeft w:val="0"/>
              <w:marRight w:val="0"/>
              <w:marTop w:val="0"/>
              <w:marBottom w:val="0"/>
              <w:divBdr>
                <w:top w:val="none" w:sz="0" w:space="0" w:color="auto"/>
                <w:left w:val="none" w:sz="0" w:space="0" w:color="auto"/>
                <w:bottom w:val="none" w:sz="0" w:space="0" w:color="auto"/>
                <w:right w:val="none" w:sz="0" w:space="0" w:color="auto"/>
              </w:divBdr>
            </w:div>
            <w:div w:id="689642331">
              <w:marLeft w:val="0"/>
              <w:marRight w:val="0"/>
              <w:marTop w:val="0"/>
              <w:marBottom w:val="0"/>
              <w:divBdr>
                <w:top w:val="none" w:sz="0" w:space="0" w:color="auto"/>
                <w:left w:val="none" w:sz="0" w:space="0" w:color="auto"/>
                <w:bottom w:val="none" w:sz="0" w:space="0" w:color="auto"/>
                <w:right w:val="none" w:sz="0" w:space="0" w:color="auto"/>
              </w:divBdr>
            </w:div>
            <w:div w:id="170025835">
              <w:marLeft w:val="0"/>
              <w:marRight w:val="0"/>
              <w:marTop w:val="0"/>
              <w:marBottom w:val="0"/>
              <w:divBdr>
                <w:top w:val="none" w:sz="0" w:space="0" w:color="auto"/>
                <w:left w:val="none" w:sz="0" w:space="0" w:color="auto"/>
                <w:bottom w:val="none" w:sz="0" w:space="0" w:color="auto"/>
                <w:right w:val="none" w:sz="0" w:space="0" w:color="auto"/>
              </w:divBdr>
            </w:div>
            <w:div w:id="146479989">
              <w:marLeft w:val="0"/>
              <w:marRight w:val="0"/>
              <w:marTop w:val="0"/>
              <w:marBottom w:val="0"/>
              <w:divBdr>
                <w:top w:val="none" w:sz="0" w:space="0" w:color="auto"/>
                <w:left w:val="none" w:sz="0" w:space="0" w:color="auto"/>
                <w:bottom w:val="none" w:sz="0" w:space="0" w:color="auto"/>
                <w:right w:val="none" w:sz="0" w:space="0" w:color="auto"/>
              </w:divBdr>
            </w:div>
            <w:div w:id="1763335322">
              <w:marLeft w:val="0"/>
              <w:marRight w:val="0"/>
              <w:marTop w:val="0"/>
              <w:marBottom w:val="0"/>
              <w:divBdr>
                <w:top w:val="none" w:sz="0" w:space="0" w:color="auto"/>
                <w:left w:val="none" w:sz="0" w:space="0" w:color="auto"/>
                <w:bottom w:val="none" w:sz="0" w:space="0" w:color="auto"/>
                <w:right w:val="none" w:sz="0" w:space="0" w:color="auto"/>
              </w:divBdr>
            </w:div>
            <w:div w:id="2056847702">
              <w:marLeft w:val="0"/>
              <w:marRight w:val="0"/>
              <w:marTop w:val="0"/>
              <w:marBottom w:val="0"/>
              <w:divBdr>
                <w:top w:val="none" w:sz="0" w:space="0" w:color="auto"/>
                <w:left w:val="none" w:sz="0" w:space="0" w:color="auto"/>
                <w:bottom w:val="none" w:sz="0" w:space="0" w:color="auto"/>
                <w:right w:val="none" w:sz="0" w:space="0" w:color="auto"/>
              </w:divBdr>
            </w:div>
            <w:div w:id="1325738058">
              <w:marLeft w:val="0"/>
              <w:marRight w:val="0"/>
              <w:marTop w:val="0"/>
              <w:marBottom w:val="0"/>
              <w:divBdr>
                <w:top w:val="none" w:sz="0" w:space="0" w:color="auto"/>
                <w:left w:val="none" w:sz="0" w:space="0" w:color="auto"/>
                <w:bottom w:val="none" w:sz="0" w:space="0" w:color="auto"/>
                <w:right w:val="none" w:sz="0" w:space="0" w:color="auto"/>
              </w:divBdr>
            </w:div>
            <w:div w:id="1099956628">
              <w:marLeft w:val="0"/>
              <w:marRight w:val="0"/>
              <w:marTop w:val="0"/>
              <w:marBottom w:val="0"/>
              <w:divBdr>
                <w:top w:val="none" w:sz="0" w:space="0" w:color="auto"/>
                <w:left w:val="none" w:sz="0" w:space="0" w:color="auto"/>
                <w:bottom w:val="none" w:sz="0" w:space="0" w:color="auto"/>
                <w:right w:val="none" w:sz="0" w:space="0" w:color="auto"/>
              </w:divBdr>
            </w:div>
            <w:div w:id="457376244">
              <w:marLeft w:val="0"/>
              <w:marRight w:val="0"/>
              <w:marTop w:val="0"/>
              <w:marBottom w:val="0"/>
              <w:divBdr>
                <w:top w:val="none" w:sz="0" w:space="0" w:color="auto"/>
                <w:left w:val="none" w:sz="0" w:space="0" w:color="auto"/>
                <w:bottom w:val="none" w:sz="0" w:space="0" w:color="auto"/>
                <w:right w:val="none" w:sz="0" w:space="0" w:color="auto"/>
              </w:divBdr>
            </w:div>
            <w:div w:id="1631983656">
              <w:marLeft w:val="0"/>
              <w:marRight w:val="0"/>
              <w:marTop w:val="0"/>
              <w:marBottom w:val="0"/>
              <w:divBdr>
                <w:top w:val="none" w:sz="0" w:space="0" w:color="auto"/>
                <w:left w:val="none" w:sz="0" w:space="0" w:color="auto"/>
                <w:bottom w:val="none" w:sz="0" w:space="0" w:color="auto"/>
                <w:right w:val="none" w:sz="0" w:space="0" w:color="auto"/>
              </w:divBdr>
            </w:div>
            <w:div w:id="1792165144">
              <w:marLeft w:val="0"/>
              <w:marRight w:val="0"/>
              <w:marTop w:val="0"/>
              <w:marBottom w:val="0"/>
              <w:divBdr>
                <w:top w:val="none" w:sz="0" w:space="0" w:color="auto"/>
                <w:left w:val="none" w:sz="0" w:space="0" w:color="auto"/>
                <w:bottom w:val="none" w:sz="0" w:space="0" w:color="auto"/>
                <w:right w:val="none" w:sz="0" w:space="0" w:color="auto"/>
              </w:divBdr>
            </w:div>
            <w:div w:id="1156142716">
              <w:marLeft w:val="0"/>
              <w:marRight w:val="0"/>
              <w:marTop w:val="0"/>
              <w:marBottom w:val="0"/>
              <w:divBdr>
                <w:top w:val="none" w:sz="0" w:space="0" w:color="auto"/>
                <w:left w:val="none" w:sz="0" w:space="0" w:color="auto"/>
                <w:bottom w:val="none" w:sz="0" w:space="0" w:color="auto"/>
                <w:right w:val="none" w:sz="0" w:space="0" w:color="auto"/>
              </w:divBdr>
            </w:div>
            <w:div w:id="563225140">
              <w:marLeft w:val="0"/>
              <w:marRight w:val="0"/>
              <w:marTop w:val="0"/>
              <w:marBottom w:val="0"/>
              <w:divBdr>
                <w:top w:val="none" w:sz="0" w:space="0" w:color="auto"/>
                <w:left w:val="none" w:sz="0" w:space="0" w:color="auto"/>
                <w:bottom w:val="none" w:sz="0" w:space="0" w:color="auto"/>
                <w:right w:val="none" w:sz="0" w:space="0" w:color="auto"/>
              </w:divBdr>
            </w:div>
            <w:div w:id="1698694141">
              <w:marLeft w:val="0"/>
              <w:marRight w:val="0"/>
              <w:marTop w:val="0"/>
              <w:marBottom w:val="0"/>
              <w:divBdr>
                <w:top w:val="none" w:sz="0" w:space="0" w:color="auto"/>
                <w:left w:val="none" w:sz="0" w:space="0" w:color="auto"/>
                <w:bottom w:val="none" w:sz="0" w:space="0" w:color="auto"/>
                <w:right w:val="none" w:sz="0" w:space="0" w:color="auto"/>
              </w:divBdr>
            </w:div>
            <w:div w:id="1284649309">
              <w:marLeft w:val="0"/>
              <w:marRight w:val="0"/>
              <w:marTop w:val="0"/>
              <w:marBottom w:val="0"/>
              <w:divBdr>
                <w:top w:val="none" w:sz="0" w:space="0" w:color="auto"/>
                <w:left w:val="none" w:sz="0" w:space="0" w:color="auto"/>
                <w:bottom w:val="none" w:sz="0" w:space="0" w:color="auto"/>
                <w:right w:val="none" w:sz="0" w:space="0" w:color="auto"/>
              </w:divBdr>
            </w:div>
          </w:divsChild>
        </w:div>
        <w:div w:id="1338508244">
          <w:marLeft w:val="0"/>
          <w:marRight w:val="0"/>
          <w:marTop w:val="0"/>
          <w:marBottom w:val="0"/>
          <w:divBdr>
            <w:top w:val="none" w:sz="0" w:space="0" w:color="auto"/>
            <w:left w:val="none" w:sz="0" w:space="0" w:color="auto"/>
            <w:bottom w:val="none" w:sz="0" w:space="0" w:color="auto"/>
            <w:right w:val="none" w:sz="0" w:space="0" w:color="auto"/>
          </w:divBdr>
          <w:divsChild>
            <w:div w:id="1683506720">
              <w:marLeft w:val="0"/>
              <w:marRight w:val="0"/>
              <w:marTop w:val="0"/>
              <w:marBottom w:val="0"/>
              <w:divBdr>
                <w:top w:val="none" w:sz="0" w:space="0" w:color="auto"/>
                <w:left w:val="none" w:sz="0" w:space="0" w:color="auto"/>
                <w:bottom w:val="none" w:sz="0" w:space="0" w:color="auto"/>
                <w:right w:val="none" w:sz="0" w:space="0" w:color="auto"/>
              </w:divBdr>
            </w:div>
            <w:div w:id="1934779940">
              <w:marLeft w:val="0"/>
              <w:marRight w:val="0"/>
              <w:marTop w:val="0"/>
              <w:marBottom w:val="0"/>
              <w:divBdr>
                <w:top w:val="none" w:sz="0" w:space="0" w:color="auto"/>
                <w:left w:val="none" w:sz="0" w:space="0" w:color="auto"/>
                <w:bottom w:val="none" w:sz="0" w:space="0" w:color="auto"/>
                <w:right w:val="none" w:sz="0" w:space="0" w:color="auto"/>
              </w:divBdr>
            </w:div>
            <w:div w:id="304774354">
              <w:marLeft w:val="0"/>
              <w:marRight w:val="0"/>
              <w:marTop w:val="0"/>
              <w:marBottom w:val="0"/>
              <w:divBdr>
                <w:top w:val="none" w:sz="0" w:space="0" w:color="auto"/>
                <w:left w:val="none" w:sz="0" w:space="0" w:color="auto"/>
                <w:bottom w:val="none" w:sz="0" w:space="0" w:color="auto"/>
                <w:right w:val="none" w:sz="0" w:space="0" w:color="auto"/>
              </w:divBdr>
            </w:div>
            <w:div w:id="909778360">
              <w:marLeft w:val="0"/>
              <w:marRight w:val="0"/>
              <w:marTop w:val="0"/>
              <w:marBottom w:val="0"/>
              <w:divBdr>
                <w:top w:val="none" w:sz="0" w:space="0" w:color="auto"/>
                <w:left w:val="none" w:sz="0" w:space="0" w:color="auto"/>
                <w:bottom w:val="none" w:sz="0" w:space="0" w:color="auto"/>
                <w:right w:val="none" w:sz="0" w:space="0" w:color="auto"/>
              </w:divBdr>
            </w:div>
            <w:div w:id="607546703">
              <w:marLeft w:val="0"/>
              <w:marRight w:val="0"/>
              <w:marTop w:val="0"/>
              <w:marBottom w:val="0"/>
              <w:divBdr>
                <w:top w:val="none" w:sz="0" w:space="0" w:color="auto"/>
                <w:left w:val="none" w:sz="0" w:space="0" w:color="auto"/>
                <w:bottom w:val="none" w:sz="0" w:space="0" w:color="auto"/>
                <w:right w:val="none" w:sz="0" w:space="0" w:color="auto"/>
              </w:divBdr>
            </w:div>
            <w:div w:id="623197704">
              <w:marLeft w:val="0"/>
              <w:marRight w:val="0"/>
              <w:marTop w:val="0"/>
              <w:marBottom w:val="0"/>
              <w:divBdr>
                <w:top w:val="none" w:sz="0" w:space="0" w:color="auto"/>
                <w:left w:val="none" w:sz="0" w:space="0" w:color="auto"/>
                <w:bottom w:val="none" w:sz="0" w:space="0" w:color="auto"/>
                <w:right w:val="none" w:sz="0" w:space="0" w:color="auto"/>
              </w:divBdr>
            </w:div>
            <w:div w:id="1137533181">
              <w:marLeft w:val="0"/>
              <w:marRight w:val="0"/>
              <w:marTop w:val="0"/>
              <w:marBottom w:val="0"/>
              <w:divBdr>
                <w:top w:val="none" w:sz="0" w:space="0" w:color="auto"/>
                <w:left w:val="none" w:sz="0" w:space="0" w:color="auto"/>
                <w:bottom w:val="none" w:sz="0" w:space="0" w:color="auto"/>
                <w:right w:val="none" w:sz="0" w:space="0" w:color="auto"/>
              </w:divBdr>
            </w:div>
            <w:div w:id="1857303929">
              <w:marLeft w:val="0"/>
              <w:marRight w:val="0"/>
              <w:marTop w:val="0"/>
              <w:marBottom w:val="0"/>
              <w:divBdr>
                <w:top w:val="none" w:sz="0" w:space="0" w:color="auto"/>
                <w:left w:val="none" w:sz="0" w:space="0" w:color="auto"/>
                <w:bottom w:val="none" w:sz="0" w:space="0" w:color="auto"/>
                <w:right w:val="none" w:sz="0" w:space="0" w:color="auto"/>
              </w:divBdr>
            </w:div>
            <w:div w:id="75641057">
              <w:marLeft w:val="0"/>
              <w:marRight w:val="0"/>
              <w:marTop w:val="0"/>
              <w:marBottom w:val="0"/>
              <w:divBdr>
                <w:top w:val="none" w:sz="0" w:space="0" w:color="auto"/>
                <w:left w:val="none" w:sz="0" w:space="0" w:color="auto"/>
                <w:bottom w:val="none" w:sz="0" w:space="0" w:color="auto"/>
                <w:right w:val="none" w:sz="0" w:space="0" w:color="auto"/>
              </w:divBdr>
            </w:div>
            <w:div w:id="843780952">
              <w:marLeft w:val="0"/>
              <w:marRight w:val="0"/>
              <w:marTop w:val="0"/>
              <w:marBottom w:val="0"/>
              <w:divBdr>
                <w:top w:val="none" w:sz="0" w:space="0" w:color="auto"/>
                <w:left w:val="none" w:sz="0" w:space="0" w:color="auto"/>
                <w:bottom w:val="none" w:sz="0" w:space="0" w:color="auto"/>
                <w:right w:val="none" w:sz="0" w:space="0" w:color="auto"/>
              </w:divBdr>
            </w:div>
            <w:div w:id="339895038">
              <w:marLeft w:val="0"/>
              <w:marRight w:val="0"/>
              <w:marTop w:val="0"/>
              <w:marBottom w:val="0"/>
              <w:divBdr>
                <w:top w:val="none" w:sz="0" w:space="0" w:color="auto"/>
                <w:left w:val="none" w:sz="0" w:space="0" w:color="auto"/>
                <w:bottom w:val="none" w:sz="0" w:space="0" w:color="auto"/>
                <w:right w:val="none" w:sz="0" w:space="0" w:color="auto"/>
              </w:divBdr>
            </w:div>
            <w:div w:id="1023437836">
              <w:marLeft w:val="0"/>
              <w:marRight w:val="0"/>
              <w:marTop w:val="0"/>
              <w:marBottom w:val="0"/>
              <w:divBdr>
                <w:top w:val="none" w:sz="0" w:space="0" w:color="auto"/>
                <w:left w:val="none" w:sz="0" w:space="0" w:color="auto"/>
                <w:bottom w:val="none" w:sz="0" w:space="0" w:color="auto"/>
                <w:right w:val="none" w:sz="0" w:space="0" w:color="auto"/>
              </w:divBdr>
            </w:div>
            <w:div w:id="53577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 Id="rId13" /><Relationship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ssn11800-2140136717-81/surrogate/Remiss%20inom%20h%c3%a4lso-%20och%20sjukv%c3%a5rd.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 Id="rId12" /><Relationship Type="http://schemas.openxmlformats.org/officeDocument/2006/relationships/hyperlink" Target="https://mellanarkiv-offentlig.vgregion.se/alfresco/s/archive/stream/public/v1/source/available/sofia/ssn11800-2140136717-81/surrogate/Remiss%20inom%20h%c3%a4lso-%20och%20sjukv%c3%a5rd.pdf" TargetMode="External" Id="rId17" /><Relationship Type="http://schemas.openxmlformats.org/officeDocument/2006/relationships/footer" Target="footer2.xml" Id="rId25" /><Relationship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 Id="rId16" /><Relationship Type="http://schemas.openxmlformats.org/officeDocument/2006/relationships/hyperlink" Target="https://mellanarkiv-offentlig.vgregion.se/alfresco/s/archive/stream/public/v1/source/available/SOFIA/HS9766-305841775-92/SURROGATE/Ansvarsf%c3%b6rdelning%20f%c3%b6r%20medicinskt%20omh%c3%a4ndertagande%20av%20vuxna%20med%20medf%c3%b6dd%20funktionsneds%c3%a4ttning.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s://mellanarkiv-offentlig.vgregion.se/alfresco/s/archive/stream/public/v1/source/available/SOFIA/RS6895-621728397-785/SURROGATE/Riktlinje%20f%c3%b6r%20SIP%20i%20V%c3%a4stra%20G%c3%b6taland%202020-2023-1.pdf"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HS9766-305841775-92/SURROGATE/Ansvarsf%c3%b6rdelning%20f%c3%b6r%20medicinskt%20omh%c3%a4ndertagande%20av%20vuxna%20med%20medf%c3%b6dd%20funktionsneds%c3%a4ttning.pdf" TargetMode="External" Id="rId14" /><Relationship Type="http://schemas.openxmlformats.org/officeDocument/2006/relationships/hyperlink" Target="https://mellanarkiv-offentlig.vgregion.se/alfresco/s/archive/stream/public/v1/source/available/SOFIA/RS6895-621728397-785/SURROGATE/Riktlinje%20f%c3%b6r%20SIP%20i%20V%c3%a4stra%20G%c3%b6taland%202020-2023-1.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1025</Words>
  <Characters>5434</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6447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 som fyller eller har fyllt 18 år</dc:title>
  <dc:subject/>
  <dc:creator/>
  <keywords/>
  <lastModifiedBy/>
  <revision>1</revision>
  <dcterms:created xsi:type="dcterms:W3CDTF">2025-12-19T11:21:00.0000000Z</dcterms:created>
  <dcterms:modified xsi:type="dcterms:W3CDTF">2025-12-19T12:57:00.0000000Z</dcterms:modified>
</coreProperties>
</file>