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D917DB" w14:textId="38766D75" w:rsidR="00DC6B3B" w:rsidRDefault="00DC6B3B" w:rsidP="00DA3521">
      <w:pPr>
        <w:pStyle w:val="Rubrik1"/>
        <w:spacing w:before="1"/>
        <w:ind w:right="849"/>
      </w:pPr>
      <w:r>
        <w:t>Inskränkning</w:t>
      </w:r>
      <w:r>
        <w:rPr>
          <w:spacing w:val="-28"/>
        </w:rPr>
        <w:t xml:space="preserve"> </w:t>
      </w:r>
      <w:r>
        <w:t>av</w:t>
      </w:r>
      <w:r>
        <w:rPr>
          <w:spacing w:val="-27"/>
        </w:rPr>
        <w:t xml:space="preserve"> </w:t>
      </w:r>
      <w:r>
        <w:t xml:space="preserve">elektronisk </w:t>
      </w:r>
      <w:r>
        <w:rPr>
          <w:spacing w:val="-2"/>
        </w:rPr>
        <w:t>kommunikation</w:t>
      </w:r>
      <w:r w:rsidR="00DA3521">
        <w:rPr>
          <w:spacing w:val="-2"/>
        </w:rPr>
        <w:t>, Vuxenpsykiatri</w:t>
      </w:r>
    </w:p>
    <w:p w14:paraId="0A686215" w14:textId="03290C73" w:rsidR="007618F9" w:rsidRDefault="007618F9" w:rsidP="00DA3521">
      <w:pPr>
        <w:ind w:right="849"/>
      </w:pPr>
      <w:r>
        <w:t>Enligt § 20</w:t>
      </w:r>
      <w:r w:rsidR="008946B6">
        <w:t>b</w:t>
      </w:r>
      <w:r>
        <w:t xml:space="preserve"> lagen om psykiatrisk tvångsvård (1991:1128) får chefsöverläkaren besluta att inskränka en patients rätt att använda elektroniska kommunikationstjänster om det är nödvändigt med hänsyn till</w:t>
      </w:r>
      <w:r>
        <w:rPr>
          <w:spacing w:val="-1"/>
        </w:rPr>
        <w:t xml:space="preserve"> </w:t>
      </w:r>
      <w:r>
        <w:t>vården</w:t>
      </w:r>
      <w:r>
        <w:rPr>
          <w:spacing w:val="-1"/>
        </w:rPr>
        <w:t xml:space="preserve"> </w:t>
      </w:r>
      <w:r>
        <w:t>(avser</w:t>
      </w:r>
      <w:r>
        <w:rPr>
          <w:spacing w:val="-1"/>
        </w:rPr>
        <w:t xml:space="preserve"> </w:t>
      </w:r>
      <w:r>
        <w:t>patienten</w:t>
      </w:r>
      <w:r>
        <w:rPr>
          <w:spacing w:val="-1"/>
        </w:rPr>
        <w:t xml:space="preserve"> </w:t>
      </w:r>
      <w:r>
        <w:t>själv)</w:t>
      </w:r>
      <w:r>
        <w:rPr>
          <w:spacing w:val="-1"/>
        </w:rPr>
        <w:t xml:space="preserve"> </w:t>
      </w:r>
      <w:r>
        <w:t>eller</w:t>
      </w:r>
      <w:r>
        <w:rPr>
          <w:spacing w:val="-1"/>
        </w:rPr>
        <w:t xml:space="preserve"> </w:t>
      </w:r>
      <w:r>
        <w:t>rehabiliteringen av</w:t>
      </w:r>
      <w:r>
        <w:rPr>
          <w:spacing w:val="-1"/>
        </w:rPr>
        <w:t xml:space="preserve"> </w:t>
      </w:r>
      <w:r>
        <w:t>patienten eller för att undvika att någon annan lider skada (av allvarligare art). Beslut om inskränkning gäller individuellt och skälen till beslutet ska dokumenteras i patientjournalen. Den tekniska utrustning som möjliggör användningen får</w:t>
      </w:r>
      <w:r>
        <w:rPr>
          <w:spacing w:val="-5"/>
        </w:rPr>
        <w:t xml:space="preserve"> </w:t>
      </w:r>
      <w:r>
        <w:t>omhändertas</w:t>
      </w:r>
      <w:r>
        <w:rPr>
          <w:spacing w:val="-5"/>
        </w:rPr>
        <w:t xml:space="preserve"> </w:t>
      </w:r>
      <w:r>
        <w:t>under</w:t>
      </w:r>
      <w:r>
        <w:rPr>
          <w:spacing w:val="-5"/>
        </w:rPr>
        <w:t xml:space="preserve"> </w:t>
      </w:r>
      <w:r>
        <w:t>den</w:t>
      </w:r>
      <w:r>
        <w:rPr>
          <w:spacing w:val="-5"/>
        </w:rPr>
        <w:t xml:space="preserve"> </w:t>
      </w:r>
      <w:r>
        <w:t>tid</w:t>
      </w:r>
      <w:r>
        <w:rPr>
          <w:spacing w:val="-5"/>
        </w:rPr>
        <w:t xml:space="preserve"> </w:t>
      </w:r>
      <w:r>
        <w:t>beslutet</w:t>
      </w:r>
      <w:r>
        <w:rPr>
          <w:spacing w:val="-5"/>
        </w:rPr>
        <w:t xml:space="preserve"> </w:t>
      </w:r>
      <w:r>
        <w:t>gäller.</w:t>
      </w:r>
      <w:r>
        <w:rPr>
          <w:spacing w:val="-4"/>
        </w:rPr>
        <w:t xml:space="preserve"> </w:t>
      </w:r>
      <w:r>
        <w:t>Omhändertagen</w:t>
      </w:r>
      <w:r>
        <w:rPr>
          <w:spacing w:val="-5"/>
        </w:rPr>
        <w:t xml:space="preserve"> </w:t>
      </w:r>
      <w:r>
        <w:t>utrustning ska återlämnas till patienten senast när beslutet om inskränkning upphör att gälla.</w:t>
      </w:r>
    </w:p>
    <w:p w14:paraId="15F96234" w14:textId="413A630C" w:rsidR="008F15C5" w:rsidRDefault="007618F9" w:rsidP="00DA3521">
      <w:pPr>
        <w:ind w:right="849"/>
      </w:pPr>
      <w:r>
        <w:t>Elektronisk kommunikationstjänst möjliggör överföring av tal, fax och data</w:t>
      </w:r>
      <w:r>
        <w:rPr>
          <w:spacing w:val="-6"/>
        </w:rPr>
        <w:t xml:space="preserve"> </w:t>
      </w:r>
      <w:r>
        <w:t>och</w:t>
      </w:r>
      <w:r>
        <w:rPr>
          <w:spacing w:val="-6"/>
        </w:rPr>
        <w:t xml:space="preserve"> </w:t>
      </w:r>
      <w:r>
        <w:t>andra</w:t>
      </w:r>
      <w:r>
        <w:rPr>
          <w:spacing w:val="-7"/>
        </w:rPr>
        <w:t xml:space="preserve"> </w:t>
      </w:r>
      <w:r>
        <w:t>former</w:t>
      </w:r>
      <w:r>
        <w:rPr>
          <w:spacing w:val="-5"/>
        </w:rPr>
        <w:t xml:space="preserve"> </w:t>
      </w:r>
      <w:r>
        <w:t>av</w:t>
      </w:r>
      <w:r>
        <w:rPr>
          <w:spacing w:val="-4"/>
        </w:rPr>
        <w:t xml:space="preserve"> </w:t>
      </w:r>
      <w:r>
        <w:t>kommunikation</w:t>
      </w:r>
      <w:r>
        <w:rPr>
          <w:spacing w:val="-6"/>
        </w:rPr>
        <w:t xml:space="preserve"> </w:t>
      </w:r>
      <w:r>
        <w:t>mellan</w:t>
      </w:r>
      <w:r>
        <w:rPr>
          <w:spacing w:val="-8"/>
        </w:rPr>
        <w:t xml:space="preserve"> </w:t>
      </w:r>
      <w:r>
        <w:t>nätanslutningspunkter. Således omfattas t.ex. användning av tjänster för fast telefoni, mobiltelefoni, internet och e-post.</w:t>
      </w:r>
    </w:p>
    <w:p w14:paraId="6495DCCE" w14:textId="77777777" w:rsidR="008F15C5" w:rsidRDefault="008F15C5" w:rsidP="00DA3521">
      <w:pPr>
        <w:ind w:right="849"/>
      </w:pPr>
      <w:r>
        <w:t>Ett</w:t>
      </w:r>
      <w:r>
        <w:rPr>
          <w:spacing w:val="-4"/>
        </w:rPr>
        <w:t xml:space="preserve"> </w:t>
      </w:r>
      <w:r>
        <w:t>beslut</w:t>
      </w:r>
      <w:r>
        <w:rPr>
          <w:spacing w:val="-4"/>
        </w:rPr>
        <w:t xml:space="preserve"> </w:t>
      </w:r>
      <w:r>
        <w:t>om</w:t>
      </w:r>
      <w:r>
        <w:rPr>
          <w:spacing w:val="-4"/>
        </w:rPr>
        <w:t xml:space="preserve"> </w:t>
      </w:r>
      <w:r>
        <w:t>inskränkning</w:t>
      </w:r>
      <w:r>
        <w:rPr>
          <w:spacing w:val="-6"/>
        </w:rPr>
        <w:t xml:space="preserve"> </w:t>
      </w:r>
      <w:r>
        <w:t>förutsätter</w:t>
      </w:r>
      <w:r>
        <w:rPr>
          <w:spacing w:val="-4"/>
        </w:rPr>
        <w:t xml:space="preserve"> </w:t>
      </w:r>
      <w:r>
        <w:t>att</w:t>
      </w:r>
      <w:r>
        <w:rPr>
          <w:spacing w:val="-4"/>
        </w:rPr>
        <w:t xml:space="preserve"> </w:t>
      </w:r>
      <w:r>
        <w:t>det</w:t>
      </w:r>
      <w:r>
        <w:rPr>
          <w:spacing w:val="-4"/>
        </w:rPr>
        <w:t xml:space="preserve"> </w:t>
      </w:r>
      <w:r>
        <w:t>finns</w:t>
      </w:r>
      <w:r>
        <w:rPr>
          <w:spacing w:val="-4"/>
        </w:rPr>
        <w:t xml:space="preserve"> </w:t>
      </w:r>
      <w:r>
        <w:t>tydliga</w:t>
      </w:r>
      <w:r>
        <w:rPr>
          <w:spacing w:val="-5"/>
        </w:rPr>
        <w:t xml:space="preserve"> </w:t>
      </w:r>
      <w:r>
        <w:t>och</w:t>
      </w:r>
      <w:r>
        <w:rPr>
          <w:spacing w:val="-4"/>
        </w:rPr>
        <w:t xml:space="preserve"> </w:t>
      </w:r>
      <w:r>
        <w:t>konkreta omständigheter som visar att patienten har missbrukat sin rätt till användning</w:t>
      </w:r>
      <w:r>
        <w:rPr>
          <w:spacing w:val="-1"/>
        </w:rPr>
        <w:t xml:space="preserve"> </w:t>
      </w:r>
      <w:r>
        <w:t>av kommunikation eller att det finns välgrundad anledning att anta att ett sådant missbruk kommer att inträffa och att denna användning</w:t>
      </w:r>
      <w:r>
        <w:rPr>
          <w:spacing w:val="-7"/>
        </w:rPr>
        <w:t xml:space="preserve"> </w:t>
      </w:r>
      <w:r>
        <w:t>är</w:t>
      </w:r>
      <w:r>
        <w:rPr>
          <w:spacing w:val="-4"/>
        </w:rPr>
        <w:t xml:space="preserve"> </w:t>
      </w:r>
      <w:r>
        <w:t>till</w:t>
      </w:r>
      <w:r>
        <w:rPr>
          <w:spacing w:val="-4"/>
        </w:rPr>
        <w:t xml:space="preserve"> </w:t>
      </w:r>
      <w:r>
        <w:t>men</w:t>
      </w:r>
      <w:r>
        <w:rPr>
          <w:spacing w:val="-4"/>
        </w:rPr>
        <w:t xml:space="preserve"> </w:t>
      </w:r>
      <w:r>
        <w:t>för</w:t>
      </w:r>
      <w:r>
        <w:rPr>
          <w:spacing w:val="-4"/>
        </w:rPr>
        <w:t xml:space="preserve"> </w:t>
      </w:r>
      <w:r>
        <w:t>vården,</w:t>
      </w:r>
      <w:r>
        <w:rPr>
          <w:spacing w:val="-2"/>
        </w:rPr>
        <w:t xml:space="preserve"> </w:t>
      </w:r>
      <w:r>
        <w:t>rehabiliteringen</w:t>
      </w:r>
      <w:r>
        <w:rPr>
          <w:spacing w:val="-2"/>
        </w:rPr>
        <w:t xml:space="preserve"> </w:t>
      </w:r>
      <w:r>
        <w:t>eller</w:t>
      </w:r>
      <w:r>
        <w:rPr>
          <w:spacing w:val="-4"/>
        </w:rPr>
        <w:t xml:space="preserve"> </w:t>
      </w:r>
      <w:r>
        <w:t>är</w:t>
      </w:r>
      <w:r>
        <w:rPr>
          <w:spacing w:val="-4"/>
        </w:rPr>
        <w:t xml:space="preserve"> </w:t>
      </w:r>
      <w:r>
        <w:t>till</w:t>
      </w:r>
      <w:r>
        <w:rPr>
          <w:spacing w:val="-4"/>
        </w:rPr>
        <w:t xml:space="preserve"> </w:t>
      </w:r>
      <w:r>
        <w:t>skada</w:t>
      </w:r>
      <w:r>
        <w:rPr>
          <w:spacing w:val="-4"/>
        </w:rPr>
        <w:t xml:space="preserve"> </w:t>
      </w:r>
      <w:r>
        <w:t>för någon annan.</w:t>
      </w:r>
    </w:p>
    <w:p w14:paraId="3809C72F" w14:textId="77777777" w:rsidR="008F15C5" w:rsidRDefault="008F15C5" w:rsidP="00DA3521">
      <w:pPr>
        <w:ind w:right="849"/>
        <w:rPr>
          <w:spacing w:val="-2"/>
        </w:rPr>
      </w:pPr>
      <w:r>
        <w:t>Beslutet om inskränkning av elektronisk kommunikation ska vara skriftligt och gälla för en viss tid, dock enligt lag som längst 2 månader. Chefsöverläkaren ska genast besluta om att beslutet upphör om förutsättningarna</w:t>
      </w:r>
      <w:r>
        <w:rPr>
          <w:spacing w:val="-7"/>
        </w:rPr>
        <w:t xml:space="preserve"> för inskränkningen </w:t>
      </w:r>
      <w:r>
        <w:t>inte</w:t>
      </w:r>
      <w:r>
        <w:rPr>
          <w:spacing w:val="-6"/>
        </w:rPr>
        <w:t xml:space="preserve"> </w:t>
      </w:r>
      <w:r>
        <w:t>längre</w:t>
      </w:r>
      <w:r>
        <w:rPr>
          <w:spacing w:val="-6"/>
        </w:rPr>
        <w:t xml:space="preserve"> </w:t>
      </w:r>
      <w:r>
        <w:t>finns.</w:t>
      </w:r>
      <w:r>
        <w:rPr>
          <w:spacing w:val="-5"/>
        </w:rPr>
        <w:t xml:space="preserve"> </w:t>
      </w:r>
      <w:r>
        <w:t>Frågan</w:t>
      </w:r>
      <w:r>
        <w:rPr>
          <w:spacing w:val="-5"/>
        </w:rPr>
        <w:t xml:space="preserve"> </w:t>
      </w:r>
      <w:r>
        <w:t>om</w:t>
      </w:r>
      <w:r>
        <w:rPr>
          <w:spacing w:val="-5"/>
        </w:rPr>
        <w:t xml:space="preserve"> </w:t>
      </w:r>
      <w:r>
        <w:t>upphörande</w:t>
      </w:r>
      <w:r>
        <w:rPr>
          <w:spacing w:val="-6"/>
        </w:rPr>
        <w:t xml:space="preserve"> </w:t>
      </w:r>
      <w:r>
        <w:t>ska</w:t>
      </w:r>
      <w:r>
        <w:rPr>
          <w:spacing w:val="-6"/>
        </w:rPr>
        <w:t xml:space="preserve"> </w:t>
      </w:r>
      <w:r>
        <w:t xml:space="preserve">övervägas </w:t>
      </w:r>
      <w:r>
        <w:rPr>
          <w:spacing w:val="-2"/>
        </w:rPr>
        <w:t>fortlöpande.</w:t>
      </w:r>
    </w:p>
    <w:p w14:paraId="65C783DC" w14:textId="77777777" w:rsidR="003C5432" w:rsidRDefault="003C5432" w:rsidP="00DA3521">
      <w:pPr>
        <w:ind w:right="849"/>
      </w:pPr>
    </w:p>
    <w:p w14:paraId="36B74BE4" w14:textId="492B341B" w:rsidR="008F15C5" w:rsidRDefault="008F15C5" w:rsidP="00DA3521">
      <w:pPr>
        <w:ind w:right="849"/>
        <w:rPr>
          <w:spacing w:val="-1"/>
        </w:rPr>
      </w:pPr>
      <w:r>
        <w:lastRenderedPageBreak/>
        <w:t>Chefsöverläkaren ska</w:t>
      </w:r>
      <w:r>
        <w:rPr>
          <w:spacing w:val="-3"/>
        </w:rPr>
        <w:t xml:space="preserve"> upplysa patienten </w:t>
      </w:r>
      <w:r>
        <w:t>om möjligheten</w:t>
      </w:r>
      <w:r>
        <w:rPr>
          <w:spacing w:val="-1"/>
        </w:rPr>
        <w:t xml:space="preserve"> </w:t>
      </w:r>
      <w:r>
        <w:t>att</w:t>
      </w:r>
      <w:r>
        <w:rPr>
          <w:spacing w:val="-1"/>
        </w:rPr>
        <w:t xml:space="preserve"> </w:t>
      </w:r>
      <w:r>
        <w:t>överklaga</w:t>
      </w:r>
      <w:r>
        <w:rPr>
          <w:spacing w:val="-2"/>
        </w:rPr>
        <w:t xml:space="preserve"> </w:t>
      </w:r>
      <w:r>
        <w:t>beslutet</w:t>
      </w:r>
      <w:r w:rsidR="00DA3521">
        <w:t xml:space="preserve"> </w:t>
      </w:r>
      <w:r>
        <w:rPr>
          <w:spacing w:val="-1"/>
        </w:rPr>
        <w:t>till förvaltningsrätten.</w:t>
      </w:r>
    </w:p>
    <w:p w14:paraId="2EDBAD9D" w14:textId="76AA0AD2" w:rsidR="00C34897" w:rsidRDefault="008F15C5" w:rsidP="00DA3521">
      <w:pPr>
        <w:ind w:right="849"/>
      </w:pPr>
      <w:r>
        <w:t>Chefsöverläkaren har underrättelseskyldighet om beslutet till Inspektionen för vård och omsorg, Avdelning sydväst (IVO) och ska utan</w:t>
      </w:r>
      <w:r>
        <w:rPr>
          <w:spacing w:val="-5"/>
        </w:rPr>
        <w:t xml:space="preserve"> </w:t>
      </w:r>
      <w:r>
        <w:t>dröjsmål</w:t>
      </w:r>
      <w:r>
        <w:rPr>
          <w:spacing w:val="-5"/>
        </w:rPr>
        <w:t xml:space="preserve"> </w:t>
      </w:r>
      <w:r>
        <w:t>anmälas</w:t>
      </w:r>
      <w:r>
        <w:rPr>
          <w:spacing w:val="-5"/>
        </w:rPr>
        <w:t xml:space="preserve"> </w:t>
      </w:r>
      <w:r>
        <w:t>på</w:t>
      </w:r>
      <w:r>
        <w:rPr>
          <w:spacing w:val="-5"/>
        </w:rPr>
        <w:t xml:space="preserve"> </w:t>
      </w:r>
      <w:r>
        <w:t>blankett</w:t>
      </w:r>
      <w:r>
        <w:rPr>
          <w:spacing w:val="-3"/>
        </w:rPr>
        <w:t xml:space="preserve"> </w:t>
      </w:r>
      <w:hyperlink r:id="rId12" w:history="1">
        <w:r w:rsidR="00C34897">
          <w:rPr>
            <w:rStyle w:val="Hyperlnk"/>
          </w:rPr>
          <w:t>Inskränkning e-kommunikationstjänster eller övervakning försändelser (ivo.se)</w:t>
        </w:r>
      </w:hyperlink>
      <w:r w:rsidR="00161C35">
        <w:t>.</w:t>
      </w:r>
    </w:p>
    <w:sectPr w:rsidR="00C34897" w:rsidSect="00330F6A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8406CF" w14:textId="77777777" w:rsidR="00C40A31" w:rsidRDefault="00C40A31">
      <w:r>
        <w:separator/>
      </w:r>
    </w:p>
  </w:endnote>
  <w:endnote w:type="continuationSeparator" w:id="0">
    <w:p w14:paraId="3A6EC9FD" w14:textId="77777777" w:rsidR="00C40A31" w:rsidRDefault="00C40A31">
      <w:r>
        <w:continuationSeparator/>
      </w:r>
    </w:p>
  </w:endnote>
  <w:endnote w:type="continuationNotice" w:id="1">
    <w:p w14:paraId="29B0A21F" w14:textId="77777777" w:rsidR="00C40A31" w:rsidRDefault="00C40A3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D9AD45" w14:textId="77777777" w:rsidR="00C40A31" w:rsidRDefault="00C40A31"/>
  </w:footnote>
  <w:footnote w:type="continuationSeparator" w:id="0">
    <w:p w14:paraId="18470780" w14:textId="77777777" w:rsidR="00C40A31" w:rsidRDefault="00C40A31">
      <w:r>
        <w:continuationSeparator/>
      </w:r>
    </w:p>
  </w:footnote>
  <w:footnote w:type="continuationNotice" w:id="1">
    <w:p w14:paraId="6C754976" w14:textId="77777777" w:rsidR="00C40A31" w:rsidRDefault="00C40A3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3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C35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5432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18F9"/>
    <w:rsid w:val="00762EE0"/>
    <w:rsid w:val="00765C41"/>
    <w:rsid w:val="00771100"/>
    <w:rsid w:val="007759DD"/>
    <w:rsid w:val="0078609F"/>
    <w:rsid w:val="007917BA"/>
    <w:rsid w:val="0079661B"/>
    <w:rsid w:val="007A5C6F"/>
    <w:rsid w:val="007D4241"/>
    <w:rsid w:val="007D4317"/>
    <w:rsid w:val="007D4EA3"/>
    <w:rsid w:val="007D6B8D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946B6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15C5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12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34897"/>
    <w:rsid w:val="00C37461"/>
    <w:rsid w:val="00C40A31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3521"/>
    <w:rsid w:val="00DA65C4"/>
    <w:rsid w:val="00DC6B3B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Brdtext">
    <w:name w:val="Body Text"/>
    <w:basedOn w:val="Normal"/>
    <w:link w:val="BrdtextChar"/>
    <w:uiPriority w:val="1"/>
    <w:qFormat/>
    <w:rsid w:val="007618F9"/>
    <w:pPr>
      <w:widowControl w:val="0"/>
      <w:autoSpaceDE w:val="0"/>
      <w:autoSpaceDN w:val="0"/>
      <w:spacing w:after="0" w:line="240" w:lineRule="auto"/>
      <w:ind w:left="0" w:right="0"/>
    </w:pPr>
    <w:rPr>
      <w:rFonts w:ascii="Times New Roman" w:hAnsi="Times New Roman"/>
      <w:lang w:eastAsia="en-US"/>
    </w:rPr>
  </w:style>
  <w:style w:type="character" w:customStyle="1" w:styleId="BrdtextChar">
    <w:name w:val="Brödtext Char"/>
    <w:basedOn w:val="Standardstycketeckensnitt"/>
    <w:link w:val="Brdtext"/>
    <w:uiPriority w:val="1"/>
    <w:rsid w:val="007618F9"/>
    <w:rPr>
      <w:sz w:val="24"/>
      <w:szCs w:val="24"/>
      <w:lang w:eastAsia="en-US"/>
    </w:rPr>
  </w:style>
  <w:style w:type="character" w:styleId="AnvndHyperlnk">
    <w:name w:val="FollowedHyperlink"/>
    <w:basedOn w:val="Standardstycketeckensnitt"/>
    <w:uiPriority w:val="99"/>
    <w:semiHidden/>
    <w:unhideWhenUsed/>
    <w:rsid w:val="00161C35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www.ivo.se/globalassets/dokument/publikationer/blanketter/missbruks-tvangsvard/inskrankning-av-en-patients-ratt-att-anvanda-elektroniska-kommunikationstjanster-ivo-2022.pdf" TargetMode="External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343</Words>
  <Characters>1821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2160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Inskränkning av elektronisk kommunikation, Vuxenpsykiatri</dc:title>
  <dc:subject/>
  <dc:creator/>
  <keywords/>
  <lastModifiedBy/>
  <revision>1</revision>
  <dcterms:created xsi:type="dcterms:W3CDTF">2024-01-25T12:31:00.0000000Z</dcterms:created>
  <dcterms:modified xsi:type="dcterms:W3CDTF">2024-10-17T12:18:00.0000000Z</dcterms:modified>
</coreProperties>
</file>