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1010C13" w14:textId="3B9DD598" w:rsidR="00747066" w:rsidRDefault="00C97662" w:rsidP="00E53A20">
      <w:pPr>
        <w:pStyle w:val="Rubrik1"/>
      </w:pPr>
      <w:r w:rsidRPr="00C97662">
        <w:t>Läkemedelsbehandling och provtagningsrutiner Litium och Valproat</w:t>
      </w:r>
    </w:p>
    <w:p w14:paraId="537D78D8" w14:textId="77777777" w:rsidR="00E53A20" w:rsidRPr="00E53A20" w:rsidRDefault="00E53A20" w:rsidP="00E53A20">
      <w:pPr>
        <w:pStyle w:val="Rubrik2"/>
      </w:pPr>
      <w:r w:rsidRPr="00E53A20">
        <w:t>Manual för Litiumbehandling</w:t>
      </w:r>
    </w:p>
    <w:p w14:paraId="0F91D841" w14:textId="08A01A72" w:rsidR="00E53A20" w:rsidRDefault="00E53A20" w:rsidP="00783F25">
      <w:r>
        <w:t>Litium är ett grundämne som i stort sett inte finns i kroppen i vanliga fall. Litium har fått ökat vetenskaplig</w:t>
      </w:r>
      <w:r w:rsidR="00783F25">
        <w:t>t</w:t>
      </w:r>
      <w:r>
        <w:t xml:space="preserve"> stöd för behandling av bipolär sjukdom. Används också som tilläggsbehandling för </w:t>
      </w:r>
      <w:proofErr w:type="spellStart"/>
      <w:r>
        <w:t>unipolär</w:t>
      </w:r>
      <w:proofErr w:type="spellEnd"/>
      <w:r>
        <w:t xml:space="preserve"> depression, för att förebygga cykloid psykos och provas ibland mot emotionell instabil personlighetsstörning (IPS) och patologisk impulsivitet.</w:t>
      </w:r>
    </w:p>
    <w:p w14:paraId="6921EAA9" w14:textId="77777777" w:rsidR="00E53A20" w:rsidRDefault="00E53A20" w:rsidP="00783F25">
      <w:r>
        <w:t>Linjärt doskoncentrationssamband, dvs dubbel dos ger dubbel koncentration.</w:t>
      </w:r>
    </w:p>
    <w:p w14:paraId="5534464F" w14:textId="77777777" w:rsidR="00E53A20" w:rsidRDefault="00E53A20" w:rsidP="00783F25">
      <w:r>
        <w:t xml:space="preserve">Målkoncentration vid rutinmässig Litiuminställning: </w:t>
      </w:r>
      <w:proofErr w:type="gramStart"/>
      <w:r>
        <w:t>0,5-0,69</w:t>
      </w:r>
      <w:proofErr w:type="gramEnd"/>
      <w:r>
        <w:t xml:space="preserve"> </w:t>
      </w:r>
      <w:proofErr w:type="spellStart"/>
      <w:r>
        <w:t>mmol</w:t>
      </w:r>
      <w:proofErr w:type="spellEnd"/>
      <w:r>
        <w:t xml:space="preserve">/l. Kan behöva höjas till 0,8 i vissa fall och vid akut mani kan man behöva en koncentration på 1,0 </w:t>
      </w:r>
      <w:proofErr w:type="spellStart"/>
      <w:r>
        <w:t>mmol</w:t>
      </w:r>
      <w:proofErr w:type="spellEnd"/>
      <w:r>
        <w:t>/l.</w:t>
      </w:r>
    </w:p>
    <w:p w14:paraId="517A3AA3" w14:textId="77777777" w:rsidR="00E53A20" w:rsidRDefault="00E53A20" w:rsidP="00783F25">
      <w:r>
        <w:t>Litiumprovtagning ska ske tidigast efter en veckas stabil dosering och 12 (+ -1) timmar efter senast intagen dos, dvs på morgonen innan morgondosen tagits.</w:t>
      </w:r>
    </w:p>
    <w:p w14:paraId="5928554E" w14:textId="77777777" w:rsidR="00E53A20" w:rsidRDefault="00E53A20" w:rsidP="00C52411">
      <w:pPr>
        <w:pStyle w:val="Rubrik3"/>
      </w:pPr>
      <w:r>
        <w:t>Intoxikationsrisk </w:t>
      </w:r>
    </w:p>
    <w:p w14:paraId="7B5D8639" w14:textId="77777777" w:rsidR="00E53A20" w:rsidRDefault="00E53A20" w:rsidP="00783F25">
      <w:r>
        <w:t xml:space="preserve">Vaksamhet för Litiumförgiftning vid nivåer över 1,3 </w:t>
      </w:r>
      <w:proofErr w:type="spellStart"/>
      <w:r>
        <w:t>mmol</w:t>
      </w:r>
      <w:proofErr w:type="spellEnd"/>
      <w:r>
        <w:t xml:space="preserve">/l. </w:t>
      </w:r>
      <w:proofErr w:type="gramStart"/>
      <w:r>
        <w:t>1,5 -2,5</w:t>
      </w:r>
      <w:proofErr w:type="gramEnd"/>
      <w:r>
        <w:t xml:space="preserve"> </w:t>
      </w:r>
      <w:proofErr w:type="spellStart"/>
      <w:r>
        <w:t>mmol</w:t>
      </w:r>
      <w:proofErr w:type="spellEnd"/>
      <w:r>
        <w:t xml:space="preserve">/l ger lindrig-måttlig intoxikation med symtom av slöhet, </w:t>
      </w:r>
      <w:proofErr w:type="spellStart"/>
      <w:r>
        <w:t>tremor</w:t>
      </w:r>
      <w:proofErr w:type="spellEnd"/>
      <w:r>
        <w:t>, yrsel, sluddrigt tal, diarré, muskelryckningar. Koncentrationer därutöver ger allvarlig intoxikation med risk för konfusion, agitation, njurskador, hallucinationer, kramper, koma och hjärtrytmrubbningar.</w:t>
      </w:r>
    </w:p>
    <w:p w14:paraId="4DF32055" w14:textId="0A137B47" w:rsidR="00E53A20" w:rsidRDefault="00E53A20" w:rsidP="00783F25">
      <w:r>
        <w:t>För att undvika intoxikation ska alla patienter instrueras att tillfälligt utsätta Litium under några dagar vid risk för intorkning eller minskad njurfunktion (dvs hög feber, njursjukdom, sv</w:t>
      </w:r>
      <w:r w:rsidR="005F6D8A">
        <w:t>å</w:t>
      </w:r>
      <w:r>
        <w:t>r diarré, vattenbrist). De ska instrueras att aldrig ta andra mediciner utan att fått dessa ordinerade av läkare som känner till att de tar Litium (Paracetamol går bra).</w:t>
      </w:r>
    </w:p>
    <w:p w14:paraId="032C3ED0" w14:textId="77777777" w:rsidR="00E53A20" w:rsidRDefault="00E53A20" w:rsidP="005F6D8A">
      <w:r>
        <w:lastRenderedPageBreak/>
        <w:t xml:space="preserve">Verkningsmekanismen är oklar. Sannolik mekanism är att Litium </w:t>
      </w:r>
      <w:proofErr w:type="spellStart"/>
      <w:r>
        <w:t>uppreglerar</w:t>
      </w:r>
      <w:proofErr w:type="spellEnd"/>
      <w:r>
        <w:t xml:space="preserve"> gener som kodar för cellskyddande proteiner och celltillväxt så att hjärncellerna blir fler, starkare och mer stabila (den </w:t>
      </w:r>
      <w:proofErr w:type="spellStart"/>
      <w:r>
        <w:t>neuroprotektiva</w:t>
      </w:r>
      <w:proofErr w:type="spellEnd"/>
      <w:r>
        <w:t xml:space="preserve"> hypotesen).</w:t>
      </w:r>
    </w:p>
    <w:p w14:paraId="5372748C" w14:textId="77777777" w:rsidR="00E53A20" w:rsidRPr="005F6D8A" w:rsidRDefault="00E53A20" w:rsidP="00C52411">
      <w:pPr>
        <w:pStyle w:val="Rubrik3"/>
      </w:pPr>
      <w:r w:rsidRPr="005F6D8A">
        <w:t>Inställning av Litiumdos</w:t>
      </w:r>
    </w:p>
    <w:p w14:paraId="68EE0789" w14:textId="77777777" w:rsidR="00E53A20" w:rsidRDefault="00E53A20" w:rsidP="005F6D8A">
      <w:r>
        <w:t>Ansvarig läkare har till uppgift att utreda patienten, meddela diagnos, motivera till samt ordinera och initiera behandlingen med Litium. Detta innefattar:</w:t>
      </w:r>
    </w:p>
    <w:p w14:paraId="0EA3FA19" w14:textId="77777777" w:rsidR="00E53A20" w:rsidRDefault="00E53A20" w:rsidP="005F6D8A">
      <w:pPr>
        <w:pStyle w:val="Punktlista"/>
      </w:pPr>
      <w:r>
        <w:t>psykiatrisk bedömning med indikation för Litiumbehandlingen</w:t>
      </w:r>
    </w:p>
    <w:p w14:paraId="43BE5711" w14:textId="77777777" w:rsidR="00E53A20" w:rsidRDefault="00E53A20" w:rsidP="005F6D8A">
      <w:pPr>
        <w:pStyle w:val="Punktlista"/>
      </w:pPr>
      <w:r>
        <w:t>provtagning inför Litiuminsättning enligt klinikens rutiner</w:t>
      </w:r>
    </w:p>
    <w:p w14:paraId="781EF3AD" w14:textId="77777777" w:rsidR="00E53A20" w:rsidRDefault="00E53A20" w:rsidP="005F6D8A">
      <w:pPr>
        <w:pStyle w:val="Punktlista"/>
      </w:pPr>
      <w:r>
        <w:t>genomgång av möjliga komplicerande faktorer (</w:t>
      </w:r>
      <w:proofErr w:type="gramStart"/>
      <w:r>
        <w:t>t.ex.</w:t>
      </w:r>
      <w:proofErr w:type="gramEnd"/>
      <w:r>
        <w:t xml:space="preserve"> njursjukdom, tidigare biverkningar av litium, pågående psykiatriskt tillstånd som kräver speciell handläggning, hjärtsjukdom, hudsjukdom mm) som kan göra att Litiuminställning inte bör delegeras.</w:t>
      </w:r>
    </w:p>
    <w:p w14:paraId="56771F25" w14:textId="77777777" w:rsidR="00E53A20" w:rsidRDefault="00E53A20" w:rsidP="005F6D8A">
      <w:r>
        <w:t xml:space="preserve">Om inga skäl talar emot delegation av Litiuminställning ska läkaren initiera behandling med Tabl </w:t>
      </w:r>
      <w:proofErr w:type="spellStart"/>
      <w:r>
        <w:t>Lithionit</w:t>
      </w:r>
      <w:proofErr w:type="spellEnd"/>
      <w:r>
        <w:t xml:space="preserve"> 42 mg 1+0+1 och tillse att S-Litium kontrolleras en vecka senare. Läkaren informerar bipolärsjuksköterskan som ordnar med en återbesökstid för patienten cirka </w:t>
      </w:r>
      <w:proofErr w:type="gramStart"/>
      <w:r>
        <w:t>10-14</w:t>
      </w:r>
      <w:proofErr w:type="gramEnd"/>
      <w:r>
        <w:t xml:space="preserve"> dagar senare (så att provsvar på S-Litium föreligger).</w:t>
      </w:r>
    </w:p>
    <w:p w14:paraId="32F2AC7A" w14:textId="77777777" w:rsidR="00E53A20" w:rsidRPr="00C52411" w:rsidRDefault="00E53A20" w:rsidP="00C52411">
      <w:pPr>
        <w:pStyle w:val="Rubrik3"/>
      </w:pPr>
      <w:r w:rsidRPr="00C52411">
        <w:t xml:space="preserve">Målkoncentration: </w:t>
      </w:r>
      <w:proofErr w:type="gramStart"/>
      <w:r w:rsidRPr="00C52411">
        <w:t>0,5-0,69</w:t>
      </w:r>
      <w:proofErr w:type="gramEnd"/>
      <w:r w:rsidRPr="00C52411">
        <w:t xml:space="preserve"> </w:t>
      </w:r>
      <w:proofErr w:type="spellStart"/>
      <w:r w:rsidRPr="00C52411">
        <w:t>mmol</w:t>
      </w:r>
      <w:proofErr w:type="spellEnd"/>
      <w:r w:rsidRPr="00C52411">
        <w:t>/L</w:t>
      </w:r>
    </w:p>
    <w:p w14:paraId="22CF9C97" w14:textId="77777777" w:rsidR="00E53A20" w:rsidRDefault="00E53A20" w:rsidP="003C16A0">
      <w:r>
        <w:t>(S-Litium upp till 0,8 kan godtas om patienten ej har biverkningar)</w:t>
      </w:r>
    </w:p>
    <w:p w14:paraId="6AF6F99F" w14:textId="102720F8" w:rsidR="00A34EC2" w:rsidRDefault="009A2971" w:rsidP="003C16A0">
      <w:r>
        <w:t>Specialistläkare kan bedöma att koncentration som överskrider 0,8 är nödvänd</w:t>
      </w:r>
      <w:r w:rsidR="00A62425">
        <w:t>i</w:t>
      </w:r>
      <w:r>
        <w:t xml:space="preserve">g och </w:t>
      </w:r>
      <w:r w:rsidR="00A62425">
        <w:t xml:space="preserve">detta ska dokumenteras i patientens journal. </w:t>
      </w:r>
    </w:p>
    <w:p w14:paraId="346C505D" w14:textId="77777777" w:rsidR="00E53A20" w:rsidRPr="00914555" w:rsidRDefault="00E53A20" w:rsidP="00914555">
      <w:pPr>
        <w:spacing w:before="240" w:after="0"/>
        <w:rPr>
          <w:b/>
          <w:bCs/>
        </w:rPr>
      </w:pPr>
      <w:r w:rsidRPr="00914555">
        <w:rPr>
          <w:b/>
          <w:bCs/>
        </w:rPr>
        <w:t>Dosökningsschema:</w:t>
      </w:r>
    </w:p>
    <w:p w14:paraId="3A53C625" w14:textId="77777777" w:rsidR="00E53A20" w:rsidRDefault="00E53A20" w:rsidP="00914555">
      <w:r>
        <w:t xml:space="preserve">Vid första återbesök när patienten tagit Tabl </w:t>
      </w:r>
      <w:proofErr w:type="spellStart"/>
      <w:r>
        <w:t>Lithionit</w:t>
      </w:r>
      <w:proofErr w:type="spellEnd"/>
      <w:r>
        <w:t xml:space="preserve"> 42 mg 1+0+1 i minst 7 dagar…</w:t>
      </w:r>
    </w:p>
    <w:p w14:paraId="3AE5426C" w14:textId="77777777" w:rsidR="00E53A20" w:rsidRDefault="00E53A20" w:rsidP="00914555">
      <w:pPr>
        <w:pStyle w:val="Punktlista"/>
      </w:pPr>
      <w:r>
        <w:t xml:space="preserve">… efterfråga </w:t>
      </w:r>
      <w:proofErr w:type="spellStart"/>
      <w:r>
        <w:t>compliance</w:t>
      </w:r>
      <w:proofErr w:type="spellEnd"/>
    </w:p>
    <w:p w14:paraId="0831FFEE" w14:textId="77777777" w:rsidR="00E53A20" w:rsidRDefault="00E53A20" w:rsidP="00914555">
      <w:pPr>
        <w:pStyle w:val="Punktlista"/>
      </w:pPr>
      <w:r>
        <w:t>… efterfråga eventuella obehag (biverkningar?)</w:t>
      </w:r>
    </w:p>
    <w:p w14:paraId="01340703" w14:textId="77777777" w:rsidR="00E53A20" w:rsidRDefault="00E53A20" w:rsidP="00914555">
      <w:pPr>
        <w:pStyle w:val="Punktlista"/>
      </w:pPr>
      <w:r>
        <w:t xml:space="preserve">om S-Litium är &lt;0,21 höjs dosen </w:t>
      </w:r>
      <w:proofErr w:type="spellStart"/>
      <w:r>
        <w:t>Lithionit</w:t>
      </w:r>
      <w:proofErr w:type="spellEnd"/>
      <w:r>
        <w:t xml:space="preserve"> till 2+0+2</w:t>
      </w:r>
    </w:p>
    <w:p w14:paraId="43FD9E62" w14:textId="77777777" w:rsidR="00E53A20" w:rsidRDefault="00E53A20" w:rsidP="00914555">
      <w:pPr>
        <w:pStyle w:val="Punktlista"/>
      </w:pPr>
      <w:r>
        <w:t xml:space="preserve">om S-Litium är </w:t>
      </w:r>
      <w:proofErr w:type="gramStart"/>
      <w:r>
        <w:t>0,21-0,49</w:t>
      </w:r>
      <w:proofErr w:type="gramEnd"/>
      <w:r>
        <w:t xml:space="preserve"> höjs dosen </w:t>
      </w:r>
      <w:proofErr w:type="spellStart"/>
      <w:r>
        <w:t>Lithionit</w:t>
      </w:r>
      <w:proofErr w:type="spellEnd"/>
      <w:r>
        <w:t xml:space="preserve"> till 2+0+1</w:t>
      </w:r>
    </w:p>
    <w:p w14:paraId="73B1FA74" w14:textId="77777777" w:rsidR="00E53A20" w:rsidRDefault="00E53A20" w:rsidP="00914555">
      <w:pPr>
        <w:pStyle w:val="Punktlista"/>
      </w:pPr>
      <w:r>
        <w:t xml:space="preserve">om S-Litium är </w:t>
      </w:r>
      <w:proofErr w:type="gramStart"/>
      <w:r>
        <w:t>0,5-0,69</w:t>
      </w:r>
      <w:proofErr w:type="gramEnd"/>
      <w:r>
        <w:t xml:space="preserve"> (upp till 0,8 kan tolereras) fortsätter man med dosen 1+0+1</w:t>
      </w:r>
    </w:p>
    <w:p w14:paraId="0EC747A1" w14:textId="50BDF693" w:rsidR="00E53A20" w:rsidRDefault="00E53A20" w:rsidP="00914555">
      <w:r>
        <w:t>S-Litium tas en vecka senare och nytt återbesök bokas cirka 3 dagar efter provtagningen</w:t>
      </w:r>
      <w:r w:rsidR="00914555">
        <w:t xml:space="preserve"> </w:t>
      </w:r>
      <w:r>
        <w:t>(om S-Litium &gt;0,7 tas S-Litium inom 3 dagar).</w:t>
      </w:r>
    </w:p>
    <w:p w14:paraId="242D5FBB" w14:textId="414B4D67" w:rsidR="00E53A20" w:rsidRDefault="00E53A20" w:rsidP="00914555">
      <w:pPr>
        <w:spacing w:before="240"/>
      </w:pPr>
      <w:r>
        <w:t>Vid andra återbesök</w:t>
      </w:r>
      <w:r w:rsidR="00914555">
        <w:t>et</w:t>
      </w:r>
      <w:r>
        <w:t>…</w:t>
      </w:r>
    </w:p>
    <w:p w14:paraId="7BBE3C68" w14:textId="77777777" w:rsidR="00E53A20" w:rsidRDefault="00E53A20" w:rsidP="00914555">
      <w:pPr>
        <w:pStyle w:val="Punktlista"/>
      </w:pPr>
      <w:r>
        <w:lastRenderedPageBreak/>
        <w:t xml:space="preserve">… efterfråga </w:t>
      </w:r>
      <w:proofErr w:type="spellStart"/>
      <w:r>
        <w:t>compliance</w:t>
      </w:r>
      <w:proofErr w:type="spellEnd"/>
    </w:p>
    <w:p w14:paraId="4C2059D1" w14:textId="77777777" w:rsidR="00E53A20" w:rsidRDefault="00E53A20" w:rsidP="00914555">
      <w:pPr>
        <w:pStyle w:val="Punktlista"/>
      </w:pPr>
      <w:r>
        <w:t>… efterfråga eventuella biverkningar</w:t>
      </w:r>
    </w:p>
    <w:p w14:paraId="10228078" w14:textId="77777777" w:rsidR="00E53A20" w:rsidRDefault="00E53A20" w:rsidP="00914555">
      <w:pPr>
        <w:pStyle w:val="Punktlista"/>
      </w:pPr>
      <w:r>
        <w:t>om S-Litium är &lt;0,30 höjs dosen med ytterligare 2 tabl/dygn (uppdelat morgon och kväll)</w:t>
      </w:r>
    </w:p>
    <w:p w14:paraId="16A73165" w14:textId="77777777" w:rsidR="00E53A20" w:rsidRDefault="00E53A20" w:rsidP="00914555">
      <w:pPr>
        <w:pStyle w:val="Punktlista"/>
      </w:pPr>
      <w:r>
        <w:t xml:space="preserve">om S-Litium är </w:t>
      </w:r>
      <w:proofErr w:type="gramStart"/>
      <w:r>
        <w:t>0,30- 0,49</w:t>
      </w:r>
      <w:proofErr w:type="gramEnd"/>
      <w:r>
        <w:t xml:space="preserve"> höjs dosen med 1 tabl/dygn förutom om koncentrationen är &lt;0,4 och </w:t>
      </w:r>
      <w:proofErr w:type="spellStart"/>
      <w:r>
        <w:t>Lithionitdosen</w:t>
      </w:r>
      <w:proofErr w:type="spellEnd"/>
      <w:r>
        <w:t xml:space="preserve"> är 2+0+2, då dosen höjs med 2 tabl/dygn (uppdelat morgon och kväll)</w:t>
      </w:r>
    </w:p>
    <w:p w14:paraId="271EB334" w14:textId="77777777" w:rsidR="00E53A20" w:rsidRDefault="00E53A20" w:rsidP="00914555">
      <w:pPr>
        <w:pStyle w:val="Punktlista"/>
      </w:pPr>
      <w:r>
        <w:t>om S-Litium &gt;0,8 eller om misstänkta biverkningar föreligger kontaktas läkaren för ställningstagande till dosjustering.</w:t>
      </w:r>
    </w:p>
    <w:p w14:paraId="6E4AED3C" w14:textId="2841CA30" w:rsidR="00E53A20" w:rsidRDefault="00E53A20" w:rsidP="00914555">
      <w:r>
        <w:t>Nytt S-Litium tas efter en vecka och återbesök tre dagar därefter.</w:t>
      </w:r>
      <w:r w:rsidR="00914555">
        <w:t xml:space="preserve"> </w:t>
      </w:r>
      <w:r>
        <w:t xml:space="preserve">Därefter höjs </w:t>
      </w:r>
      <w:proofErr w:type="spellStart"/>
      <w:r>
        <w:t>Lithionitdosen</w:t>
      </w:r>
      <w:proofErr w:type="spellEnd"/>
      <w:r>
        <w:t xml:space="preserve"> vid behov med 1 tabl/vecka om S-Litium ej uppnått målkoncentrationen. Gränsvärden bör diskuteras med ansvarig läkare innan dosjustering. Dostitreringen är avslutad när patienten har haft S-Litium inom målkoncentrationen tre provtagningar i rad med cirka en veckas mellanrum.</w:t>
      </w:r>
    </w:p>
    <w:p w14:paraId="7151DAEA" w14:textId="69F63A26" w:rsidR="00E53A20" w:rsidRDefault="00E53A20" w:rsidP="00914555">
      <w:r>
        <w:t>När målkoncentrationen uppnåtts ska patienten bokas för ett återbesök till ansvarig läkare för uppföljning och utvärdering av behov av ytterligare medicinska och pedagogiska/psykologiska behandlingsinsatser.</w:t>
      </w:r>
    </w:p>
    <w:p w14:paraId="6C484588" w14:textId="77777777" w:rsidR="00E53A20" w:rsidRPr="00C52411" w:rsidRDefault="00E53A20" w:rsidP="00C52411">
      <w:pPr>
        <w:pStyle w:val="Rubrik2"/>
      </w:pPr>
      <w:r w:rsidRPr="00C52411">
        <w:t>Provtagningsrutiner för Litium och Valproat</w:t>
      </w:r>
    </w:p>
    <w:p w14:paraId="2BA05C6E" w14:textId="77777777" w:rsidR="00E53A20" w:rsidRPr="00C52411" w:rsidRDefault="00E53A20" w:rsidP="00C52411">
      <w:pPr>
        <w:pStyle w:val="Rubrik3"/>
      </w:pPr>
      <w:r w:rsidRPr="00C52411">
        <w:t>Inför Litiumbehandling </w:t>
      </w:r>
    </w:p>
    <w:p w14:paraId="4206C2B3" w14:textId="77777777" w:rsidR="00E53A20" w:rsidRDefault="00E53A20" w:rsidP="00C52411">
      <w:r>
        <w:t xml:space="preserve">TSH, </w:t>
      </w:r>
      <w:proofErr w:type="spellStart"/>
      <w:r>
        <w:t>tyroxin</w:t>
      </w:r>
      <w:proofErr w:type="spellEnd"/>
      <w:r>
        <w:t>, p-glukos, p-</w:t>
      </w:r>
      <w:proofErr w:type="spellStart"/>
      <w:r>
        <w:t>kreatinin</w:t>
      </w:r>
      <w:proofErr w:type="spellEnd"/>
      <w:r>
        <w:t>, p-albumin, p-calcium, f-triglycerider, f-kolesterol, f-HDL, f-LDL, natrium, kalium, urinsticka</w:t>
      </w:r>
    </w:p>
    <w:p w14:paraId="18682598" w14:textId="77777777" w:rsidR="00E53A20" w:rsidRDefault="00E53A20" w:rsidP="00C52411">
      <w:pPr>
        <w:pStyle w:val="Rubrik3"/>
      </w:pPr>
      <w:r>
        <w:t>För metabol screening (utgångsvärde)</w:t>
      </w:r>
    </w:p>
    <w:p w14:paraId="6E770684" w14:textId="77777777" w:rsidR="00E53A20" w:rsidRDefault="00E53A20" w:rsidP="00C52411">
      <w:r>
        <w:t>f-Triglycerid, f-LDL, f-HDL, f-Kolesterol, längd, vikt, P-glukos, BMI, blodtryck, urinsticka.</w:t>
      </w:r>
    </w:p>
    <w:p w14:paraId="6741EF09" w14:textId="77777777" w:rsidR="00E53A20" w:rsidRPr="00C52411" w:rsidRDefault="00E53A20" w:rsidP="00C52411">
      <w:pPr>
        <w:pStyle w:val="Rubrik3"/>
      </w:pPr>
      <w:r w:rsidRPr="00C52411">
        <w:t>Vid insättande av Litium</w:t>
      </w:r>
    </w:p>
    <w:p w14:paraId="677C1A7D" w14:textId="77777777" w:rsidR="00E53A20" w:rsidRDefault="00E53A20" w:rsidP="00C52411">
      <w:r>
        <w:t>Vid misstanke om hjärt-, njur- eller hudsjukdom (psoriasis, acne), överväg konsultation med specialist på respektive område innan insättande av litium. EKG vid ålder &gt;40 år.</w:t>
      </w:r>
    </w:p>
    <w:p w14:paraId="1F110EAB" w14:textId="77777777" w:rsidR="00E53A20" w:rsidRDefault="00E53A20" w:rsidP="00C52411">
      <w:r>
        <w:t xml:space="preserve">Under inställningsfas: S-Litium varje vecka till stabil nivå inom det terapeutiska intervallet </w:t>
      </w:r>
      <w:proofErr w:type="gramStart"/>
      <w:r>
        <w:t>0,5-0,9</w:t>
      </w:r>
      <w:proofErr w:type="gramEnd"/>
      <w:r>
        <w:t xml:space="preserve"> </w:t>
      </w:r>
      <w:proofErr w:type="spellStart"/>
      <w:r>
        <w:t>mmol</w:t>
      </w:r>
      <w:proofErr w:type="spellEnd"/>
      <w:r>
        <w:t>/l (3 litiumvärden på samma nivå).</w:t>
      </w:r>
    </w:p>
    <w:p w14:paraId="6C6C871E" w14:textId="77777777" w:rsidR="00E53A20" w:rsidRDefault="00E53A20" w:rsidP="00C52411">
      <w:r>
        <w:t>Efter 2 och 3 månader: Serum-Litium</w:t>
      </w:r>
    </w:p>
    <w:p w14:paraId="1A88714D" w14:textId="77777777" w:rsidR="00E53A20" w:rsidRDefault="00E53A20" w:rsidP="00C52411">
      <w:r>
        <w:t>Efter 4 och 8 månader: S-Litium, TSH, p-glukos, p-</w:t>
      </w:r>
      <w:proofErr w:type="spellStart"/>
      <w:r>
        <w:t>kreatinin</w:t>
      </w:r>
      <w:proofErr w:type="spellEnd"/>
      <w:r>
        <w:t>, p-calcium, p-albumin</w:t>
      </w:r>
    </w:p>
    <w:p w14:paraId="7F6F63EC" w14:textId="77777777" w:rsidR="00E53A20" w:rsidRDefault="00E53A20" w:rsidP="00C52411">
      <w:r>
        <w:lastRenderedPageBreak/>
        <w:t xml:space="preserve">Efter 12 månader: S-Litium, TSH, </w:t>
      </w:r>
      <w:proofErr w:type="spellStart"/>
      <w:r>
        <w:t>tyroxin</w:t>
      </w:r>
      <w:proofErr w:type="spellEnd"/>
      <w:r>
        <w:t>, p-</w:t>
      </w:r>
      <w:proofErr w:type="spellStart"/>
      <w:r>
        <w:t>kreatinin</w:t>
      </w:r>
      <w:proofErr w:type="spellEnd"/>
      <w:r>
        <w:t>, p-calcium, p-albumin, p-glukos, blodtryck, vikt och urinsticka</w:t>
      </w:r>
    </w:p>
    <w:p w14:paraId="6F59437A" w14:textId="77777777" w:rsidR="00E53A20" w:rsidRDefault="00E53A20" w:rsidP="00C52411">
      <w:r>
        <w:t>Därefter: S-Litium, TSH och p-</w:t>
      </w:r>
      <w:proofErr w:type="spellStart"/>
      <w:r>
        <w:t>kreatinin</w:t>
      </w:r>
      <w:proofErr w:type="spellEnd"/>
      <w:r>
        <w:t xml:space="preserve"> var 4:e månad och varje år dessutom: </w:t>
      </w:r>
      <w:proofErr w:type="spellStart"/>
      <w:r>
        <w:t>tyroxin</w:t>
      </w:r>
      <w:proofErr w:type="spellEnd"/>
      <w:r>
        <w:t>, p-</w:t>
      </w:r>
      <w:proofErr w:type="spellStart"/>
      <w:r>
        <w:t>kreatinin</w:t>
      </w:r>
      <w:proofErr w:type="spellEnd"/>
      <w:r>
        <w:t>, p-calcium, p-albumin, p-glukos, blodtryck, vikt och urinsticka</w:t>
      </w:r>
    </w:p>
    <w:p w14:paraId="4E7E8B24" w14:textId="77777777" w:rsidR="00E53A20" w:rsidRDefault="0088039F" w:rsidP="00C52411">
      <w:hyperlink r:id="rId12" w:tooltip="Tabell Litium" w:history="1">
        <w:r w:rsidR="00E53A20">
          <w:rPr>
            <w:rStyle w:val="Hyperlnk"/>
            <w:rFonts w:ascii="inherit" w:hAnsi="inherit" w:cs="Helvetica"/>
            <w:color w:val="005C95"/>
          </w:rPr>
          <w:t>Tabell för rutinprovtagning under första året med litiumbehandling</w:t>
        </w:r>
      </w:hyperlink>
    </w:p>
    <w:p w14:paraId="67ACCC9A" w14:textId="77777777" w:rsidR="00E53A20" w:rsidRDefault="0088039F" w:rsidP="00C52411">
      <w:hyperlink r:id="rId13" w:tooltip="Tabell Litium" w:history="1">
        <w:r w:rsidR="00E53A20">
          <w:rPr>
            <w:rStyle w:val="Hyperlnk"/>
            <w:rFonts w:ascii="inherit" w:hAnsi="inherit" w:cs="Helvetica"/>
            <w:color w:val="005C95"/>
          </w:rPr>
          <w:t>Tabell för rutinprovtagning efter första året med litiumbehandling</w:t>
        </w:r>
      </w:hyperlink>
    </w:p>
    <w:p w14:paraId="6B3218B1" w14:textId="77777777" w:rsidR="00E53A20" w:rsidRPr="00BE1C7D" w:rsidRDefault="00E53A20" w:rsidP="00BE1C7D">
      <w:pPr>
        <w:pStyle w:val="Rubrik3"/>
      </w:pPr>
      <w:r w:rsidRPr="00BE1C7D">
        <w:t>Vid insättning av Valproat</w:t>
      </w:r>
    </w:p>
    <w:p w14:paraId="7BEA3BF4" w14:textId="77777777" w:rsidR="00E53A20" w:rsidRDefault="00E53A20" w:rsidP="00BE1C7D">
      <w:r>
        <w:t xml:space="preserve">Inför </w:t>
      </w:r>
      <w:proofErr w:type="spellStart"/>
      <w:r>
        <w:t>Valproatbehandling</w:t>
      </w:r>
      <w:proofErr w:type="spellEnd"/>
      <w:r>
        <w:t xml:space="preserve"> tas: blodstatus, CRP, ASAT, ALAT, ALP, GT</w:t>
      </w:r>
    </w:p>
    <w:p w14:paraId="640AF101" w14:textId="77777777" w:rsidR="00E53A20" w:rsidRDefault="00E53A20" w:rsidP="00BE1C7D">
      <w:r>
        <w:t>Vid insättande av Valproat:</w:t>
      </w:r>
    </w:p>
    <w:p w14:paraId="12CCACD3" w14:textId="77777777" w:rsidR="00E53A20" w:rsidRDefault="00E53A20" w:rsidP="00BE1C7D">
      <w:r>
        <w:t>Vid misstanke om lever- eller blodsjukdom överväg konsultation med specialist på respektive område innan insättande av Valproat.</w:t>
      </w:r>
    </w:p>
    <w:p w14:paraId="510EDEFC" w14:textId="77777777" w:rsidR="00E53A20" w:rsidRDefault="00E53A20" w:rsidP="00BE1C7D">
      <w:r>
        <w:t>Efter 2 veckor: blodstatus, ASAT, ALAT, GT, ALP, S-amylas, S-Valproat</w:t>
      </w:r>
    </w:p>
    <w:p w14:paraId="428D5C90" w14:textId="77777777" w:rsidR="00E53A20" w:rsidRDefault="00E53A20" w:rsidP="00BE1C7D">
      <w:r>
        <w:t>Efter 2 och 6 månader: blodstatus, ASAT, ALAT, ALP, GT. S-Valproat bara vid behov.</w:t>
      </w:r>
    </w:p>
    <w:p w14:paraId="4424D32F" w14:textId="77777777" w:rsidR="00E53A20" w:rsidRDefault="00E53A20" w:rsidP="00BE1C7D">
      <w:pPr>
        <w:pStyle w:val="Rubrik2"/>
      </w:pPr>
      <w:r>
        <w:t>Provtagning vid övriga stämningsstabiliserande farmaka</w:t>
      </w:r>
    </w:p>
    <w:p w14:paraId="53C687DE" w14:textId="59C9C51B" w:rsidR="00E53A20" w:rsidRDefault="00E53A20" w:rsidP="00BE1C7D">
      <w:r>
        <w:t xml:space="preserve">Vid behandling med </w:t>
      </w:r>
      <w:proofErr w:type="spellStart"/>
      <w:r>
        <w:t>Lamotrigin</w:t>
      </w:r>
      <w:proofErr w:type="spellEnd"/>
      <w:r>
        <w:t xml:space="preserve">, </w:t>
      </w:r>
      <w:proofErr w:type="spellStart"/>
      <w:r>
        <w:t>Carbamazepin</w:t>
      </w:r>
      <w:proofErr w:type="spellEnd"/>
      <w:r>
        <w:t xml:space="preserve">, </w:t>
      </w:r>
      <w:proofErr w:type="spellStart"/>
      <w:r>
        <w:t>Oxcarbamazepin</w:t>
      </w:r>
      <w:proofErr w:type="spellEnd"/>
      <w:r>
        <w:t xml:space="preserve">, </w:t>
      </w:r>
      <w:proofErr w:type="spellStart"/>
      <w:r>
        <w:t>Olanzapin</w:t>
      </w:r>
      <w:proofErr w:type="spellEnd"/>
      <w:r>
        <w:t xml:space="preserve">, </w:t>
      </w:r>
      <w:proofErr w:type="spellStart"/>
      <w:r>
        <w:t>Quetiapin</w:t>
      </w:r>
      <w:proofErr w:type="spellEnd"/>
      <w:r>
        <w:t xml:space="preserve">, andra neuroleptika, </w:t>
      </w:r>
      <w:proofErr w:type="spellStart"/>
      <w:r>
        <w:t>tricykliska</w:t>
      </w:r>
      <w:proofErr w:type="spellEnd"/>
      <w:r>
        <w:t xml:space="preserve"> antidepressiva och SSRI behövs ej rutinmässig blodprovstagning. EKG rekommenderas inför insättning av neuroleptika/ i kombination med SSRI. S-koncentrationer av </w:t>
      </w:r>
      <w:proofErr w:type="spellStart"/>
      <w:r>
        <w:t>Carbamazepin</w:t>
      </w:r>
      <w:proofErr w:type="spellEnd"/>
      <w:r>
        <w:t xml:space="preserve">, </w:t>
      </w:r>
      <w:proofErr w:type="spellStart"/>
      <w:r>
        <w:t>Klomipramin</w:t>
      </w:r>
      <w:proofErr w:type="spellEnd"/>
      <w:r>
        <w:t xml:space="preserve">, </w:t>
      </w:r>
      <w:proofErr w:type="spellStart"/>
      <w:r>
        <w:t>Nortriptylin</w:t>
      </w:r>
      <w:proofErr w:type="spellEnd"/>
      <w:r>
        <w:t xml:space="preserve">, </w:t>
      </w:r>
      <w:proofErr w:type="spellStart"/>
      <w:r>
        <w:t>Amitryptilin</w:t>
      </w:r>
      <w:proofErr w:type="spellEnd"/>
      <w:r>
        <w:t xml:space="preserve"> och </w:t>
      </w:r>
      <w:proofErr w:type="spellStart"/>
      <w:r>
        <w:t>Lamotrigin</w:t>
      </w:r>
      <w:proofErr w:type="spellEnd"/>
      <w:r>
        <w:t xml:space="preserve"> kan tas vid behov. Rekommenderas årlig monitorering av vikt, BMI, blodtryck på alla patienter.</w:t>
      </w:r>
    </w:p>
    <w:p w14:paraId="1EB63A1C" w14:textId="77777777" w:rsidR="00E53A20" w:rsidRDefault="00E53A20" w:rsidP="00C97662"/>
    <w:p w14:paraId="008CC661" w14:textId="77777777" w:rsidR="00DA3C9D" w:rsidRDefault="001F3E42" w:rsidP="001F3E42">
      <w:pPr>
        <w:pStyle w:val="Rubrik2"/>
      </w:pPr>
      <w:r>
        <w:t>Registrering i Elvis</w:t>
      </w:r>
    </w:p>
    <w:p w14:paraId="1B3646ED" w14:textId="7F4A0186" w:rsidR="004511FE" w:rsidRDefault="00DA3C9D" w:rsidP="00DA3C9D">
      <w:pPr>
        <w:pStyle w:val="Liststycke"/>
        <w:numPr>
          <w:ilvl w:val="0"/>
          <w:numId w:val="25"/>
        </w:numPr>
      </w:pPr>
      <w:hyperlink r:id="rId14" w:history="1">
        <w:hyperlink r:id="rId15" w:history="1">
          <w:r w:rsidR="0088039F">
            <w:rPr>
              <w:rStyle w:val="Hyperlnk"/>
            </w:rPr>
            <w:t>Fiktiva planeringslistor - vpxpat, vplitium osv. (vgregion.se)</w:t>
          </w:r>
        </w:hyperlink>
      </w:hyperlink>
      <w:r w:rsidR="001F3E42">
        <w:br/>
      </w:r>
    </w:p>
    <w:p w14:paraId="685E61A4" w14:textId="77777777" w:rsidR="001F3E42" w:rsidRPr="00C97662" w:rsidRDefault="001F3E42" w:rsidP="00C97662"/>
    <w:sectPr w:rsidR="001F3E42" w:rsidRPr="00C97662" w:rsidSect="00330F6A">
      <w:headerReference w:type="default" r:id="rId16"/>
      <w:footerReference w:type="even" r:id="rId17"/>
      <w:footerReference w:type="default" r:id="rId18"/>
      <w:headerReference w:type="first" r:id="rId19"/>
      <w:footerReference w:type="first" r:id="rId20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F93F7D2" w14:textId="77777777" w:rsidR="00B3432A" w:rsidRDefault="00B3432A">
      <w:r>
        <w:separator/>
      </w:r>
    </w:p>
  </w:endnote>
  <w:endnote w:type="continuationSeparator" w:id="0">
    <w:p w14:paraId="10AB937B" w14:textId="77777777" w:rsidR="00B3432A" w:rsidRDefault="00B3432A">
      <w:r>
        <w:continuationSeparator/>
      </w:r>
    </w:p>
  </w:endnote>
  <w:endnote w:type="continuationNotice" w:id="1">
    <w:p w14:paraId="05C26384" w14:textId="77777777" w:rsidR="00B3432A" w:rsidRDefault="00B3432A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Geneva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inherit">
    <w:altName w:val="Cambria"/>
    <w:panose1 w:val="00000000000000000000"/>
    <w:charset w:val="00"/>
    <w:family w:val="roman"/>
    <w:notTrueType/>
    <w:pitch w:val="default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2D4C1147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18B43FB5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24BA56A" w14:textId="77777777" w:rsidR="00B3432A" w:rsidRDefault="00B3432A"/>
  </w:footnote>
  <w:footnote w:type="continuationSeparator" w:id="0">
    <w:p w14:paraId="4A90D687" w14:textId="77777777" w:rsidR="00B3432A" w:rsidRDefault="00B3432A">
      <w:r>
        <w:continuationSeparator/>
      </w:r>
    </w:p>
  </w:footnote>
  <w:footnote w:type="continuationNotice" w:id="1">
    <w:p w14:paraId="048786C4" w14:textId="77777777" w:rsidR="00B3432A" w:rsidRDefault="00B3432A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5C36AAEB" w:rsidR="008A4EB9" w:rsidRDefault="008569C6" w:rsidP="00413A60">
    <w:pPr>
      <w:pStyle w:val="Sidhuvud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66433" behindDoc="0" locked="0" layoutInCell="1" allowOverlap="1" wp14:anchorId="2F5396D5" wp14:editId="3CDC8772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3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13A60"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1BFAC318">
              <wp:simplePos x="0" y="0"/>
              <wp:positionH relativeFrom="column">
                <wp:posOffset>-172720</wp:posOffset>
              </wp:positionH>
              <wp:positionV relativeFrom="paragraph">
                <wp:posOffset>-66040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2pt;width:367.65pt;height:170.1pt;z-index:25167052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PC3Wb7jAAAACwEAAA8AAAAAAAAAAAAAAAAAcwQAAGRycy9kb3ducmV2Lnht&#10;bFBLBQYAAAAABAAEAPMAAACD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252E15BB"/>
    <w:multiLevelType w:val="hybridMultilevel"/>
    <w:tmpl w:val="D444C01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3137543A"/>
    <w:multiLevelType w:val="multilevel"/>
    <w:tmpl w:val="ED9E661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34362EC7"/>
    <w:multiLevelType w:val="hybridMultilevel"/>
    <w:tmpl w:val="6352BA0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373E04E8"/>
    <w:multiLevelType w:val="multilevel"/>
    <w:tmpl w:val="D1B83F0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4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8" w15:restartNumberingAfterBreak="0">
    <w:nsid w:val="55AE4A07"/>
    <w:multiLevelType w:val="multilevel"/>
    <w:tmpl w:val="7C4845CE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0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1" w15:restartNumberingAfterBreak="0">
    <w:nsid w:val="7B67681F"/>
    <w:multiLevelType w:val="multilevel"/>
    <w:tmpl w:val="99328AB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2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3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299307161">
    <w:abstractNumId w:val="23"/>
  </w:num>
  <w:num w:numId="2" w16cid:durableId="1110589202">
    <w:abstractNumId w:val="19"/>
  </w:num>
  <w:num w:numId="3" w16cid:durableId="242420792">
    <w:abstractNumId w:val="0"/>
  </w:num>
  <w:num w:numId="4" w16cid:durableId="1958752848">
    <w:abstractNumId w:val="6"/>
  </w:num>
  <w:num w:numId="5" w16cid:durableId="1812474593">
    <w:abstractNumId w:val="20"/>
  </w:num>
  <w:num w:numId="6" w16cid:durableId="1365864736">
    <w:abstractNumId w:val="2"/>
  </w:num>
  <w:num w:numId="7" w16cid:durableId="1728532896">
    <w:abstractNumId w:val="15"/>
  </w:num>
  <w:num w:numId="8" w16cid:durableId="124665699">
    <w:abstractNumId w:val="12"/>
  </w:num>
  <w:num w:numId="9" w16cid:durableId="1687321274">
    <w:abstractNumId w:val="1"/>
  </w:num>
  <w:num w:numId="10" w16cid:durableId="1415392645">
    <w:abstractNumId w:val="1"/>
  </w:num>
  <w:num w:numId="11" w16cid:durableId="1265264723">
    <w:abstractNumId w:val="3"/>
  </w:num>
  <w:num w:numId="12" w16cid:durableId="1012533998">
    <w:abstractNumId w:val="4"/>
  </w:num>
  <w:num w:numId="13" w16cid:durableId="1381828190">
    <w:abstractNumId w:val="17"/>
  </w:num>
  <w:num w:numId="14" w16cid:durableId="1833058844">
    <w:abstractNumId w:val="13"/>
  </w:num>
  <w:num w:numId="15" w16cid:durableId="1356148718">
    <w:abstractNumId w:val="7"/>
  </w:num>
  <w:num w:numId="16" w16cid:durableId="937174217">
    <w:abstractNumId w:val="16"/>
  </w:num>
  <w:num w:numId="17" w16cid:durableId="94328895">
    <w:abstractNumId w:val="5"/>
  </w:num>
  <w:num w:numId="18" w16cid:durableId="254631317">
    <w:abstractNumId w:val="14"/>
  </w:num>
  <w:num w:numId="19" w16cid:durableId="847787623">
    <w:abstractNumId w:val="22"/>
  </w:num>
  <w:num w:numId="20" w16cid:durableId="1594195434">
    <w:abstractNumId w:val="18"/>
  </w:num>
  <w:num w:numId="21" w16cid:durableId="1628470348">
    <w:abstractNumId w:val="11"/>
  </w:num>
  <w:num w:numId="22" w16cid:durableId="975913189">
    <w:abstractNumId w:val="21"/>
  </w:num>
  <w:num w:numId="23" w16cid:durableId="1478254553">
    <w:abstractNumId w:val="9"/>
  </w:num>
  <w:num w:numId="24" w16cid:durableId="2078742243">
    <w:abstractNumId w:val="8"/>
  </w:num>
  <w:num w:numId="25" w16cid:durableId="1361395423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327F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81FDC"/>
    <w:rsid w:val="00184167"/>
    <w:rsid w:val="001860B9"/>
    <w:rsid w:val="00186F2B"/>
    <w:rsid w:val="001874D6"/>
    <w:rsid w:val="0019632A"/>
    <w:rsid w:val="001A4E7C"/>
    <w:rsid w:val="001B762C"/>
    <w:rsid w:val="001C4D0A"/>
    <w:rsid w:val="001C5FEF"/>
    <w:rsid w:val="001F3E42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0F6A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C16A0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1FE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5F6D8A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56DCD"/>
    <w:rsid w:val="00660269"/>
    <w:rsid w:val="00663A74"/>
    <w:rsid w:val="00665F89"/>
    <w:rsid w:val="00673C92"/>
    <w:rsid w:val="006753EC"/>
    <w:rsid w:val="00685193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47066"/>
    <w:rsid w:val="00754905"/>
    <w:rsid w:val="00760038"/>
    <w:rsid w:val="00762EE0"/>
    <w:rsid w:val="00765C41"/>
    <w:rsid w:val="00771100"/>
    <w:rsid w:val="007759DD"/>
    <w:rsid w:val="00783F25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8039F"/>
    <w:rsid w:val="00880E83"/>
    <w:rsid w:val="0088332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555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A2971"/>
    <w:rsid w:val="009B1F6B"/>
    <w:rsid w:val="009C0D12"/>
    <w:rsid w:val="009C192E"/>
    <w:rsid w:val="009C2E3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34EC2"/>
    <w:rsid w:val="00A407AD"/>
    <w:rsid w:val="00A40923"/>
    <w:rsid w:val="00A41C05"/>
    <w:rsid w:val="00A42426"/>
    <w:rsid w:val="00A514B7"/>
    <w:rsid w:val="00A54A0B"/>
    <w:rsid w:val="00A62425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B046D8"/>
    <w:rsid w:val="00B13F4C"/>
    <w:rsid w:val="00B16219"/>
    <w:rsid w:val="00B16C59"/>
    <w:rsid w:val="00B33FDD"/>
    <w:rsid w:val="00B3432A"/>
    <w:rsid w:val="00B359CC"/>
    <w:rsid w:val="00B36107"/>
    <w:rsid w:val="00B41789"/>
    <w:rsid w:val="00B46C03"/>
    <w:rsid w:val="00B52135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1C7D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2411"/>
    <w:rsid w:val="00C5398F"/>
    <w:rsid w:val="00C556F5"/>
    <w:rsid w:val="00C70E19"/>
    <w:rsid w:val="00C72574"/>
    <w:rsid w:val="00C7430C"/>
    <w:rsid w:val="00C85DA1"/>
    <w:rsid w:val="00C9071C"/>
    <w:rsid w:val="00C908FF"/>
    <w:rsid w:val="00C97662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3C9D"/>
    <w:rsid w:val="00DA65C4"/>
    <w:rsid w:val="00DE4447"/>
    <w:rsid w:val="00DE5DA2"/>
    <w:rsid w:val="00DF0033"/>
    <w:rsid w:val="00E026BF"/>
    <w:rsid w:val="00E07B1B"/>
    <w:rsid w:val="00E11853"/>
    <w:rsid w:val="00E52A86"/>
    <w:rsid w:val="00E53A20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24801E3"/>
    <w:rsid w:val="1492EC97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styleId="Normalwebb">
    <w:name w:val="Normal (Web)"/>
    <w:basedOn w:val="Normal"/>
    <w:uiPriority w:val="99"/>
    <w:unhideWhenUsed/>
    <w:rsid w:val="00E53A20"/>
    <w:pPr>
      <w:spacing w:before="100" w:beforeAutospacing="1" w:after="100" w:afterAutospacing="1" w:line="240" w:lineRule="auto"/>
      <w:ind w:left="0" w:right="0"/>
    </w:pPr>
  </w:style>
  <w:style w:type="character" w:styleId="AnvndHyperlnk">
    <w:name w:val="FollowedHyperlink"/>
    <w:basedOn w:val="Standardstycketeckensnitt"/>
    <w:uiPriority w:val="99"/>
    <w:semiHidden/>
    <w:unhideWhenUsed/>
    <w:rsid w:val="00BE1C7D"/>
    <w:rPr>
      <w:color w:val="9EA2A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81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05550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18531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13410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875421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453575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yperlink" Target="https://mellanarkiv-offentlig.vgregion.se/alfresco/s/archive/stream/public/v1/source/available/sofia/nu9075-770206879-462/native/Tabell%20rutinprov%20efter%201a%20%c3%a5ret%20Litium.pdf" TargetMode="External" Id="rId13" /><Relationship Type="http://schemas.openxmlformats.org/officeDocument/2006/relationships/footer" Target="footer2.xml" Id="rId18" /><Relationship Type="http://schemas.openxmlformats.org/officeDocument/2006/relationships/fontTable" Target="fontTable.xml" Id="rId21" /><Relationship Type="http://schemas.openxmlformats.org/officeDocument/2006/relationships/styles" Target="styles.xml" Id="rId7" /><Relationship Type="http://schemas.openxmlformats.org/officeDocument/2006/relationships/hyperlink" Target="https://mellanarkiv-offentlig.vgregion.se/alfresco/s/archive/stream/public/v1/source/available/sofia/nu9075-770206879-463/native/Tabell%20rutinprov%20litium%20under%20%201a%20%c3%a5ret.pdf" TargetMode="External" Id="rId12" /><Relationship Type="http://schemas.openxmlformats.org/officeDocument/2006/relationships/footer" Target="footer1.xml" Id="rId17" /><Relationship Type="http://schemas.openxmlformats.org/officeDocument/2006/relationships/header" Target="header1.xml" Id="rId16" /><Relationship Type="http://schemas.openxmlformats.org/officeDocument/2006/relationships/footer" Target="footer3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yperlink" Target="https://mellanarkiv-offentlig.vgregion.se/alfresco/s/archive/stream/public/v1/source/available/SOFIA/NU9075-770206879-148/SURROGATE/Fiktiva%20planeringslistor%20-%20vpxpat%2c%20vplitium%20osv..pdf" TargetMode="External" Id="rId15" /><Relationship Type="http://schemas.openxmlformats.org/officeDocument/2006/relationships/footnotes" Target="footnotes.xml" Id="rId10" /><Relationship Type="http://schemas.openxmlformats.org/officeDocument/2006/relationships/header" Target="header2.xml" Id="rId19" /><Relationship Type="http://schemas.openxmlformats.org/officeDocument/2006/relationships/webSettings" Target="webSettings.xml" Id="rId9" /><Relationship Type="http://schemas.openxmlformats.org/officeDocument/2006/relationships/hyperlink" Target="https://mellanarkiv-offentlig.vgregion.se/alfresco/s/archive/stream/public/v1/source/available/SOFIA/NU9075-770206879-148/SURROGATE/Fiktiva%20planeringslistor%20-%20vpxpat%2c%20vplitium%20osv..pdf" TargetMode="External" Id="rId14" /><Relationship Type="http://schemas.openxmlformats.org/officeDocument/2006/relationships/theme" Target="theme/theme1.xml" Id="rId22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36</TotalTime>
  <Pages>4</Pages>
  <Words>875</Words>
  <Characters>6628</Characters>
  <Application>Microsoft Office Word</Application>
  <DocSecurity>0</DocSecurity>
  <Lines>55</Lines>
  <Paragraphs>14</Paragraphs>
  <ScaleCrop>false</ScaleCrop>
  <Manager/>
  <Company/>
  <LinksUpToDate>false</LinksUpToDate>
  <CharactersWithSpaces>7489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Läkemedelsbehandling och provtagningsrutiner Litium och Valproat</dc:title>
  <dc:subject/>
  <dc:creator/>
  <keywords/>
  <lastModifiedBy>Erica Fransson</lastModifiedBy>
  <revision>37</revision>
  <lastPrinted>2016-03-31T10:56:00.0000000Z</lastPrinted>
  <dcterms:created xsi:type="dcterms:W3CDTF">2021-05-27T09:25:00.0000000Z</dcterms:created>
  <dcterms:modified xsi:type="dcterms:W3CDTF">2024-04-24T08:44:00.0000000Z</dcterms:modified>
</coreProperties>
</file>