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tbl>
      <w:tblPr>
        <w:tblW w:w="9159" w:type="dxa"/>
        <w:tblLayout w:type="fixed"/>
        <w:tblLook w:val="01E0" w:firstRow="1" w:lastRow="1" w:firstColumn="1" w:lastColumn="1" w:noHBand="0" w:noVBand="0"/>
      </w:tblPr>
      <w:tblGrid>
        <w:gridCol w:w="9159"/>
      </w:tblGrid>
      <w:tr w:rsidR="00A1336B" w:rsidTr="21907223" w14:paraId="35C4C545" w14:textId="77777777">
        <w:trPr>
          <w:cantSplit/>
          <w:trHeight w:val="191"/>
        </w:trPr>
        <w:tc>
          <w:tcPr>
            <w:tcW w:w="9159" w:type="dxa"/>
            <w:tcBorders>
              <w:bottom w:val="single" w:color="auto" w:sz="8" w:space="0"/>
            </w:tcBorders>
            <w:tcMar>
              <w:left w:w="0" w:type="dxa"/>
              <w:right w:w="0" w:type="dxa"/>
            </w:tcMar>
            <w:vAlign w:val="bottom"/>
          </w:tcPr>
          <w:p w:rsidR="00A1336B" w:rsidP="21907223" w:rsidRDefault="00A1336B" w14:paraId="7C71D1BA" w14:textId="77777777">
            <w:pPr>
              <w:pStyle w:val="Rubrik1"/>
              <w:ind w:left="0"/>
              <w:jc w:val="center"/>
            </w:pPr>
            <w:r w:rsidRPr="00877EC7">
              <w:rPr>
                <w:noProof/>
              </w:rPr>
              <mc:AlternateContent>
                <mc:Choice Requires="wps">
                  <w:drawing>
                    <wp:anchor distT="0" distB="0" distL="114300" distR="114300" simplePos="0" relativeHeight="251659264" behindDoc="0" locked="0" layoutInCell="1" allowOverlap="1" wp14:anchorId="538F334C" wp14:editId="37AFC7AC">
                      <wp:simplePos x="0" y="0"/>
                      <wp:positionH relativeFrom="column">
                        <wp:posOffset>6518275</wp:posOffset>
                      </wp:positionH>
                      <wp:positionV relativeFrom="paragraph">
                        <wp:posOffset>78740</wp:posOffset>
                      </wp:positionV>
                      <wp:extent cx="1244600" cy="222885"/>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A1336B" w:rsidP="00A1336B" w:rsidRDefault="00A1336B" w14:paraId="00B6B607"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38F334C">
                      <v:stroke joinstyle="miter"/>
                      <v:path gradientshapeok="t" o:connecttype="rect"/>
                    </v:shapetype>
                    <v:shape id="Textruta 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A1336B" w:rsidP="00A1336B" w:rsidRDefault="00A1336B" w14:paraId="00B6B607"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00877EC7" w:rsidR="00A1336B">
              <w:rPr/>
              <w:t>Robotassisterad</w:t>
            </w:r>
            <w:r w:rsidR="00A1336B">
              <w:rPr/>
              <w:t xml:space="preserve"> ärr- och navelbråcksoperation</w:t>
            </w:r>
          </w:p>
          <w:p w:rsidRPr="003936FA" w:rsidR="00A1336B" w:rsidP="005427A1" w:rsidRDefault="00A1336B" w14:paraId="3587CCB3" w14:textId="77777777">
            <w:pPr>
              <w:jc w:val="center"/>
              <w:rPr>
                <w:sz w:val="28"/>
                <w:szCs w:val="28"/>
              </w:rPr>
            </w:pPr>
            <w:r>
              <w:rPr>
                <w:sz w:val="28"/>
                <w:szCs w:val="28"/>
              </w:rPr>
              <w:t>Gäller operation Uddevalla</w:t>
            </w:r>
          </w:p>
        </w:tc>
      </w:tr>
    </w:tbl>
    <w:p w:rsidR="00A1336B" w:rsidP="00A1336B" w:rsidRDefault="00A1336B" w14:paraId="58D0C487" w14:textId="77777777">
      <w:pPr>
        <w:pStyle w:val="Rubrik2"/>
        <w:ind w:right="1161"/>
      </w:pPr>
      <w:r w:rsidR="00A1336B">
        <w:rPr/>
        <w:t>Revidering i denna version</w:t>
      </w:r>
    </w:p>
    <w:p w:rsidR="0FE0D49B" w:rsidP="21907223" w:rsidRDefault="0FE0D49B" w14:paraId="7CB0B891" w14:textId="6E91C3E3">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Mindre ändringar under; Praktiska råd, Positionering patient</w:t>
      </w:r>
    </w:p>
    <w:p w:rsidR="0FE0D49B" w:rsidP="21907223" w:rsidRDefault="0FE0D49B" w14:paraId="4C70A65D" w14:textId="179ED643">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 xml:space="preserve">Bakgrund </w:t>
      </w:r>
    </w:p>
    <w:p w:rsidR="0FE0D49B" w:rsidP="21907223" w:rsidRDefault="0FE0D49B" w14:paraId="24A38E4F" w14:textId="203442DC">
      <w:pPr>
        <w:pStyle w:val="Rubrik2"/>
        <w:spacing w:before="240" w:beforeAutospacing="off" w:after="40" w:afterAutospacing="off"/>
        <w:ind w:left="567" w:right="868"/>
      </w:pPr>
      <w:r w:rsidRPr="21907223" w:rsidR="0FE0D49B">
        <w:rPr>
          <w:rFonts w:ascii="Times New Roman" w:hAnsi="Times New Roman" w:eastAsia="Times New Roman" w:cs="Times New Roman"/>
          <w:b w:val="0"/>
          <w:bCs w:val="0"/>
          <w:noProof w:val="0"/>
          <w:color w:val="272727"/>
          <w:sz w:val="24"/>
          <w:szCs w:val="24"/>
          <w:lang w:val="sv-SE"/>
        </w:rPr>
        <w:t xml:space="preserve">Bukhålan omges av väggar av muskler och muskelhinnor och i dessa väggar kan det uppstå försvagningar som gör att fett från tarmkäxet eller tarm trycks ut genom väggen och buktar ut. Detta kallas för bråck. Beroende på var bråcken buktar ut benämns de till exempel </w:t>
      </w:r>
      <w:r w:rsidRPr="21907223" w:rsidR="0FE0D49B">
        <w:rPr>
          <w:rFonts w:ascii="Calibri" w:hAnsi="Calibri" w:eastAsia="Calibri" w:cs="Calibri"/>
          <w:b w:val="1"/>
          <w:bCs w:val="1"/>
          <w:noProof w:val="0"/>
          <w:color w:val="272727"/>
          <w:sz w:val="24"/>
          <w:szCs w:val="24"/>
          <w:lang w:val="sv-SE"/>
        </w:rPr>
        <w:t>ljumskbråck</w:t>
      </w:r>
      <w:r w:rsidRPr="21907223" w:rsidR="0FE0D49B">
        <w:rPr>
          <w:rFonts w:ascii="Times New Roman" w:hAnsi="Times New Roman" w:eastAsia="Times New Roman" w:cs="Times New Roman"/>
          <w:b w:val="0"/>
          <w:bCs w:val="0"/>
          <w:noProof w:val="0"/>
          <w:color w:val="272727"/>
          <w:sz w:val="24"/>
          <w:szCs w:val="24"/>
          <w:lang w:val="sv-SE"/>
        </w:rPr>
        <w:t xml:space="preserve"> eller </w:t>
      </w:r>
      <w:r w:rsidRPr="21907223" w:rsidR="0FE0D49B">
        <w:rPr>
          <w:rFonts w:ascii="Calibri" w:hAnsi="Calibri" w:eastAsia="Calibri" w:cs="Calibri"/>
          <w:b w:val="1"/>
          <w:bCs w:val="1"/>
          <w:noProof w:val="0"/>
          <w:color w:val="272727"/>
          <w:sz w:val="24"/>
          <w:szCs w:val="24"/>
          <w:lang w:val="sv-SE"/>
        </w:rPr>
        <w:t>navelbråck</w:t>
      </w:r>
      <w:r w:rsidRPr="21907223" w:rsidR="0FE0D49B">
        <w:rPr>
          <w:rFonts w:ascii="Times New Roman" w:hAnsi="Times New Roman" w:eastAsia="Times New Roman" w:cs="Times New Roman"/>
          <w:b w:val="1"/>
          <w:bCs w:val="1"/>
          <w:noProof w:val="0"/>
          <w:color w:val="272727"/>
          <w:sz w:val="24"/>
          <w:szCs w:val="24"/>
          <w:lang w:val="sv-SE"/>
        </w:rPr>
        <w:t xml:space="preserve">. </w:t>
      </w:r>
      <w:r w:rsidRPr="21907223" w:rsidR="0FE0D49B">
        <w:rPr>
          <w:rFonts w:ascii="Times New Roman" w:hAnsi="Times New Roman" w:eastAsia="Times New Roman" w:cs="Times New Roman"/>
          <w:b w:val="0"/>
          <w:bCs w:val="0"/>
          <w:noProof w:val="0"/>
          <w:color w:val="272727"/>
          <w:sz w:val="24"/>
          <w:szCs w:val="24"/>
          <w:lang w:val="sv-SE"/>
        </w:rPr>
        <w:t>Vid tidigare bukkirurgi kan snittet läka med små defekter i muskelhinnan. Defekterna kan med tiden vidgas och tarmen kan börja bukta ut och ett bråck uppstår då ligger i anslutning till ärret i huden. Detta kallas ärrbråck. Bukväggsbråck är ett samlingsnamn för alla bråck i bukväggen.</w:t>
      </w:r>
    </w:p>
    <w:p w:rsidR="0FE0D49B" w:rsidP="21907223" w:rsidRDefault="0FE0D49B" w14:paraId="68674D92" w14:textId="0E959E36">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 xml:space="preserve">Syfte </w:t>
      </w:r>
    </w:p>
    <w:p w:rsidR="0FE0D49B" w:rsidP="21907223" w:rsidRDefault="0FE0D49B" w14:paraId="2D5F5DF8" w14:textId="377A4571">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Att skapa goda och säkra rutiner för omhändertagande av patient vid robotassisterad ljumskbråcksoperation. </w:t>
      </w:r>
    </w:p>
    <w:p w:rsidR="0FE0D49B" w:rsidP="21907223" w:rsidRDefault="0FE0D49B" w14:paraId="52876A61" w14:textId="1B0A7408">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Vilka berörs</w:t>
      </w:r>
    </w:p>
    <w:p w:rsidR="0FE0D49B" w:rsidP="21907223" w:rsidRDefault="0FE0D49B" w14:paraId="4269AC45" w14:textId="1580EFD0">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All personal Operation Nu-sjukvården</w:t>
      </w:r>
    </w:p>
    <w:p w:rsidR="0FE0D49B" w:rsidP="21907223" w:rsidRDefault="0FE0D49B" w14:paraId="5B6D5819" w14:textId="747EDA80">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Premedicinering</w:t>
      </w:r>
    </w:p>
    <w:p w:rsidR="0FE0D49B" w:rsidP="21907223" w:rsidRDefault="0FE0D49B" w14:paraId="78955ABA" w14:textId="2B6423B7">
      <w:pPr>
        <w:spacing w:before="0" w:beforeAutospacing="off" w:after="24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Alvedon 1g, Targiniq 10mg, Arcoxia 120mg (om inga kontraindikationer) </w:t>
      </w:r>
    </w:p>
    <w:p w:rsidR="0FE0D49B" w:rsidP="21907223" w:rsidRDefault="0FE0D49B" w14:paraId="600B4058" w14:textId="6EA2C98D">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Anestesiförslag</w:t>
      </w:r>
    </w:p>
    <w:p w:rsidR="0FE0D49B" w:rsidP="21907223" w:rsidRDefault="0FE0D49B" w14:paraId="07C938A0" w14:textId="0A92D530">
      <w:pPr>
        <w:tabs>
          <w:tab w:val="left" w:leader="none" w:pos="1418"/>
        </w:tabs>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 xml:space="preserve">Anestesikort: Intub: Ultiva/Sevofluran/Esmeron alt </w:t>
      </w:r>
    </w:p>
    <w:p w:rsidR="0FE0D49B" w:rsidP="21907223" w:rsidRDefault="0FE0D49B" w14:paraId="5E211B79" w14:textId="5FA463DF">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Intub: Ultiva/Propfol/Esmeron</w:t>
      </w:r>
    </w:p>
    <w:p w:rsidR="0FE0D49B" w:rsidP="21907223" w:rsidRDefault="0FE0D49B" w14:paraId="50E62565" w14:textId="118E66F2">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Robinul</w:t>
      </w:r>
    </w:p>
    <w:p w:rsidR="0FE0D49B" w:rsidP="21907223" w:rsidRDefault="0FE0D49B" w14:paraId="128CF882" w14:textId="4B3EB4CB">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Ondansetron</w:t>
      </w:r>
    </w:p>
    <w:p w:rsidR="0FE0D49B" w:rsidP="21907223" w:rsidRDefault="0FE0D49B" w14:paraId="5528A0A2" w14:textId="6EF17969">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Betapred, 2ml</w:t>
      </w:r>
    </w:p>
    <w:p w:rsidR="0FE0D49B" w:rsidP="21907223" w:rsidRDefault="0FE0D49B" w14:paraId="3CD5F9BC" w14:textId="53DCC0F3">
      <w:pPr>
        <w:spacing w:before="0" w:beforeAutospacing="off" w:after="0" w:afterAutospacing="off" w:line="288" w:lineRule="auto"/>
        <w:ind w:left="567" w:right="868"/>
      </w:pPr>
      <w:r w:rsidRPr="21907223" w:rsidR="0FE0D49B">
        <w:rPr>
          <w:rFonts w:ascii="Times New Roman" w:hAnsi="Times New Roman" w:eastAsia="Times New Roman" w:cs="Times New Roman"/>
          <w:noProof w:val="0"/>
          <w:sz w:val="24"/>
          <w:szCs w:val="24"/>
          <w:lang w:val="sv-SE"/>
        </w:rPr>
        <w:t>Catapresan</w:t>
      </w:r>
    </w:p>
    <w:p w:rsidR="0FE0D49B" w:rsidP="21907223" w:rsidRDefault="0FE0D49B" w14:paraId="4580C2E7" w14:textId="546A7DE8">
      <w:pPr>
        <w:spacing w:before="0" w:beforeAutospacing="off" w:after="0" w:afterAutospacing="off" w:line="288" w:lineRule="auto"/>
        <w:ind w:left="567" w:right="868"/>
      </w:pPr>
      <w:r w:rsidRPr="21907223" w:rsidR="0FE0D49B">
        <w:rPr>
          <w:rFonts w:ascii="Times New Roman" w:hAnsi="Times New Roman" w:eastAsia="Times New Roman" w:cs="Times New Roman"/>
          <w:noProof w:val="0"/>
          <w:sz w:val="24"/>
          <w:szCs w:val="24"/>
          <w:lang w:val="sv-SE"/>
        </w:rPr>
        <w:t>Oxynorm</w:t>
      </w:r>
    </w:p>
    <w:p w:rsidR="0FE0D49B" w:rsidP="21907223" w:rsidRDefault="0FE0D49B" w14:paraId="1AFD281B" w14:textId="0E749E92">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PONV-profylax</w:t>
      </w:r>
    </w:p>
    <w:p w:rsidR="0FE0D49B" w:rsidP="21907223" w:rsidRDefault="0FE0D49B" w14:paraId="20F9900E" w14:textId="458960C0">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Sugammadex vb</w:t>
      </w:r>
    </w:p>
    <w:p w:rsidR="0FE0D49B" w:rsidP="21907223" w:rsidRDefault="0FE0D49B" w14:paraId="271A42EA" w14:textId="1013482A">
      <w:pPr>
        <w:spacing w:before="0" w:beforeAutospacing="off" w:after="0" w:afterAutospacing="off"/>
        <w:ind w:left="567" w:right="868"/>
      </w:pPr>
      <w:r w:rsidRPr="21907223" w:rsidR="0FE0D49B">
        <w:rPr>
          <w:rFonts w:ascii="Times New Roman" w:hAnsi="Times New Roman" w:eastAsia="Times New Roman" w:cs="Times New Roman"/>
          <w:noProof w:val="0"/>
          <w:sz w:val="24"/>
          <w:szCs w:val="24"/>
          <w:lang w:val="sv-SE"/>
        </w:rPr>
        <w:t>Ev läggs TAP-blockad av operatör</w:t>
      </w:r>
    </w:p>
    <w:p w:rsidR="0FE0D49B" w:rsidP="21907223" w:rsidRDefault="0FE0D49B" w14:paraId="37000656" w14:textId="6EDE8C7D">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Utrustning</w:t>
      </w:r>
    </w:p>
    <w:p w:rsidR="0FE0D49B" w:rsidP="21907223" w:rsidRDefault="0FE0D49B" w14:paraId="28C49839" w14:textId="693875FF">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Standard, TOF, patientvärmare, V-sond på indikation – sonda pre- och postoperativt om v-sond inte används. </w:t>
      </w:r>
    </w:p>
    <w:p w:rsidR="0FE0D49B" w:rsidP="21907223" w:rsidRDefault="0FE0D49B" w14:paraId="15287543" w14:textId="56E92A62">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Blodgruppering/Bastest</w:t>
      </w:r>
    </w:p>
    <w:p w:rsidR="0FE0D49B" w:rsidP="21907223" w:rsidRDefault="0FE0D49B" w14:paraId="122D0449" w14:textId="10158EA1">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Ja/ Nej </w:t>
      </w:r>
    </w:p>
    <w:p w:rsidR="0FE0D49B" w:rsidP="21907223" w:rsidRDefault="0FE0D49B" w14:paraId="22961FB9" w14:textId="01F3811E">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Förberedelser</w:t>
      </w:r>
    </w:p>
    <w:p w:rsidR="0FE0D49B" w:rsidP="21907223" w:rsidRDefault="0FE0D49B" w14:paraId="5C2362EE" w14:textId="60E1CA61">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Håravkortning hela buken ner till symfysen och även utmed sidorna (TAP-blockad) descutantvättning.</w:t>
      </w:r>
    </w:p>
    <w:p w:rsidR="0FE0D49B" w:rsidP="21907223" w:rsidRDefault="0FE0D49B" w14:paraId="785D017C" w14:textId="3B761598">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Bladderscan preoperativt. </w:t>
      </w:r>
    </w:p>
    <w:p w:rsidR="0FE0D49B" w:rsidP="21907223" w:rsidRDefault="0FE0D49B" w14:paraId="60C62167" w14:textId="22848DEF">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Praktiska råd</w:t>
      </w:r>
    </w:p>
    <w:p w:rsidR="0FE0D49B" w:rsidP="21907223" w:rsidRDefault="0FE0D49B" w14:paraId="1382D58D" w14:textId="69F96912">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Beroende på bråckets omfattning och lokalisation ska operatören i operationsanmälan ange på vilken sida portarna ska placeras. Armen på den sida där portarna placeras ska därefter bäddas in. Perifer venkateter (PVK) anläggs i den motsatta armen, medan blodtrycksmanschetten placeras på den inbäddade armen.</w:t>
      </w:r>
    </w:p>
    <w:p w:rsidR="0FE0D49B" w:rsidP="21907223" w:rsidRDefault="0FE0D49B" w14:paraId="0D654819" w14:textId="05213DDB">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Oraltub tejpas i hö mungipa.</w:t>
      </w:r>
    </w:p>
    <w:p w:rsidR="0FE0D49B" w:rsidP="21907223" w:rsidRDefault="0FE0D49B" w14:paraId="360B846E" w14:textId="248F2F27">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Operationsbordet knickas innan patienten sövs. Spara bordsinställning i snabbminne, plana bordet och söv patienten. Återgå till snabbminnets sparade position innan steriltvätt.</w:t>
      </w:r>
    </w:p>
    <w:p w:rsidR="0FE0D49B" w:rsidP="21907223" w:rsidRDefault="0FE0D49B" w14:paraId="6960AFE3" w14:textId="42E4F87C">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Kontrollera att operationsbordet är låst innan operationsstart. Sätt kontrollen till bordet i väggen under operationen. Insufflerad koldioxid kan ge stigande EtCO2 vid behov öka ventilationen. Patienten måste vara väl muskelrelaxerad. Ge muskelrelaxantia innan operationsstart och om patienten stiger i TOF.</w:t>
      </w:r>
    </w:p>
    <w:p w:rsidR="0FE0D49B" w:rsidP="21907223" w:rsidRDefault="0FE0D49B" w14:paraId="3965C33B" w14:textId="187C795A">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Använd ögonförband t.ex. Cornea Care. </w:t>
      </w:r>
    </w:p>
    <w:p w:rsidR="0FE0D49B" w:rsidP="21907223" w:rsidRDefault="0FE0D49B" w14:paraId="7E7B5483" w14:textId="5E255F64">
      <w:pPr>
        <w:spacing w:before="0" w:beforeAutospacing="off" w:after="0" w:afterAutospacing="off"/>
      </w:pPr>
      <w:r w:rsidRPr="21907223" w:rsidR="0FE0D49B">
        <w:rPr>
          <w:rFonts w:ascii="Times New Roman" w:hAnsi="Times New Roman" w:eastAsia="Times New Roman" w:cs="Times New Roman"/>
          <w:noProof w:val="0"/>
          <w:sz w:val="24"/>
          <w:szCs w:val="24"/>
          <w:lang w:val="sv-SE"/>
        </w:rPr>
        <w:t xml:space="preserve"> </w:t>
      </w:r>
    </w:p>
    <w:p w:rsidR="0FE0D49B" w:rsidP="21907223" w:rsidRDefault="0FE0D49B" w14:paraId="64243E0C" w14:textId="4F74C29C">
      <w:pPr>
        <w:pStyle w:val="Rubrik2"/>
        <w:spacing w:before="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 xml:space="preserve">Positionering </w:t>
      </w:r>
    </w:p>
    <w:p w:rsidR="0FE0D49B" w:rsidP="21907223" w:rsidRDefault="0FE0D49B" w14:paraId="757BE12E" w14:textId="0DF61F4D">
      <w:pPr>
        <w:pStyle w:val="Rubrik3"/>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36"/>
          <w:szCs w:val="36"/>
          <w:lang w:val="sv-SE"/>
        </w:rPr>
        <w:t>Patient</w:t>
      </w:r>
    </w:p>
    <w:p w:rsidR="0FE0D49B" w:rsidP="21907223" w:rsidRDefault="0FE0D49B" w14:paraId="7A56DB6C" w14:textId="0C268522">
      <w:pPr>
        <w:spacing w:before="0" w:beforeAutospacing="off" w:after="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Antiglidmadrass, benrem (ej för hårt satt). Överkroppen tippas neråt.  Placera patienten så att operationsbordsleden hamnar vid arcus. </w:t>
      </w:r>
    </w:p>
    <w:p w:rsidR="0FE0D49B" w:rsidP="21907223" w:rsidRDefault="0FE0D49B" w14:paraId="1BD3D106" w14:textId="0E36EC32">
      <w:pPr>
        <w:pStyle w:val="Rubrik3"/>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36"/>
          <w:szCs w:val="36"/>
          <w:lang w:val="sv-SE"/>
        </w:rPr>
        <w:t>Operationsbord</w:t>
      </w:r>
    </w:p>
    <w:p w:rsidR="0FE0D49B" w:rsidP="21907223" w:rsidRDefault="0FE0D49B" w14:paraId="0428F5BB" w14:textId="0B4EB52D">
      <w:pPr>
        <w:spacing w:before="0" w:beforeAutospacing="off" w:after="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Standardbord används. Om patientens längd kräver, använd tvådelad benplatta. </w:t>
      </w:r>
    </w:p>
    <w:p w:rsidR="0FE0D49B" w:rsidP="21907223" w:rsidRDefault="0FE0D49B" w14:paraId="3FD0F8FB" w14:textId="356FD73C">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Risker</w:t>
      </w:r>
    </w:p>
    <w:p w:rsidR="0FE0D49B" w:rsidP="21907223" w:rsidRDefault="0FE0D49B" w14:paraId="5D93908D" w14:textId="19B9EAB5">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 xml:space="preserve">Konvertering till öppen kirurgi vid operationstekniskt svåra förhållanden. Patienten får inte röras/ förflyttas medan roboten är dockad till portarna.  </w:t>
      </w:r>
    </w:p>
    <w:p w:rsidR="0FE0D49B" w:rsidP="21907223" w:rsidRDefault="0FE0D49B" w14:paraId="2CC90658" w14:textId="4E91289C">
      <w:pPr>
        <w:pStyle w:val="Rubrik2"/>
        <w:spacing w:before="240" w:beforeAutospacing="off" w:after="40" w:afterAutospacing="off"/>
        <w:ind w:left="567" w:right="868"/>
      </w:pPr>
      <w:r w:rsidRPr="21907223" w:rsidR="0FE0D49B">
        <w:rPr>
          <w:rFonts w:ascii="Calibri" w:hAnsi="Calibri" w:eastAsia="Calibri" w:cs="Calibri"/>
          <w:b w:val="0"/>
          <w:bCs w:val="0"/>
          <w:noProof w:val="0"/>
          <w:color w:val="000000" w:themeColor="text2" w:themeTint="FF" w:themeShade="FF"/>
          <w:sz w:val="40"/>
          <w:szCs w:val="40"/>
          <w:lang w:val="sv-SE"/>
        </w:rPr>
        <w:t xml:space="preserve">Avslutning/postoperativt </w:t>
      </w:r>
    </w:p>
    <w:p w:rsidR="0FE0D49B" w:rsidP="21907223" w:rsidRDefault="0FE0D49B" w14:paraId="67467AF2" w14:textId="6804EAF9">
      <w:pPr>
        <w:spacing w:before="0" w:beforeAutospacing="off" w:after="120" w:afterAutospacing="off" w:line="288" w:lineRule="auto"/>
        <w:ind w:left="567" w:right="868"/>
      </w:pPr>
      <w:r w:rsidRPr="21907223" w:rsidR="0FE0D49B">
        <w:rPr>
          <w:rFonts w:ascii="Times New Roman" w:hAnsi="Times New Roman" w:eastAsia="Times New Roman" w:cs="Times New Roman"/>
          <w:noProof w:val="0"/>
          <w:sz w:val="24"/>
          <w:szCs w:val="24"/>
          <w:lang w:val="sv-SE"/>
        </w:rPr>
        <w:t>Då patienten skall vara väl muskelrelaxerad perioperativt, bör Sugammadex övervägas.</w:t>
      </w:r>
    </w:p>
    <w:p w:rsidR="21907223" w:rsidRDefault="21907223" w14:paraId="72835929" w14:textId="1E0C6F1B"/>
    <w:p w:rsidR="00A1336B" w:rsidP="00A1336B" w:rsidRDefault="00A1336B" w14:paraId="369BA27F" w14:textId="77777777"/>
    <w:p w:rsidRPr="00C10178" w:rsidR="00A1336B" w:rsidP="00A1336B" w:rsidRDefault="00A1336B" w14:paraId="0BB5ABDF" w14:textId="77777777"/>
    <w:p w:rsidRPr="00A1336B" w:rsidR="009C6C0C" w:rsidP="00A1336B" w:rsidRDefault="009C6C0C" w14:paraId="40AA233F" w14:textId="5ABF6307"/>
    <w:sectPr w:rsidRPr="00A1336B" w:rsidR="009C6C0C"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53A33" w:rsidRDefault="00453A33" w14:paraId="39EB7822" w14:textId="77777777">
      <w:r>
        <w:separator/>
      </w:r>
    </w:p>
  </w:endnote>
  <w:endnote w:type="continuationSeparator" w:id="0">
    <w:p w:rsidR="00453A33" w:rsidRDefault="00453A33" w14:paraId="7534BD81" w14:textId="77777777">
      <w:r>
        <w:continuationSeparator/>
      </w:r>
    </w:p>
  </w:endnote>
  <w:endnote w:type="continuationNotice" w:id="1">
    <w:p w:rsidR="00453A33" w:rsidRDefault="00453A33" w14:paraId="37D70C8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C0A68" w:rsidR="00C50EE5" w:rsidP="00EC0A68" w:rsidRDefault="00A1336B"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53A33" w:rsidRDefault="00453A33" w14:paraId="73A455EB" w14:textId="77777777"/>
  </w:footnote>
  <w:footnote w:type="continuationSeparator" w:id="0">
    <w:p w:rsidR="00453A33" w:rsidRDefault="00453A33" w14:paraId="2920849F" w14:textId="77777777">
      <w:r>
        <w:continuationSeparator/>
      </w:r>
    </w:p>
  </w:footnote>
  <w:footnote w:type="continuationNotice" w:id="1">
    <w:p w:rsidR="00453A33" w:rsidRDefault="00453A33" w14:paraId="30B05EA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329E"/>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A33"/>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C6E13"/>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336B"/>
    <w:rsid w:val="00A264BE"/>
    <w:rsid w:val="00A272CA"/>
    <w:rsid w:val="00A33051"/>
    <w:rsid w:val="00A3571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951E9"/>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FE0D49B"/>
    <w:rsid w:val="21907223"/>
    <w:rsid w:val="436AE18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Stark">
    <w:name w:val="Strong"/>
    <w:basedOn w:val="Standardstycketeckensnitt"/>
    <w:uiPriority w:val="22"/>
    <w:qFormat/>
    <w:locked/>
    <w:rsid w:val="00D951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Robotassisterad ärr- och navelbråcksoperation Operation Uddevalla</dc:title>
  <dc:subject/>
  <dc:creator/>
  <keywords/>
  <lastModifiedBy>Caroline Edvardsson</lastModifiedBy>
  <revision>2</revision>
  <dcterms:created xsi:type="dcterms:W3CDTF">2024-01-25T08:46:00.0000000Z</dcterms:created>
  <dcterms:modified xsi:type="dcterms:W3CDTF">2026-05-08T11:26:44.0000000Z</dcterms:modified>
</coreProperties>
</file>