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159" w:type="dxa"/>
        <w:tblLayout w:type="fixed"/>
        <w:tblLook w:val="01E0" w:firstRow="1" w:lastRow="1" w:firstColumn="1" w:lastColumn="1" w:noHBand="0" w:noVBand="0"/>
      </w:tblPr>
      <w:tblGrid>
        <w:gridCol w:w="9159"/>
      </w:tblGrid>
      <w:tr w:rsidR="00A1336B" w14:paraId="35C4C545" w14:textId="77777777" w:rsidTr="005427A1">
        <w:trPr>
          <w:cantSplit/>
          <w:trHeight w:val="191"/>
        </w:trPr>
        <w:tc>
          <w:tcPr>
            <w:tcW w:w="9159" w:type="dxa"/>
            <w:tcBorders>
              <w:bottom w:val="single" w:sz="8" w:space="0" w:color="auto"/>
            </w:tcBorders>
            <w:tcMar>
              <w:left w:w="0" w:type="dxa"/>
              <w:right w:w="0" w:type="dxa"/>
            </w:tcMar>
            <w:vAlign w:val="bottom"/>
          </w:tcPr>
          <w:p w14:paraId="7C71D1BA" w14:textId="77777777" w:rsidR="00A1336B" w:rsidRDefault="00A1336B" w:rsidP="005427A1">
            <w:pPr>
              <w:pStyle w:val="Rubrik1"/>
              <w:ind w:left="0"/>
            </w:pPr>
            <w:r w:rsidRPr="00877EC7">
              <w:rPr>
                <w:noProof/>
              </w:rPr>
              <mc:AlternateContent>
                <mc:Choice Requires="wps">
                  <w:drawing>
                    <wp:anchor distT="0" distB="0" distL="114300" distR="114300" simplePos="0" relativeHeight="251659264" behindDoc="0" locked="0" layoutInCell="1" allowOverlap="1" wp14:anchorId="538F334C" wp14:editId="37AFC7AC">
                      <wp:simplePos x="0" y="0"/>
                      <wp:positionH relativeFrom="column">
                        <wp:posOffset>6518275</wp:posOffset>
                      </wp:positionH>
                      <wp:positionV relativeFrom="paragraph">
                        <wp:posOffset>78740</wp:posOffset>
                      </wp:positionV>
                      <wp:extent cx="1244600" cy="222885"/>
                      <wp:effectExtent l="0" t="0" r="0" b="0"/>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0B6B607" w14:textId="77777777" w:rsidR="00A1336B" w:rsidRPr="003D37FD" w:rsidRDefault="00A1336B" w:rsidP="00A1336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538F334C" id="_x0000_t202" coordsize="21600,21600" o:spt="202" path="m,l,21600r21600,l21600,xe">
                      <v:stroke joinstyle="miter"/>
                      <v:path gradientshapeok="t" o:connecttype="rect"/>
                    </v:shapetype>
                    <v:shape id="Textruta 2"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00B6B607" w14:textId="77777777" w:rsidR="00A1336B" w:rsidRPr="003D37FD" w:rsidRDefault="00A1336B" w:rsidP="00A1336B">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r w:rsidRPr="003D37FD">
                              <w:rPr>
                                <w:rFonts w:ascii="Arial" w:hAnsi="Arial" w:cs="Arial"/>
                                <w:color w:val="FFFFFF"/>
                                <w:sz w:val="18"/>
                                <w:szCs w:val="18"/>
                              </w:rPr>
                              <w:t>9427</w:t>
                            </w:r>
                            <w:r w:rsidRPr="003D37FD">
                              <w:rPr>
                                <w:rFonts w:ascii="Arial" w:hAnsi="Arial" w:cs="Arial"/>
                                <w:color w:val="FFFFFF"/>
                                <w:sz w:val="18"/>
                                <w:szCs w:val="18"/>
                              </w:rPr>
                              <w:fldChar w:fldCharType="end"/>
                            </w:r>
                          </w:p>
                        </w:txbxContent>
                      </v:textbox>
                    </v:shape>
                  </w:pict>
                </mc:Fallback>
              </mc:AlternateContent>
            </w:r>
            <w:bookmarkStart w:id="0" w:name="_1314629194"/>
            <w:bookmarkStart w:id="1" w:name="Rubrik"/>
            <w:bookmarkEnd w:id="0"/>
            <w:bookmarkEnd w:id="1"/>
            <w:r w:rsidRPr="00877EC7">
              <w:t>Robotassisterad</w:t>
            </w:r>
            <w:r>
              <w:t xml:space="preserve"> ärr- och navelbråcksoperation</w:t>
            </w:r>
          </w:p>
          <w:p w14:paraId="3587CCB3" w14:textId="77777777" w:rsidR="00A1336B" w:rsidRPr="003936FA" w:rsidRDefault="00A1336B" w:rsidP="005427A1">
            <w:pPr>
              <w:jc w:val="center"/>
              <w:rPr>
                <w:sz w:val="28"/>
                <w:szCs w:val="28"/>
              </w:rPr>
            </w:pPr>
            <w:r>
              <w:rPr>
                <w:sz w:val="28"/>
                <w:szCs w:val="28"/>
              </w:rPr>
              <w:t>Gäller operation Uddevalla</w:t>
            </w:r>
          </w:p>
        </w:tc>
      </w:tr>
    </w:tbl>
    <w:p w14:paraId="58D0C487" w14:textId="77777777" w:rsidR="00A1336B" w:rsidRDefault="00A1336B" w:rsidP="00A1336B">
      <w:pPr>
        <w:pStyle w:val="Rubrik2"/>
        <w:ind w:right="1161"/>
      </w:pPr>
      <w:r>
        <w:t>Revidering i denna version</w:t>
      </w:r>
    </w:p>
    <w:p w14:paraId="5C104E6D" w14:textId="77777777" w:rsidR="00A1336B" w:rsidRPr="00E52E8F" w:rsidRDefault="00A1336B" w:rsidP="00A1336B">
      <w:r>
        <w:t>Mindre ändringar under; Praktiska råd, Positionering patient</w:t>
      </w:r>
    </w:p>
    <w:p w14:paraId="789D8E33" w14:textId="77777777" w:rsidR="00A1336B" w:rsidRPr="00877EC7" w:rsidRDefault="00A1336B" w:rsidP="00A1336B">
      <w:pPr>
        <w:pStyle w:val="Rubrik2"/>
      </w:pPr>
      <w:r w:rsidRPr="00877EC7">
        <w:t xml:space="preserve">Bakgrund </w:t>
      </w:r>
    </w:p>
    <w:p w14:paraId="4F653C3A" w14:textId="77777777" w:rsidR="00A1336B" w:rsidRPr="00814E4E" w:rsidRDefault="00A1336B" w:rsidP="00A1336B">
      <w:pPr>
        <w:pStyle w:val="Rubrik2"/>
        <w:rPr>
          <w:rFonts w:ascii="Times New Roman" w:hAnsi="Times New Roman" w:cs="Times New Roman"/>
          <w:color w:val="272727"/>
          <w:sz w:val="24"/>
          <w:szCs w:val="24"/>
        </w:rPr>
      </w:pPr>
      <w:r w:rsidRPr="00814E4E">
        <w:rPr>
          <w:rFonts w:ascii="Times New Roman" w:hAnsi="Times New Roman" w:cs="Times New Roman"/>
          <w:color w:val="272727"/>
          <w:sz w:val="24"/>
          <w:szCs w:val="24"/>
        </w:rPr>
        <w:t>Bukhålan omges av väggar av muskler och muskelhinnor</w:t>
      </w:r>
      <w:r>
        <w:rPr>
          <w:rFonts w:ascii="Times New Roman" w:hAnsi="Times New Roman" w:cs="Times New Roman"/>
          <w:color w:val="272727"/>
          <w:sz w:val="24"/>
          <w:szCs w:val="24"/>
        </w:rPr>
        <w:t xml:space="preserve"> och i dessa </w:t>
      </w:r>
      <w:r w:rsidRPr="00814E4E">
        <w:rPr>
          <w:rFonts w:ascii="Times New Roman" w:hAnsi="Times New Roman" w:cs="Times New Roman"/>
          <w:color w:val="272727"/>
          <w:sz w:val="24"/>
          <w:szCs w:val="24"/>
        </w:rPr>
        <w:t>väggar</w:t>
      </w:r>
      <w:r>
        <w:rPr>
          <w:rFonts w:ascii="Times New Roman" w:hAnsi="Times New Roman" w:cs="Times New Roman"/>
          <w:color w:val="272727"/>
          <w:sz w:val="24"/>
          <w:szCs w:val="24"/>
        </w:rPr>
        <w:t xml:space="preserve"> k</w:t>
      </w:r>
      <w:r w:rsidRPr="00814E4E">
        <w:rPr>
          <w:rFonts w:ascii="Times New Roman" w:hAnsi="Times New Roman" w:cs="Times New Roman"/>
          <w:color w:val="272727"/>
          <w:sz w:val="24"/>
          <w:szCs w:val="24"/>
        </w:rPr>
        <w:t xml:space="preserve">an </w:t>
      </w:r>
      <w:r>
        <w:rPr>
          <w:rFonts w:ascii="Times New Roman" w:hAnsi="Times New Roman" w:cs="Times New Roman"/>
          <w:color w:val="272727"/>
          <w:sz w:val="24"/>
          <w:szCs w:val="24"/>
        </w:rPr>
        <w:t xml:space="preserve">det </w:t>
      </w:r>
      <w:r w:rsidRPr="00814E4E">
        <w:rPr>
          <w:rFonts w:ascii="Times New Roman" w:hAnsi="Times New Roman" w:cs="Times New Roman"/>
          <w:color w:val="272727"/>
          <w:sz w:val="24"/>
          <w:szCs w:val="24"/>
        </w:rPr>
        <w:t xml:space="preserve">uppstå försvagningar som gör att fett från tarmkäxet eller tarm trycks ut genom väggen och buktar ut. Detta kallas för bråck. Beroende på var bråcken buktar ut benämns de till exempel </w:t>
      </w:r>
      <w:r w:rsidRPr="00814E4E">
        <w:rPr>
          <w:rStyle w:val="Stark"/>
          <w:rFonts w:ascii="Times New Roman" w:hAnsi="Times New Roman" w:cs="Times New Roman"/>
          <w:b w:val="0"/>
          <w:bCs/>
          <w:color w:val="272727"/>
          <w:sz w:val="24"/>
          <w:szCs w:val="24"/>
        </w:rPr>
        <w:t>ljumskbråck</w:t>
      </w:r>
      <w:r w:rsidRPr="00814E4E">
        <w:rPr>
          <w:rFonts w:ascii="Times New Roman" w:hAnsi="Times New Roman" w:cs="Times New Roman"/>
          <w:color w:val="272727"/>
          <w:sz w:val="24"/>
          <w:szCs w:val="24"/>
        </w:rPr>
        <w:t xml:space="preserve"> eller </w:t>
      </w:r>
      <w:r w:rsidRPr="00814E4E">
        <w:rPr>
          <w:rStyle w:val="Stark"/>
          <w:rFonts w:ascii="Times New Roman" w:hAnsi="Times New Roman" w:cs="Times New Roman"/>
          <w:b w:val="0"/>
          <w:bCs/>
          <w:color w:val="272727"/>
          <w:sz w:val="24"/>
          <w:szCs w:val="24"/>
        </w:rPr>
        <w:t>navelbråck</w:t>
      </w:r>
      <w:r w:rsidRPr="00814E4E">
        <w:rPr>
          <w:rFonts w:ascii="Times New Roman" w:hAnsi="Times New Roman" w:cs="Times New Roman"/>
          <w:b/>
          <w:bCs w:val="0"/>
          <w:color w:val="272727"/>
          <w:sz w:val="24"/>
          <w:szCs w:val="24"/>
        </w:rPr>
        <w:t xml:space="preserve">. </w:t>
      </w:r>
      <w:r>
        <w:rPr>
          <w:rFonts w:ascii="Times New Roman" w:hAnsi="Times New Roman" w:cs="Times New Roman"/>
          <w:color w:val="272727"/>
          <w:sz w:val="24"/>
          <w:szCs w:val="24"/>
        </w:rPr>
        <w:t xml:space="preserve">Vid tidigare bukkirurgi </w:t>
      </w:r>
      <w:r w:rsidRPr="00814E4E">
        <w:rPr>
          <w:rFonts w:ascii="Times New Roman" w:hAnsi="Times New Roman" w:cs="Times New Roman"/>
          <w:color w:val="272727"/>
          <w:sz w:val="24"/>
          <w:szCs w:val="24"/>
        </w:rPr>
        <w:t>kan snittet läka med små defekter i muskelhinnan. Defekterna kan med tiden vidgas och tarmen kan börja bukta ut</w:t>
      </w:r>
      <w:r>
        <w:rPr>
          <w:rFonts w:ascii="Times New Roman" w:hAnsi="Times New Roman" w:cs="Times New Roman"/>
          <w:color w:val="272727"/>
          <w:sz w:val="24"/>
          <w:szCs w:val="24"/>
        </w:rPr>
        <w:t xml:space="preserve"> och et</w:t>
      </w:r>
      <w:r w:rsidRPr="00814E4E">
        <w:rPr>
          <w:rFonts w:ascii="Times New Roman" w:hAnsi="Times New Roman" w:cs="Times New Roman"/>
          <w:color w:val="272727"/>
          <w:sz w:val="24"/>
          <w:szCs w:val="24"/>
        </w:rPr>
        <w:t>t bråck uppstår då ligger i anslutning till ärret i huden</w:t>
      </w:r>
      <w:r>
        <w:rPr>
          <w:rFonts w:ascii="Times New Roman" w:hAnsi="Times New Roman" w:cs="Times New Roman"/>
          <w:color w:val="272727"/>
          <w:sz w:val="24"/>
          <w:szCs w:val="24"/>
        </w:rPr>
        <w:t>. Detta kallas</w:t>
      </w:r>
      <w:r w:rsidRPr="00814E4E">
        <w:rPr>
          <w:rFonts w:ascii="Times New Roman" w:hAnsi="Times New Roman" w:cs="Times New Roman"/>
          <w:color w:val="272727"/>
          <w:sz w:val="24"/>
          <w:szCs w:val="24"/>
        </w:rPr>
        <w:t xml:space="preserve"> ärrbråck.</w:t>
      </w:r>
      <w:r>
        <w:rPr>
          <w:rFonts w:ascii="Times New Roman" w:hAnsi="Times New Roman" w:cs="Times New Roman"/>
          <w:color w:val="272727"/>
          <w:sz w:val="24"/>
          <w:szCs w:val="24"/>
        </w:rPr>
        <w:t xml:space="preserve"> </w:t>
      </w:r>
      <w:r w:rsidRPr="00814E4E">
        <w:rPr>
          <w:rFonts w:ascii="Times New Roman" w:hAnsi="Times New Roman" w:cs="Times New Roman"/>
          <w:color w:val="272727"/>
          <w:sz w:val="24"/>
          <w:szCs w:val="24"/>
        </w:rPr>
        <w:t>Bukväggsbråck är ett samlingsnamn för alla bråck i bukväggen.</w:t>
      </w:r>
    </w:p>
    <w:p w14:paraId="79C46717" w14:textId="77777777" w:rsidR="00A1336B" w:rsidRDefault="00A1336B" w:rsidP="00A1336B">
      <w:pPr>
        <w:pStyle w:val="Rubrik2"/>
      </w:pPr>
      <w:r>
        <w:t>S</w:t>
      </w:r>
      <w:r w:rsidRPr="005A0E03">
        <w:t xml:space="preserve">yfte </w:t>
      </w:r>
    </w:p>
    <w:p w14:paraId="7EB3DE61" w14:textId="77777777" w:rsidR="00A1336B" w:rsidRDefault="00A1336B" w:rsidP="00A1336B">
      <w:r>
        <w:t xml:space="preserve">Att skapa goda och säkra rutiner för omhändertagande av patient vid robotassisterad ljumskbråcksoperation. </w:t>
      </w:r>
    </w:p>
    <w:p w14:paraId="55672759" w14:textId="77777777" w:rsidR="00A1336B" w:rsidRDefault="00A1336B" w:rsidP="00A1336B">
      <w:pPr>
        <w:pStyle w:val="Rubrik2"/>
      </w:pPr>
      <w:r>
        <w:t>Vilka berörs</w:t>
      </w:r>
    </w:p>
    <w:p w14:paraId="715D61C3" w14:textId="77777777" w:rsidR="00A1336B" w:rsidRDefault="00A1336B" w:rsidP="00A1336B">
      <w:r>
        <w:t>All personal Operation Nu-sjukvården</w:t>
      </w:r>
    </w:p>
    <w:p w14:paraId="267C6D47" w14:textId="77777777" w:rsidR="00A1336B" w:rsidRPr="00877EC7" w:rsidRDefault="00A1336B" w:rsidP="00A1336B">
      <w:pPr>
        <w:pStyle w:val="Rubrik2"/>
      </w:pPr>
      <w:r w:rsidRPr="00877EC7">
        <w:t>Premedicinering</w:t>
      </w:r>
    </w:p>
    <w:p w14:paraId="0E7904F4" w14:textId="77777777" w:rsidR="00A1336B" w:rsidRDefault="00A1336B" w:rsidP="00A1336B">
      <w:pPr>
        <w:spacing w:after="240"/>
        <w:rPr>
          <w:rFonts w:ascii="Arial" w:hAnsi="Arial" w:cs="Arial"/>
          <w:b/>
          <w:sz w:val="28"/>
          <w:szCs w:val="28"/>
        </w:rPr>
      </w:pPr>
      <w:r>
        <w:t xml:space="preserve">Alvedon 1g, Targiniq 10mg, Arcoxia 120mg (om inga kontraindikationer) </w:t>
      </w:r>
    </w:p>
    <w:p w14:paraId="53BFB50B" w14:textId="77777777" w:rsidR="00A1336B" w:rsidRDefault="00A1336B" w:rsidP="00A1336B">
      <w:pPr>
        <w:pStyle w:val="Rubrik2"/>
      </w:pPr>
      <w:r>
        <w:t>Anestesiförslag</w:t>
      </w:r>
    </w:p>
    <w:p w14:paraId="7C914DDF" w14:textId="77777777" w:rsidR="00A1336B" w:rsidRDefault="00A1336B" w:rsidP="00A1336B">
      <w:pPr>
        <w:tabs>
          <w:tab w:val="left" w:pos="1418"/>
        </w:tabs>
        <w:spacing w:after="0" w:line="240" w:lineRule="auto"/>
      </w:pPr>
      <w:r>
        <w:t xml:space="preserve">Anestesikort: Intub: Ultiva/Sevofluran/Esmeron alt </w:t>
      </w:r>
    </w:p>
    <w:p w14:paraId="6D654CE9" w14:textId="77777777" w:rsidR="00A1336B" w:rsidRDefault="00A1336B" w:rsidP="00A1336B">
      <w:pPr>
        <w:spacing w:after="0" w:line="240" w:lineRule="auto"/>
      </w:pPr>
      <w:r>
        <w:t>Intub: Ultiva/Propfol/Esmeron</w:t>
      </w:r>
    </w:p>
    <w:p w14:paraId="62446BDF" w14:textId="77777777" w:rsidR="00A1336B" w:rsidRDefault="00A1336B" w:rsidP="00A1336B">
      <w:pPr>
        <w:spacing w:after="0" w:line="240" w:lineRule="auto"/>
      </w:pPr>
      <w:r>
        <w:t>Robinul</w:t>
      </w:r>
    </w:p>
    <w:p w14:paraId="75EB3322" w14:textId="77777777" w:rsidR="00A1336B" w:rsidRDefault="00A1336B" w:rsidP="00A1336B">
      <w:pPr>
        <w:spacing w:after="0" w:line="240" w:lineRule="auto"/>
      </w:pPr>
      <w:r>
        <w:t>Ondansetron</w:t>
      </w:r>
    </w:p>
    <w:p w14:paraId="5B15997C" w14:textId="77777777" w:rsidR="00A1336B" w:rsidRDefault="00A1336B" w:rsidP="00A1336B">
      <w:pPr>
        <w:spacing w:after="0" w:line="240" w:lineRule="auto"/>
      </w:pPr>
      <w:r>
        <w:t>Betapred, 2ml</w:t>
      </w:r>
    </w:p>
    <w:p w14:paraId="66AE06E2" w14:textId="77777777" w:rsidR="00A1336B" w:rsidRDefault="00A1336B" w:rsidP="00A1336B">
      <w:pPr>
        <w:spacing w:after="0"/>
      </w:pPr>
      <w:r>
        <w:lastRenderedPageBreak/>
        <w:t>Catapresan</w:t>
      </w:r>
    </w:p>
    <w:p w14:paraId="3D4AE7F7" w14:textId="77777777" w:rsidR="00A1336B" w:rsidRDefault="00A1336B" w:rsidP="00A1336B">
      <w:pPr>
        <w:spacing w:after="0"/>
      </w:pPr>
      <w:r>
        <w:t>Oxynorm</w:t>
      </w:r>
    </w:p>
    <w:p w14:paraId="7DB1BCBA" w14:textId="77777777" w:rsidR="00A1336B" w:rsidRDefault="00A1336B" w:rsidP="00A1336B">
      <w:pPr>
        <w:spacing w:after="0" w:line="240" w:lineRule="auto"/>
      </w:pPr>
      <w:r>
        <w:t>PONV-profylax</w:t>
      </w:r>
    </w:p>
    <w:p w14:paraId="26A22F25" w14:textId="77777777" w:rsidR="00A1336B" w:rsidRDefault="00A1336B" w:rsidP="00A1336B">
      <w:pPr>
        <w:spacing w:after="0" w:line="240" w:lineRule="auto"/>
      </w:pPr>
      <w:r>
        <w:t>Sugammadex vb</w:t>
      </w:r>
    </w:p>
    <w:p w14:paraId="36F776C8" w14:textId="77777777" w:rsidR="00A1336B" w:rsidRDefault="00A1336B" w:rsidP="00A1336B">
      <w:pPr>
        <w:spacing w:after="0" w:line="240" w:lineRule="auto"/>
      </w:pPr>
      <w:r>
        <w:t>Ev läggs TAP-blockad av operatör</w:t>
      </w:r>
    </w:p>
    <w:p w14:paraId="4E94B66A" w14:textId="77777777" w:rsidR="00A1336B" w:rsidRDefault="00A1336B" w:rsidP="00A1336B">
      <w:pPr>
        <w:pStyle w:val="Rubrik2"/>
      </w:pPr>
      <w:r>
        <w:t>Utrustning</w:t>
      </w:r>
    </w:p>
    <w:p w14:paraId="3A26DF98" w14:textId="77777777" w:rsidR="00A1336B" w:rsidRDefault="00A1336B" w:rsidP="00A1336B">
      <w:pPr>
        <w:rPr>
          <w:rFonts w:ascii="Arial" w:hAnsi="Arial" w:cs="Arial"/>
          <w:b/>
          <w:sz w:val="28"/>
          <w:szCs w:val="28"/>
        </w:rPr>
      </w:pPr>
      <w:r>
        <w:t xml:space="preserve">Standard, TOF, patientvärmare, V-sond på indikation – sonda pre- och postoperativt om v-sond inte används. </w:t>
      </w:r>
    </w:p>
    <w:p w14:paraId="005C90F5" w14:textId="77777777" w:rsidR="00A1336B" w:rsidRDefault="00A1336B" w:rsidP="00A1336B">
      <w:pPr>
        <w:pStyle w:val="Rubrik2"/>
      </w:pPr>
      <w:r>
        <w:t>Blodgruppering/Bastest</w:t>
      </w:r>
    </w:p>
    <w:p w14:paraId="7A31A619" w14:textId="77777777" w:rsidR="00A1336B" w:rsidRDefault="00A1336B" w:rsidP="00A1336B">
      <w:pPr>
        <w:rPr>
          <w:rFonts w:ascii="Arial" w:hAnsi="Arial" w:cs="Arial"/>
          <w:b/>
          <w:sz w:val="28"/>
          <w:szCs w:val="28"/>
        </w:rPr>
      </w:pPr>
      <w:r>
        <w:t xml:space="preserve">Ja/ Nej </w:t>
      </w:r>
    </w:p>
    <w:p w14:paraId="5DBDF588" w14:textId="77777777" w:rsidR="00A1336B" w:rsidRDefault="00A1336B" w:rsidP="00A1336B">
      <w:pPr>
        <w:pStyle w:val="Rubrik2"/>
      </w:pPr>
      <w:r>
        <w:t>Förberedelser</w:t>
      </w:r>
    </w:p>
    <w:p w14:paraId="5B815293" w14:textId="77777777" w:rsidR="00A1336B" w:rsidRDefault="00A1336B" w:rsidP="00A1336B">
      <w:pPr>
        <w:rPr>
          <w:bCs/>
        </w:rPr>
      </w:pPr>
      <w:r w:rsidRPr="00617B0A">
        <w:rPr>
          <w:bCs/>
        </w:rPr>
        <w:t>Håravkortning hela</w:t>
      </w:r>
      <w:r>
        <w:rPr>
          <w:bCs/>
        </w:rPr>
        <w:t xml:space="preserve"> buken ner till symfysen och även utmed sidorna (TAP-blockad) descutantvättning.</w:t>
      </w:r>
    </w:p>
    <w:p w14:paraId="0B49A806" w14:textId="77777777" w:rsidR="00A1336B" w:rsidRPr="00617B0A" w:rsidRDefault="00A1336B" w:rsidP="00A1336B">
      <w:pPr>
        <w:rPr>
          <w:bCs/>
        </w:rPr>
      </w:pPr>
      <w:r>
        <w:rPr>
          <w:bCs/>
        </w:rPr>
        <w:t xml:space="preserve">Bladderscan preoperativt. </w:t>
      </w:r>
    </w:p>
    <w:p w14:paraId="23BFA0C2" w14:textId="77777777" w:rsidR="00A1336B" w:rsidRPr="00877EC7" w:rsidRDefault="00A1336B" w:rsidP="00A1336B">
      <w:pPr>
        <w:pStyle w:val="Rubrik2"/>
      </w:pPr>
      <w:r w:rsidRPr="00877EC7">
        <w:t>Praktiska råd</w:t>
      </w:r>
    </w:p>
    <w:p w14:paraId="0986FD42" w14:textId="77777777" w:rsidR="00A1336B" w:rsidRDefault="00A1336B" w:rsidP="00A1336B">
      <w:r w:rsidRPr="002355BF">
        <w:t>PVK</w:t>
      </w:r>
      <w:r>
        <w:t xml:space="preserve"> i hö arm. Blodtrycksmanschett vä arm. Oraltub tejpas i hö mungipa.</w:t>
      </w:r>
    </w:p>
    <w:p w14:paraId="1AAE8B18" w14:textId="77777777" w:rsidR="00A1336B" w:rsidRDefault="00A1336B" w:rsidP="00A1336B">
      <w:r>
        <w:t>Operationsbordet knickas innan patienten sövs. Spara bordsinställning i snabbminne, plana bordet och söv patienten. Återgå till snabbminnets sparade position innan steriltvätt.</w:t>
      </w:r>
    </w:p>
    <w:p w14:paraId="351AE173" w14:textId="77777777" w:rsidR="00A1336B" w:rsidRDefault="00A1336B" w:rsidP="00A1336B">
      <w:r>
        <w:t>Kontrollera att operationsbordet är låst innan operationsstart. Sätt kontrollen till bordet i väggen under operationen. Insufflerad koldioxid kan ge stigande EtCO2 vid behov öka ventilationen. Patienten måste vara väl muskelrelaxerad. Ge muskelrelaxantia innan operationsstart och om patienten stiger i TOF.</w:t>
      </w:r>
    </w:p>
    <w:p w14:paraId="6347C86D" w14:textId="77777777" w:rsidR="00A1336B" w:rsidRDefault="00A1336B" w:rsidP="00A1336B">
      <w:r>
        <w:t xml:space="preserve">Använd ögonförband t.ex. Cornea Care. </w:t>
      </w:r>
    </w:p>
    <w:p w14:paraId="53E0DAA8" w14:textId="77777777" w:rsidR="00A1336B" w:rsidRDefault="00A1336B" w:rsidP="00A1336B">
      <w:pPr>
        <w:spacing w:after="0" w:line="240" w:lineRule="auto"/>
        <w:ind w:left="0" w:right="0"/>
      </w:pPr>
    </w:p>
    <w:p w14:paraId="74314FCC" w14:textId="77777777" w:rsidR="00A1336B" w:rsidRDefault="00A1336B" w:rsidP="00A1336B">
      <w:pPr>
        <w:pStyle w:val="Rubrik2"/>
        <w:spacing w:before="0"/>
      </w:pPr>
      <w:r>
        <w:t>Positi</w:t>
      </w:r>
      <w:r w:rsidRPr="00A1336B">
        <w:t xml:space="preserve">onering </w:t>
      </w:r>
    </w:p>
    <w:p w14:paraId="22CF2D1D" w14:textId="77777777" w:rsidR="00A1336B" w:rsidRDefault="00A1336B" w:rsidP="00A1336B">
      <w:pPr>
        <w:pStyle w:val="Rubrik3"/>
      </w:pPr>
      <w:r w:rsidRPr="00A1336B">
        <w:t>Patient</w:t>
      </w:r>
    </w:p>
    <w:p w14:paraId="01026983" w14:textId="77777777" w:rsidR="00A1336B" w:rsidRDefault="00A1336B" w:rsidP="00A1336B">
      <w:pPr>
        <w:spacing w:after="0"/>
      </w:pPr>
      <w:r>
        <w:t xml:space="preserve">Armbord x 1 hö-sida, vä arm längs med sidan - inbäddad, antiglidmadrass, benrem (ej för hårt satt). Överkroppen tippas neråt.  Placera patienten så att operationsbordsleden hamnar vid arcus. </w:t>
      </w:r>
    </w:p>
    <w:p w14:paraId="54966E00" w14:textId="77777777" w:rsidR="00A1336B" w:rsidRPr="005F07CD" w:rsidRDefault="00A1336B" w:rsidP="00A1336B">
      <w:pPr>
        <w:pStyle w:val="Rubrik3"/>
      </w:pPr>
      <w:r w:rsidRPr="005F07CD">
        <w:lastRenderedPageBreak/>
        <w:t>Operationsbord</w:t>
      </w:r>
    </w:p>
    <w:p w14:paraId="2A06E4AC" w14:textId="77777777" w:rsidR="00A1336B" w:rsidRDefault="00A1336B" w:rsidP="00A1336B">
      <w:pPr>
        <w:spacing w:after="0"/>
      </w:pPr>
      <w:r>
        <w:t xml:space="preserve">Standardbord används. Om patientens längd kräver, använd tvådelad benplatta. </w:t>
      </w:r>
    </w:p>
    <w:p w14:paraId="657F6449" w14:textId="77777777" w:rsidR="00A1336B" w:rsidRPr="003C777F" w:rsidRDefault="00A1336B" w:rsidP="00A1336B">
      <w:pPr>
        <w:pStyle w:val="Rubrik2"/>
      </w:pPr>
      <w:r w:rsidRPr="003C777F">
        <w:t>Risker</w:t>
      </w:r>
    </w:p>
    <w:p w14:paraId="63374180" w14:textId="77777777" w:rsidR="00A1336B" w:rsidRPr="00CF4772" w:rsidRDefault="00A1336B" w:rsidP="00A1336B">
      <w:r>
        <w:t xml:space="preserve">Konvertering till öppen kirurgi vid operationstekniskt svåra förhållanden. Patienten får inte röras/ förflyttas medan roboten är dockad till portarna.  </w:t>
      </w:r>
    </w:p>
    <w:p w14:paraId="59D8A470" w14:textId="77777777" w:rsidR="00A1336B" w:rsidRPr="00877EC7" w:rsidRDefault="00A1336B" w:rsidP="00A1336B">
      <w:pPr>
        <w:pStyle w:val="Rubrik2"/>
      </w:pPr>
      <w:r w:rsidRPr="00877EC7">
        <w:t xml:space="preserve">Avslutning/postoperativt </w:t>
      </w:r>
    </w:p>
    <w:p w14:paraId="67294DD4" w14:textId="77777777" w:rsidR="00A1336B" w:rsidRDefault="00A1336B" w:rsidP="00A1336B">
      <w:r>
        <w:t xml:space="preserve">Då patienten skall vara väl muskelrelaxerad perioperativt, bör Sugammadex övervägas. </w:t>
      </w:r>
    </w:p>
    <w:p w14:paraId="369BA27F" w14:textId="77777777" w:rsidR="00A1336B" w:rsidRDefault="00A1336B" w:rsidP="00A1336B"/>
    <w:p w14:paraId="0BB5ABDF" w14:textId="77777777" w:rsidR="00A1336B" w:rsidRPr="00C10178" w:rsidRDefault="00A1336B" w:rsidP="00A1336B"/>
    <w:p w14:paraId="40AA233F" w14:textId="5ABF6307" w:rsidR="009C6C0C" w:rsidRPr="00A1336B" w:rsidRDefault="009C6C0C" w:rsidP="00A1336B"/>
    <w:sectPr w:rsidR="009C6C0C" w:rsidRPr="00A1336B" w:rsidSect="00B96AFF">
      <w:headerReference w:type="even" r:id="rId12"/>
      <w:headerReference w:type="default" r:id="rId13"/>
      <w:footerReference w:type="even" r:id="rId14"/>
      <w:footerReference w:type="default" r:id="rId15"/>
      <w:headerReference w:type="first" r:id="rId16"/>
      <w:footerReference w:type="first" r:id="rId17"/>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9EB7822" w14:textId="77777777" w:rsidR="00453A33" w:rsidRDefault="00453A33">
      <w:r>
        <w:separator/>
      </w:r>
    </w:p>
  </w:endnote>
  <w:endnote w:type="continuationSeparator" w:id="0">
    <w:p w14:paraId="7534BD81" w14:textId="77777777" w:rsidR="00453A33" w:rsidRDefault="00453A33">
      <w:r>
        <w:continuationSeparator/>
      </w:r>
    </w:p>
  </w:endnote>
  <w:endnote w:type="continuationNotice" w:id="1">
    <w:p w14:paraId="37D70C88" w14:textId="77777777" w:rsidR="00453A33" w:rsidRDefault="00453A3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EC0A68" w:rsidRDefault="00A1336B"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A455EB" w14:textId="77777777" w:rsidR="00453A33" w:rsidRDefault="00453A33"/>
  </w:footnote>
  <w:footnote w:type="continuationSeparator" w:id="0">
    <w:p w14:paraId="2920849F" w14:textId="77777777" w:rsidR="00453A33" w:rsidRDefault="00453A33">
      <w:r>
        <w:continuationSeparator/>
      </w:r>
    </w:p>
  </w:footnote>
  <w:footnote w:type="continuationNotice" w:id="1">
    <w:p w14:paraId="30B05EAA" w14:textId="77777777" w:rsidR="00453A33" w:rsidRDefault="00453A3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17"/>
  </w:num>
  <w:num w:numId="2" w16cid:durableId="1367871050">
    <w:abstractNumId w:val="14"/>
  </w:num>
  <w:num w:numId="3" w16cid:durableId="164058872">
    <w:abstractNumId w:val="0"/>
  </w:num>
  <w:num w:numId="4" w16cid:durableId="861477783">
    <w:abstractNumId w:val="6"/>
  </w:num>
  <w:num w:numId="5" w16cid:durableId="1280868239">
    <w:abstractNumId w:val="15"/>
  </w:num>
  <w:num w:numId="6" w16cid:durableId="444931515">
    <w:abstractNumId w:val="2"/>
  </w:num>
  <w:num w:numId="7" w16cid:durableId="739910959">
    <w:abstractNumId w:val="11"/>
  </w:num>
  <w:num w:numId="8" w16cid:durableId="391579451">
    <w:abstractNumId w:val="8"/>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3"/>
  </w:num>
  <w:num w:numId="14" w16cid:durableId="36130748">
    <w:abstractNumId w:val="9"/>
  </w:num>
  <w:num w:numId="15" w16cid:durableId="560679449">
    <w:abstractNumId w:val="7"/>
  </w:num>
  <w:num w:numId="16" w16cid:durableId="1420566503">
    <w:abstractNumId w:val="12"/>
  </w:num>
  <w:num w:numId="17" w16cid:durableId="256527698">
    <w:abstractNumId w:val="5"/>
  </w:num>
  <w:num w:numId="18" w16cid:durableId="1090539201">
    <w:abstractNumId w:val="10"/>
  </w:num>
  <w:num w:numId="19" w16cid:durableId="184643959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329E"/>
    <w:rsid w:val="001A4E7C"/>
    <w:rsid w:val="001B762C"/>
    <w:rsid w:val="001C4D0A"/>
    <w:rsid w:val="001C5FEF"/>
    <w:rsid w:val="001E3789"/>
    <w:rsid w:val="00211487"/>
    <w:rsid w:val="00211D91"/>
    <w:rsid w:val="00217DEC"/>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53A33"/>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C6E13"/>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1336B"/>
    <w:rsid w:val="00A264BE"/>
    <w:rsid w:val="00A272CA"/>
    <w:rsid w:val="00A33051"/>
    <w:rsid w:val="00A3571F"/>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951E9"/>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qFormat="1"/>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Stark">
    <w:name w:val="Strong"/>
    <w:basedOn w:val="Standardstycketeckensnitt"/>
    <w:uiPriority w:val="22"/>
    <w:qFormat/>
    <w:locked/>
    <w:rsid w:val="00D951E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2.xml" Id="rId13" /><Relationship Type="http://schemas.openxmlformats.org/officeDocument/2006/relationships/fontTable" Target="fontTable.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oter" Target="footer3.xml" Id="rId17" /><Relationship Type="http://schemas.openxmlformats.org/officeDocument/2006/relationships/header" Target="head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theme" Target="theme/theme1.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348</Words>
  <Characters>2353</Characters>
  <Application>Microsoft Office Word</Application>
  <DocSecurity>0</DocSecurity>
  <Lines>19</Lines>
  <Paragraphs>5</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2696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Robotassisterad ärr- och navelbråcksoperation Operation Uddevalla</dc:title>
  <dc:subject/>
  <dc:creator/>
  <keywords/>
  <lastModifiedBy/>
  <revision>1</revision>
  <dcterms:created xsi:type="dcterms:W3CDTF">2024-01-25T08:46:00.0000000Z</dcterms:created>
  <dcterms:modified xsi:type="dcterms:W3CDTF">2025-11-28T07:55:00.0000000Z</dcterms:modified>
</coreProperties>
</file>