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D9335" w14:textId="77777777" w:rsidR="00C41A3F" w:rsidRDefault="00C41A3F" w:rsidP="00DA7CDB">
      <w:pPr>
        <w:pStyle w:val="Heading2"/>
        <w:ind w:left="709"/>
        <w:sectPr w:rsidR="00C41A3F" w:rsidSect="00C41A3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A4CD3A1" w14:textId="77777777" w:rsidR="00C41A3F" w:rsidRPr="00C41A3F" w:rsidRDefault="00C41A3F" w:rsidP="00DA7CDB">
      <w:pPr>
        <w:spacing w:after="0" w:line="240" w:lineRule="auto"/>
        <w:ind w:left="709" w:right="0"/>
        <w:rPr>
          <w:szCs w:val="20"/>
        </w:rPr>
      </w:pPr>
    </w:p>
    <w:p w14:paraId="305FA4B3" w14:textId="77777777" w:rsidR="00C41A3F" w:rsidRPr="00C41A3F" w:rsidRDefault="00C41A3F" w:rsidP="00DA7CDB">
      <w:pPr>
        <w:spacing w:after="0" w:line="240" w:lineRule="auto"/>
        <w:ind w:left="709" w:right="0"/>
        <w:rPr>
          <w:szCs w:val="20"/>
        </w:rPr>
      </w:pPr>
    </w:p>
    <w:p w14:paraId="603E3F5E" w14:textId="77777777" w:rsidR="00C41A3F" w:rsidRPr="00C41A3F" w:rsidRDefault="00C41A3F" w:rsidP="00DA7CDB">
      <w:pPr>
        <w:tabs>
          <w:tab w:val="left" w:pos="4590"/>
        </w:tabs>
        <w:spacing w:after="0" w:line="240" w:lineRule="auto"/>
        <w:ind w:left="709" w:right="0"/>
        <w:rPr>
          <w:szCs w:val="20"/>
        </w:rPr>
      </w:pPr>
      <w:r w:rsidRPr="00C41A3F">
        <w:rPr>
          <w:szCs w:val="20"/>
        </w:rPr>
        <w:tab/>
      </w:r>
    </w:p>
    <w:p w14:paraId="4F11D8E8" w14:textId="7047FB8A" w:rsidR="00C41A3F" w:rsidRPr="00C41A3F" w:rsidRDefault="00C41A3F" w:rsidP="00DA7CDB">
      <w:pPr>
        <w:spacing w:after="0" w:line="240" w:lineRule="auto"/>
        <w:ind w:left="709" w:right="-568"/>
        <w:rPr>
          <w:szCs w:val="20"/>
        </w:rPr>
      </w:pPr>
      <w:r w:rsidRPr="00C41A3F">
        <w:rPr>
          <w:noProof/>
          <w:szCs w:val="20"/>
        </w:rPr>
        <mc:AlternateContent>
          <mc:Choice Requires="wps">
            <w:drawing>
              <wp:anchor distT="0" distB="0" distL="114300" distR="114300" simplePos="0" relativeHeight="251658240" behindDoc="0" locked="0" layoutInCell="1" allowOverlap="1" wp14:anchorId="193507AB" wp14:editId="30A9770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73E199" w14:textId="77777777" w:rsidR="00C41A3F" w:rsidRPr="003D37FD" w:rsidRDefault="00C41A3F" w:rsidP="00C41A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35939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93507A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273E199" w14:textId="77777777" w:rsidR="00C41A3F" w:rsidRPr="003D37FD" w:rsidRDefault="00C41A3F" w:rsidP="00C41A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35939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41A3F" w:rsidRPr="00C41A3F" w14:paraId="7715ABE1" w14:textId="77777777" w:rsidTr="00842F97">
        <w:trPr>
          <w:cantSplit/>
          <w:trHeight w:val="570"/>
        </w:trPr>
        <w:tc>
          <w:tcPr>
            <w:tcW w:w="9039" w:type="dxa"/>
            <w:tcBorders>
              <w:bottom w:val="single" w:sz="8" w:space="0" w:color="auto"/>
            </w:tcBorders>
            <w:tcMar>
              <w:left w:w="0" w:type="dxa"/>
              <w:right w:w="0" w:type="dxa"/>
            </w:tcMar>
            <w:vAlign w:val="bottom"/>
          </w:tcPr>
          <w:p w14:paraId="7ABB1B5D" w14:textId="77777777" w:rsidR="00C41A3F" w:rsidRPr="00C41A3F" w:rsidRDefault="00C41A3F" w:rsidP="00DA7CDB">
            <w:pPr>
              <w:pStyle w:val="Heading1"/>
              <w:ind w:left="709"/>
            </w:pPr>
            <w:bookmarkStart w:id="1" w:name="_1314629194"/>
            <w:bookmarkStart w:id="2" w:name="Rubrik"/>
            <w:bookmarkEnd w:id="1"/>
            <w:bookmarkEnd w:id="2"/>
            <w:proofErr w:type="spellStart"/>
            <w:r w:rsidRPr="00C41A3F">
              <w:t>Bispectral</w:t>
            </w:r>
            <w:proofErr w:type="spellEnd"/>
            <w:r w:rsidRPr="00C41A3F">
              <w:t xml:space="preserve"> index, BIS</w:t>
            </w:r>
          </w:p>
        </w:tc>
      </w:tr>
    </w:tbl>
    <w:p w14:paraId="156FC290" w14:textId="77777777" w:rsidR="00C41A3F" w:rsidRDefault="00C41A3F" w:rsidP="00DA7CDB">
      <w:pPr>
        <w:keepNext/>
        <w:spacing w:after="0" w:line="240" w:lineRule="auto"/>
        <w:ind w:left="709" w:right="0"/>
        <w:outlineLvl w:val="0"/>
        <w:rPr>
          <w:rFonts w:ascii="Arial Fet" w:hAnsi="Arial Fet" w:cs="Arial"/>
          <w:b/>
          <w:bCs/>
          <w:kern w:val="32"/>
          <w:sz w:val="32"/>
          <w:szCs w:val="32"/>
        </w:rPr>
      </w:pPr>
    </w:p>
    <w:p w14:paraId="78AE7F2B" w14:textId="7B7D09AE" w:rsidR="00DA7CDB" w:rsidRDefault="00DA7CDB" w:rsidP="00DA7CDB">
      <w:pPr>
        <w:pStyle w:val="Heading2"/>
        <w:ind w:left="709"/>
      </w:pPr>
      <w:r>
        <w:t>Revidering i denna version:</w:t>
      </w:r>
    </w:p>
    <w:p w14:paraId="3FA71B0D" w14:textId="09551450" w:rsidR="00DA7CDB" w:rsidRPr="00DA7CDB" w:rsidRDefault="00DA7CDB" w:rsidP="00DA7CDB">
      <w:pPr>
        <w:keepNext/>
        <w:spacing w:after="0" w:line="240" w:lineRule="auto"/>
        <w:ind w:left="709" w:right="0"/>
        <w:outlineLvl w:val="0"/>
      </w:pPr>
      <w:r>
        <w:t>Ingen revidering, förlängd giltighetstid.</w:t>
      </w:r>
    </w:p>
    <w:p w14:paraId="7B87D079" w14:textId="77777777" w:rsidR="00C41A3F" w:rsidRPr="00C41A3F" w:rsidRDefault="00C41A3F" w:rsidP="00DA7CDB">
      <w:pPr>
        <w:pStyle w:val="Heading2"/>
        <w:ind w:left="709"/>
      </w:pPr>
      <w:r w:rsidRPr="00C41A3F">
        <w:t>Bakgrund</w:t>
      </w:r>
    </w:p>
    <w:p w14:paraId="24559AB5" w14:textId="77777777" w:rsidR="00C41A3F" w:rsidRPr="00C41A3F" w:rsidRDefault="00C41A3F" w:rsidP="00DA7CDB">
      <w:pPr>
        <w:spacing w:after="0" w:line="240" w:lineRule="auto"/>
        <w:ind w:left="709" w:right="0"/>
        <w:rPr>
          <w:szCs w:val="26"/>
        </w:rPr>
      </w:pPr>
      <w:r w:rsidRPr="00C41A3F">
        <w:rPr>
          <w:szCs w:val="26"/>
        </w:rPr>
        <w:t xml:space="preserve">BIS, </w:t>
      </w:r>
      <w:proofErr w:type="spellStart"/>
      <w:r w:rsidRPr="00C41A3F">
        <w:rPr>
          <w:szCs w:val="26"/>
        </w:rPr>
        <w:t>Bispectral</w:t>
      </w:r>
      <w:proofErr w:type="spellEnd"/>
      <w:r w:rsidRPr="00C41A3F">
        <w:rPr>
          <w:szCs w:val="26"/>
        </w:rPr>
        <w:t xml:space="preserve"> index, är en numerisk skala från 1-100 som tas ut från patientens EEG för att optimera dosen av narkosläkemedel till en sövd patient. Syftet är både att minska mängden narkosmedel men också att förhindra </w:t>
      </w:r>
      <w:proofErr w:type="spellStart"/>
      <w:r w:rsidRPr="00C41A3F">
        <w:rPr>
          <w:szCs w:val="26"/>
        </w:rPr>
        <w:t>awareness</w:t>
      </w:r>
      <w:proofErr w:type="spellEnd"/>
      <w:r w:rsidRPr="00C41A3F">
        <w:rPr>
          <w:szCs w:val="26"/>
        </w:rPr>
        <w:t xml:space="preserve"> hos muskelrelaxerade patienter. Evidens finns för att BIS minskar risken för </w:t>
      </w:r>
      <w:proofErr w:type="spellStart"/>
      <w:r w:rsidRPr="00C41A3F">
        <w:rPr>
          <w:szCs w:val="26"/>
        </w:rPr>
        <w:t>awarenes</w:t>
      </w:r>
      <w:proofErr w:type="spellEnd"/>
      <w:r w:rsidRPr="00C41A3F">
        <w:rPr>
          <w:szCs w:val="26"/>
        </w:rPr>
        <w:t xml:space="preserve"> hos patienter som sövs med </w:t>
      </w:r>
      <w:proofErr w:type="spellStart"/>
      <w:r w:rsidRPr="00C41A3F">
        <w:rPr>
          <w:szCs w:val="26"/>
        </w:rPr>
        <w:t>propofol</w:t>
      </w:r>
      <w:proofErr w:type="spellEnd"/>
      <w:r w:rsidRPr="00C41A3F">
        <w:rPr>
          <w:szCs w:val="26"/>
        </w:rPr>
        <w:t xml:space="preserve"> och </w:t>
      </w:r>
      <w:proofErr w:type="spellStart"/>
      <w:r w:rsidRPr="00C41A3F">
        <w:rPr>
          <w:szCs w:val="26"/>
        </w:rPr>
        <w:t>muskelrelaxantia</w:t>
      </w:r>
      <w:proofErr w:type="spellEnd"/>
      <w:r w:rsidRPr="00C41A3F">
        <w:rPr>
          <w:szCs w:val="26"/>
        </w:rPr>
        <w:t xml:space="preserve">. Detta gäller inte för inhalationsanestesi med t ex </w:t>
      </w:r>
      <w:proofErr w:type="spellStart"/>
      <w:r w:rsidRPr="00C41A3F">
        <w:rPr>
          <w:szCs w:val="26"/>
        </w:rPr>
        <w:t>sevofluran</w:t>
      </w:r>
      <w:proofErr w:type="spellEnd"/>
      <w:r w:rsidRPr="00C41A3F">
        <w:rPr>
          <w:szCs w:val="26"/>
        </w:rPr>
        <w:t xml:space="preserve">, där MAC &gt; 0,6 visat sig ge samma skydd mot </w:t>
      </w:r>
      <w:proofErr w:type="spellStart"/>
      <w:r w:rsidRPr="00C41A3F">
        <w:rPr>
          <w:szCs w:val="26"/>
        </w:rPr>
        <w:t>awareness</w:t>
      </w:r>
      <w:proofErr w:type="spellEnd"/>
      <w:r w:rsidRPr="00C41A3F">
        <w:rPr>
          <w:szCs w:val="26"/>
        </w:rPr>
        <w:t xml:space="preserve"> som BIS. Hos sköra, äldre där man vill minimera narkosdjupet kan det också finnas skäl att använda BIS. För övriga patienter saknas det vetenskapligt stöd för att använda BIS. BIS är en av flera parametrar som man skall ta hänsyn till vid bedömning av anestesidjup och skall ses som ett stöd och inte som någon absolut sanning.</w:t>
      </w:r>
    </w:p>
    <w:p w14:paraId="031CE933" w14:textId="77777777" w:rsidR="00C41A3F" w:rsidRPr="00C41A3F" w:rsidRDefault="00C41A3F" w:rsidP="00DA7CDB">
      <w:pPr>
        <w:spacing w:after="0" w:line="240" w:lineRule="auto"/>
        <w:ind w:left="709" w:right="0"/>
        <w:rPr>
          <w:szCs w:val="20"/>
        </w:rPr>
      </w:pPr>
    </w:p>
    <w:p w14:paraId="072AFC08" w14:textId="77777777" w:rsidR="00C41A3F" w:rsidRPr="00C41A3F" w:rsidRDefault="00C41A3F" w:rsidP="00DA7CDB">
      <w:pPr>
        <w:pStyle w:val="Heading2"/>
        <w:ind w:left="709"/>
      </w:pPr>
      <w:r w:rsidRPr="00C41A3F">
        <w:t>Syfte</w:t>
      </w:r>
    </w:p>
    <w:p w14:paraId="171382B9" w14:textId="77777777" w:rsidR="00C41A3F" w:rsidRPr="00C41A3F" w:rsidRDefault="00C41A3F" w:rsidP="00DA7CDB">
      <w:pPr>
        <w:spacing w:after="0" w:line="240" w:lineRule="auto"/>
        <w:ind w:left="709" w:right="0"/>
      </w:pPr>
      <w:r w:rsidRPr="00C41A3F">
        <w:t xml:space="preserve">Att skapa en vägledande rutin vid användning av BIS, </w:t>
      </w:r>
      <w:proofErr w:type="spellStart"/>
      <w:r w:rsidRPr="00C41A3F">
        <w:t>Bispectralt</w:t>
      </w:r>
      <w:proofErr w:type="spellEnd"/>
      <w:r w:rsidRPr="00C41A3F">
        <w:t xml:space="preserve"> Index.</w:t>
      </w:r>
    </w:p>
    <w:p w14:paraId="628AA612" w14:textId="77777777" w:rsidR="00C41A3F" w:rsidRPr="00C41A3F" w:rsidRDefault="00C41A3F" w:rsidP="00DA7CDB">
      <w:pPr>
        <w:spacing w:after="0" w:line="240" w:lineRule="auto"/>
        <w:ind w:left="709" w:right="0"/>
        <w:rPr>
          <w:szCs w:val="20"/>
        </w:rPr>
      </w:pPr>
    </w:p>
    <w:p w14:paraId="7C11FE4E" w14:textId="77777777" w:rsidR="00C41A3F" w:rsidRPr="00C41A3F" w:rsidRDefault="00C41A3F" w:rsidP="00DA7CDB">
      <w:pPr>
        <w:pStyle w:val="Heading2"/>
        <w:ind w:left="709"/>
      </w:pPr>
      <w:r w:rsidRPr="00C41A3F">
        <w:t>Vilka berörs</w:t>
      </w:r>
    </w:p>
    <w:p w14:paraId="5955DEEF" w14:textId="77777777" w:rsidR="00C41A3F" w:rsidRPr="00C41A3F" w:rsidRDefault="00C41A3F" w:rsidP="00DA7CDB">
      <w:pPr>
        <w:spacing w:after="0" w:line="240" w:lineRule="auto"/>
        <w:ind w:left="709" w:right="0"/>
      </w:pPr>
      <w:r w:rsidRPr="00C41A3F">
        <w:t>Narkosläkare och narkossköterskor vid operationsavdelningarna på Uddevalla och NÄL.</w:t>
      </w:r>
    </w:p>
    <w:p w14:paraId="4E56668B" w14:textId="77777777" w:rsidR="00C41A3F" w:rsidRPr="00C41A3F" w:rsidRDefault="00C41A3F" w:rsidP="00DA7CDB">
      <w:pPr>
        <w:pStyle w:val="Heading2"/>
        <w:ind w:left="709"/>
      </w:pPr>
      <w:r w:rsidRPr="00C41A3F">
        <w:t>Indikationer</w:t>
      </w:r>
    </w:p>
    <w:p w14:paraId="63A8B5AA" w14:textId="77777777" w:rsidR="00C41A3F" w:rsidRPr="00C41A3F" w:rsidRDefault="00C41A3F" w:rsidP="00DA7CDB">
      <w:pPr>
        <w:spacing w:after="0" w:line="240" w:lineRule="auto"/>
        <w:ind w:left="709" w:right="0"/>
        <w:rPr>
          <w:szCs w:val="26"/>
        </w:rPr>
      </w:pPr>
      <w:r w:rsidRPr="00C41A3F">
        <w:rPr>
          <w:szCs w:val="26"/>
        </w:rPr>
        <w:t xml:space="preserve">1.BIS används som standard på patienter som är muskelrelaxerade och sövs med </w:t>
      </w:r>
      <w:proofErr w:type="spellStart"/>
      <w:r w:rsidRPr="00C41A3F">
        <w:rPr>
          <w:szCs w:val="26"/>
        </w:rPr>
        <w:t>propofolbaserad</w:t>
      </w:r>
      <w:proofErr w:type="spellEnd"/>
      <w:r w:rsidRPr="00C41A3F">
        <w:rPr>
          <w:szCs w:val="26"/>
        </w:rPr>
        <w:t xml:space="preserve"> TIVA. </w:t>
      </w:r>
    </w:p>
    <w:p w14:paraId="5A4E2C6C" w14:textId="77777777" w:rsidR="00C41A3F" w:rsidRPr="00C41A3F" w:rsidRDefault="00C41A3F" w:rsidP="00DA7CDB">
      <w:pPr>
        <w:spacing w:after="0" w:line="240" w:lineRule="auto"/>
        <w:ind w:left="709" w:right="0"/>
        <w:rPr>
          <w:szCs w:val="26"/>
        </w:rPr>
      </w:pPr>
      <w:r w:rsidRPr="00C41A3F">
        <w:rPr>
          <w:szCs w:val="26"/>
        </w:rPr>
        <w:t xml:space="preserve">2. BIS kan också vara indicerat hos patienter med tidigare </w:t>
      </w:r>
      <w:proofErr w:type="spellStart"/>
      <w:r w:rsidRPr="00C41A3F">
        <w:rPr>
          <w:szCs w:val="26"/>
        </w:rPr>
        <w:t>awareness</w:t>
      </w:r>
      <w:proofErr w:type="spellEnd"/>
      <w:r w:rsidRPr="00C41A3F">
        <w:rPr>
          <w:szCs w:val="26"/>
        </w:rPr>
        <w:t>, cirkulatoriskt instabila patienter där så ytligt narkosnivå som möjligt eftersträvas och patienter med hjärnskada och/eller äldre patienter. Hos dessa patienter får ansvarig narkosläkare göra en individuell bedömning och vid behov ordinera BIS.</w:t>
      </w:r>
    </w:p>
    <w:p w14:paraId="040B1A22" w14:textId="77777777" w:rsidR="00C41A3F" w:rsidRPr="00C41A3F" w:rsidRDefault="00C41A3F" w:rsidP="00DA7CDB">
      <w:pPr>
        <w:spacing w:after="0" w:line="240" w:lineRule="auto"/>
        <w:ind w:left="709" w:right="0"/>
        <w:rPr>
          <w:szCs w:val="20"/>
        </w:rPr>
      </w:pPr>
    </w:p>
    <w:p w14:paraId="38F6373C" w14:textId="77777777" w:rsidR="00C41A3F" w:rsidRPr="00C41A3F" w:rsidRDefault="00C41A3F" w:rsidP="00DA7CDB">
      <w:pPr>
        <w:spacing w:after="0" w:line="240" w:lineRule="auto"/>
        <w:ind w:left="709" w:right="0"/>
        <w:rPr>
          <w:szCs w:val="20"/>
        </w:rPr>
      </w:pPr>
    </w:p>
    <w:p w14:paraId="58B1CB11" w14:textId="77777777" w:rsidR="00C41A3F" w:rsidRPr="00C41A3F" w:rsidRDefault="00C41A3F" w:rsidP="00DA7CDB">
      <w:pPr>
        <w:spacing w:after="0" w:line="240" w:lineRule="auto"/>
        <w:ind w:left="709" w:right="0"/>
        <w:rPr>
          <w:szCs w:val="20"/>
        </w:rPr>
      </w:pPr>
    </w:p>
    <w:p w14:paraId="37C835F3" w14:textId="77777777" w:rsidR="00C41A3F" w:rsidRPr="00C41A3F" w:rsidRDefault="00C41A3F" w:rsidP="00DA7CDB">
      <w:pPr>
        <w:keepNext/>
        <w:spacing w:before="240" w:after="60" w:line="240" w:lineRule="auto"/>
        <w:ind w:left="709" w:right="0"/>
        <w:outlineLvl w:val="1"/>
        <w:rPr>
          <w:rFonts w:ascii="Arial Fet" w:hAnsi="Arial Fet" w:cs="Arial"/>
          <w:b/>
          <w:bCs/>
          <w:iCs/>
          <w:sz w:val="28"/>
          <w:szCs w:val="28"/>
        </w:rPr>
      </w:pPr>
    </w:p>
    <w:p w14:paraId="16CA7EE6" w14:textId="77777777" w:rsidR="00C41A3F" w:rsidRPr="00C41A3F" w:rsidRDefault="00C41A3F" w:rsidP="00DA7CDB">
      <w:pPr>
        <w:pStyle w:val="Heading2"/>
        <w:ind w:left="709"/>
      </w:pPr>
      <w:r w:rsidRPr="00C41A3F">
        <w:t>Referenser:</w:t>
      </w:r>
    </w:p>
    <w:p w14:paraId="71730C4D" w14:textId="77777777" w:rsidR="00C41A3F" w:rsidRPr="00C41A3F" w:rsidRDefault="00C41A3F" w:rsidP="00DA7CDB">
      <w:pPr>
        <w:numPr>
          <w:ilvl w:val="0"/>
          <w:numId w:val="20"/>
        </w:numPr>
        <w:spacing w:after="0" w:line="240" w:lineRule="auto"/>
        <w:ind w:left="709" w:right="0"/>
        <w:rPr>
          <w:szCs w:val="26"/>
          <w:lang w:val="en-US"/>
        </w:rPr>
      </w:pPr>
      <w:r w:rsidRPr="00C41A3F">
        <w:rPr>
          <w:szCs w:val="26"/>
          <w:lang w:val="en-US"/>
        </w:rPr>
        <w:t xml:space="preserve">The role and limitations of EEG-based depth of </w:t>
      </w:r>
      <w:proofErr w:type="spellStart"/>
      <w:r w:rsidRPr="00C41A3F">
        <w:rPr>
          <w:szCs w:val="26"/>
          <w:lang w:val="en-US"/>
        </w:rPr>
        <w:t>anaesthesia</w:t>
      </w:r>
      <w:proofErr w:type="spellEnd"/>
      <w:r w:rsidRPr="00C41A3F">
        <w:rPr>
          <w:szCs w:val="26"/>
          <w:lang w:val="en-US"/>
        </w:rPr>
        <w:t xml:space="preserve"> monitoring in theatres and intensive care. </w:t>
      </w:r>
      <w:proofErr w:type="spellStart"/>
      <w:r w:rsidRPr="00C41A3F">
        <w:rPr>
          <w:szCs w:val="26"/>
          <w:lang w:val="en-US"/>
        </w:rPr>
        <w:t>Anaesthesia</w:t>
      </w:r>
      <w:proofErr w:type="spellEnd"/>
      <w:r w:rsidRPr="00C41A3F">
        <w:rPr>
          <w:szCs w:val="26"/>
          <w:lang w:val="en-US"/>
        </w:rPr>
        <w:t xml:space="preserve"> 2017, 72 (Suppl. 1), 38-47.</w:t>
      </w:r>
    </w:p>
    <w:p w14:paraId="65ABE280" w14:textId="77777777" w:rsidR="00C41A3F" w:rsidRPr="00C41A3F" w:rsidRDefault="00C41A3F" w:rsidP="00DA7CDB">
      <w:pPr>
        <w:numPr>
          <w:ilvl w:val="0"/>
          <w:numId w:val="20"/>
        </w:numPr>
        <w:spacing w:after="0" w:line="240" w:lineRule="auto"/>
        <w:ind w:left="709" w:right="0"/>
        <w:rPr>
          <w:lang w:val="en-US"/>
        </w:rPr>
      </w:pPr>
      <w:r w:rsidRPr="00C41A3F">
        <w:rPr>
          <w:spacing w:val="-4"/>
          <w:lang w:val="en-US"/>
        </w:rPr>
        <w:t xml:space="preserve">Monitoring the </w:t>
      </w:r>
      <w:proofErr w:type="spellStart"/>
      <w:r w:rsidRPr="00C41A3F">
        <w:rPr>
          <w:spacing w:val="-4"/>
          <w:lang w:val="en-US"/>
        </w:rPr>
        <w:t>bispectral</w:t>
      </w:r>
      <w:proofErr w:type="spellEnd"/>
      <w:r w:rsidRPr="00C41A3F">
        <w:rPr>
          <w:spacing w:val="-4"/>
          <w:lang w:val="en-US"/>
        </w:rPr>
        <w:t xml:space="preserve"> index (BIS) to improve </w:t>
      </w:r>
      <w:proofErr w:type="spellStart"/>
      <w:r w:rsidRPr="00C41A3F">
        <w:rPr>
          <w:spacing w:val="-4"/>
          <w:lang w:val="en-US"/>
        </w:rPr>
        <w:t>anaesthetic</w:t>
      </w:r>
      <w:proofErr w:type="spellEnd"/>
      <w:r w:rsidRPr="00C41A3F">
        <w:rPr>
          <w:spacing w:val="-4"/>
          <w:lang w:val="en-US"/>
        </w:rPr>
        <w:t xml:space="preserve"> delivery and patient recovery from </w:t>
      </w:r>
      <w:proofErr w:type="spellStart"/>
      <w:r w:rsidRPr="00C41A3F">
        <w:rPr>
          <w:spacing w:val="-4"/>
          <w:lang w:val="en-US"/>
        </w:rPr>
        <w:t>anaesthesia</w:t>
      </w:r>
      <w:proofErr w:type="spellEnd"/>
      <w:r w:rsidRPr="00C41A3F">
        <w:rPr>
          <w:spacing w:val="-4"/>
          <w:lang w:val="en-US"/>
        </w:rPr>
        <w:t xml:space="preserve">. Cochrane, 17 </w:t>
      </w:r>
      <w:proofErr w:type="spellStart"/>
      <w:r w:rsidRPr="00C41A3F">
        <w:rPr>
          <w:spacing w:val="-4"/>
          <w:lang w:val="en-US"/>
        </w:rPr>
        <w:t>juni</w:t>
      </w:r>
      <w:proofErr w:type="spellEnd"/>
      <w:r w:rsidRPr="00C41A3F">
        <w:rPr>
          <w:spacing w:val="-4"/>
          <w:lang w:val="en-US"/>
        </w:rPr>
        <w:t xml:space="preserve"> 2014.</w:t>
      </w:r>
    </w:p>
    <w:p w14:paraId="0E1D4482" w14:textId="77777777" w:rsidR="00C41A3F" w:rsidRPr="00C41A3F" w:rsidRDefault="00C41A3F" w:rsidP="00DA7CDB">
      <w:pPr>
        <w:numPr>
          <w:ilvl w:val="0"/>
          <w:numId w:val="20"/>
        </w:numPr>
        <w:autoSpaceDE w:val="0"/>
        <w:autoSpaceDN w:val="0"/>
        <w:adjustRightInd w:val="0"/>
        <w:spacing w:after="0" w:line="240" w:lineRule="auto"/>
        <w:ind w:left="709" w:right="0"/>
        <w:rPr>
          <w:bCs/>
          <w:lang w:val="en-US"/>
        </w:rPr>
      </w:pPr>
      <w:r w:rsidRPr="00C41A3F">
        <w:rPr>
          <w:bCs/>
          <w:lang w:val="en-US"/>
        </w:rPr>
        <w:t>Hospital Stay and Mortality Are Increased in Patients</w:t>
      </w:r>
    </w:p>
    <w:p w14:paraId="13D9FA4F" w14:textId="77777777" w:rsidR="00C41A3F" w:rsidRPr="00C41A3F" w:rsidRDefault="00C41A3F" w:rsidP="00DA7CDB">
      <w:pPr>
        <w:autoSpaceDE w:val="0"/>
        <w:autoSpaceDN w:val="0"/>
        <w:adjustRightInd w:val="0"/>
        <w:spacing w:after="0" w:line="240" w:lineRule="auto"/>
        <w:ind w:left="709" w:right="0"/>
        <w:rPr>
          <w:bCs/>
          <w:lang w:val="en-US"/>
        </w:rPr>
      </w:pPr>
      <w:r w:rsidRPr="00C41A3F">
        <w:rPr>
          <w:bCs/>
          <w:lang w:val="en-US"/>
        </w:rPr>
        <w:t xml:space="preserve">            Having a “Triple Low” of Low Blood Pressure, Low</w:t>
      </w:r>
    </w:p>
    <w:p w14:paraId="2C645C54" w14:textId="77777777" w:rsidR="00C41A3F" w:rsidRPr="00C41A3F" w:rsidRDefault="00C41A3F" w:rsidP="00DA7CDB">
      <w:pPr>
        <w:autoSpaceDE w:val="0"/>
        <w:autoSpaceDN w:val="0"/>
        <w:adjustRightInd w:val="0"/>
        <w:spacing w:after="0" w:line="240" w:lineRule="auto"/>
        <w:ind w:left="709" w:right="0"/>
        <w:rPr>
          <w:bCs/>
          <w:lang w:val="en-US"/>
        </w:rPr>
      </w:pPr>
      <w:r w:rsidRPr="00C41A3F">
        <w:rPr>
          <w:bCs/>
          <w:lang w:val="en-US"/>
        </w:rPr>
        <w:t xml:space="preserve">            </w:t>
      </w:r>
      <w:proofErr w:type="spellStart"/>
      <w:r w:rsidRPr="00C41A3F">
        <w:rPr>
          <w:bCs/>
          <w:lang w:val="en-US"/>
        </w:rPr>
        <w:t>Bispectral</w:t>
      </w:r>
      <w:proofErr w:type="spellEnd"/>
      <w:r w:rsidRPr="00C41A3F">
        <w:rPr>
          <w:bCs/>
          <w:lang w:val="en-US"/>
        </w:rPr>
        <w:t xml:space="preserve"> Index, and Low Minimum Alveolar</w:t>
      </w:r>
    </w:p>
    <w:p w14:paraId="2136BBC3" w14:textId="77777777" w:rsidR="00C41A3F" w:rsidRPr="00C41A3F" w:rsidRDefault="00C41A3F" w:rsidP="00DA7CDB">
      <w:pPr>
        <w:numPr>
          <w:ilvl w:val="0"/>
          <w:numId w:val="20"/>
        </w:numPr>
        <w:spacing w:after="0" w:line="240" w:lineRule="auto"/>
        <w:ind w:left="709" w:right="0"/>
        <w:rPr>
          <w:lang w:val="en-US"/>
        </w:rPr>
      </w:pPr>
      <w:r w:rsidRPr="00C41A3F">
        <w:rPr>
          <w:bCs/>
          <w:lang w:val="en-US"/>
        </w:rPr>
        <w:t xml:space="preserve">Concentration of Volatile Anesthesia. </w:t>
      </w:r>
      <w:r w:rsidRPr="00C41A3F">
        <w:rPr>
          <w:lang w:val="en-US"/>
        </w:rPr>
        <w:t>Anesthesiology 2012; 116:1195–203</w:t>
      </w:r>
    </w:p>
    <w:p w14:paraId="4BCDF8FD" w14:textId="77777777" w:rsidR="00C41A3F" w:rsidRPr="00C41A3F" w:rsidRDefault="00C41A3F" w:rsidP="00DA7CDB">
      <w:pPr>
        <w:autoSpaceDE w:val="0"/>
        <w:autoSpaceDN w:val="0"/>
        <w:adjustRightInd w:val="0"/>
        <w:spacing w:after="0" w:line="240" w:lineRule="auto"/>
        <w:ind w:left="709" w:right="0"/>
        <w:rPr>
          <w:lang w:val="en-US"/>
        </w:rPr>
      </w:pPr>
      <w:r w:rsidRPr="00C41A3F">
        <w:rPr>
          <w:lang w:val="en-US"/>
        </w:rPr>
        <w:t xml:space="preserve">            </w:t>
      </w:r>
      <w:proofErr w:type="spellStart"/>
      <w:r w:rsidRPr="00C41A3F">
        <w:t>Avidan</w:t>
      </w:r>
      <w:proofErr w:type="spellEnd"/>
      <w:r w:rsidRPr="00C41A3F">
        <w:t xml:space="preserve"> MS, </w:t>
      </w:r>
      <w:proofErr w:type="spellStart"/>
      <w:r w:rsidRPr="00C41A3F">
        <w:t>Jacobsohn</w:t>
      </w:r>
      <w:proofErr w:type="spellEnd"/>
      <w:r w:rsidRPr="00C41A3F">
        <w:t xml:space="preserve"> E, </w:t>
      </w:r>
      <w:proofErr w:type="spellStart"/>
      <w:r w:rsidRPr="00C41A3F">
        <w:t>Glick</w:t>
      </w:r>
      <w:proofErr w:type="spellEnd"/>
      <w:r w:rsidRPr="00C41A3F">
        <w:t xml:space="preserve"> D, et al. </w:t>
      </w:r>
      <w:r w:rsidRPr="00C41A3F">
        <w:rPr>
          <w:lang w:val="en-US"/>
        </w:rPr>
        <w:t>Prevention of intraoperative</w:t>
      </w:r>
    </w:p>
    <w:p w14:paraId="37D5D0E3" w14:textId="77777777" w:rsidR="00C41A3F" w:rsidRPr="00C41A3F" w:rsidRDefault="00C41A3F" w:rsidP="00DA7CDB">
      <w:pPr>
        <w:autoSpaceDE w:val="0"/>
        <w:autoSpaceDN w:val="0"/>
        <w:adjustRightInd w:val="0"/>
        <w:spacing w:after="0" w:line="240" w:lineRule="auto"/>
        <w:ind w:left="709" w:right="0"/>
        <w:rPr>
          <w:lang w:val="en-US"/>
        </w:rPr>
      </w:pPr>
      <w:r w:rsidRPr="00C41A3F">
        <w:rPr>
          <w:lang w:val="en-US"/>
        </w:rPr>
        <w:t xml:space="preserve">            awareness in a high-risk surgical population. New</w:t>
      </w:r>
    </w:p>
    <w:p w14:paraId="20BB592D" w14:textId="77777777" w:rsidR="00C41A3F" w:rsidRPr="00C41A3F" w:rsidRDefault="00C41A3F" w:rsidP="00DA7CDB">
      <w:pPr>
        <w:spacing w:after="0" w:line="240" w:lineRule="auto"/>
        <w:ind w:left="709" w:right="0"/>
        <w:rPr>
          <w:lang w:val="en-US"/>
        </w:rPr>
      </w:pPr>
      <w:r w:rsidRPr="00C41A3F">
        <w:rPr>
          <w:lang w:val="en-US"/>
        </w:rPr>
        <w:t>England Journal of Medicine 2011; 365: 591–600</w:t>
      </w:r>
    </w:p>
    <w:p w14:paraId="4E58DC7A" w14:textId="77777777" w:rsidR="00C41A3F" w:rsidRPr="00C41A3F" w:rsidRDefault="00C41A3F" w:rsidP="00DA7CDB">
      <w:pPr>
        <w:keepNext/>
        <w:spacing w:before="240" w:after="60" w:line="240" w:lineRule="auto"/>
        <w:ind w:left="709" w:right="0"/>
        <w:outlineLvl w:val="2"/>
        <w:rPr>
          <w:rFonts w:ascii="Arial Fet" w:hAnsi="Arial Fet" w:cs="Arial"/>
          <w:b/>
          <w:bCs/>
          <w:szCs w:val="26"/>
          <w:lang w:val="en-US"/>
        </w:rPr>
      </w:pPr>
      <w:r w:rsidRPr="00C41A3F">
        <w:rPr>
          <w:rFonts w:ascii="Arial Fet" w:hAnsi="Arial Fet" w:cs="Arial"/>
          <w:b/>
          <w:bCs/>
          <w:szCs w:val="26"/>
          <w:lang w:val="en-US"/>
        </w:rPr>
        <w:br/>
      </w:r>
    </w:p>
    <w:p w14:paraId="420F18F3" w14:textId="77777777" w:rsidR="00C41A3F" w:rsidRPr="00C41A3F" w:rsidRDefault="00C41A3F" w:rsidP="00DA7CDB">
      <w:pPr>
        <w:spacing w:after="0" w:line="240" w:lineRule="auto"/>
        <w:ind w:left="709" w:right="0"/>
        <w:rPr>
          <w:szCs w:val="20"/>
          <w:lang w:val="en-US"/>
        </w:rPr>
      </w:pPr>
    </w:p>
    <w:bookmarkEnd w:id="0"/>
    <w:p w14:paraId="76B9F95B" w14:textId="24513497" w:rsidR="00536A5A" w:rsidRPr="00536A5A" w:rsidRDefault="00536A5A" w:rsidP="00DA7CDB">
      <w:pPr>
        <w:spacing w:after="0" w:line="240" w:lineRule="auto"/>
        <w:ind w:left="709" w:right="0"/>
      </w:pPr>
    </w:p>
    <w:sectPr w:rsidR="00536A5A" w:rsidRPr="00536A5A" w:rsidSect="00C41A3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842F97" w:rsidRDefault="00842F97">
      <w:r>
        <w:separator/>
      </w:r>
    </w:p>
  </w:endnote>
  <w:endnote w:type="continuationSeparator" w:id="0">
    <w:p w14:paraId="38030764" w14:textId="77777777" w:rsidR="00842F97" w:rsidRDefault="00842F97">
      <w:r>
        <w:continuationSeparator/>
      </w:r>
    </w:p>
  </w:endnote>
  <w:endnote w:type="continuationNotice" w:id="1">
    <w:p w14:paraId="0576E0AF" w14:textId="77777777" w:rsidR="00842F97" w:rsidRDefault="00842F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842F97" w:rsidRDefault="00842F97"/>
  </w:footnote>
  <w:footnote w:type="continuationSeparator" w:id="0">
    <w:p w14:paraId="5C57738A" w14:textId="77777777" w:rsidR="00842F97" w:rsidRDefault="00842F97">
      <w:r>
        <w:continuationSeparator/>
      </w:r>
    </w:p>
  </w:footnote>
  <w:footnote w:type="continuationNotice" w:id="1">
    <w:p w14:paraId="4F5088BD" w14:textId="77777777" w:rsidR="00842F97" w:rsidRDefault="00842F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D282882"/>
    <w:multiLevelType w:val="hybridMultilevel"/>
    <w:tmpl w:val="58064F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2318838">
    <w:abstractNumId w:val="18"/>
  </w:num>
  <w:num w:numId="2" w16cid:durableId="1699967027">
    <w:abstractNumId w:val="14"/>
  </w:num>
  <w:num w:numId="3" w16cid:durableId="312105010">
    <w:abstractNumId w:val="0"/>
  </w:num>
  <w:num w:numId="4" w16cid:durableId="971405273">
    <w:abstractNumId w:val="6"/>
  </w:num>
  <w:num w:numId="5" w16cid:durableId="552430592">
    <w:abstractNumId w:val="15"/>
  </w:num>
  <w:num w:numId="6" w16cid:durableId="51732840">
    <w:abstractNumId w:val="2"/>
  </w:num>
  <w:num w:numId="7" w16cid:durableId="262569031">
    <w:abstractNumId w:val="11"/>
  </w:num>
  <w:num w:numId="8" w16cid:durableId="240720562">
    <w:abstractNumId w:val="8"/>
  </w:num>
  <w:num w:numId="9" w16cid:durableId="1173716859">
    <w:abstractNumId w:val="1"/>
  </w:num>
  <w:num w:numId="10" w16cid:durableId="1837766423">
    <w:abstractNumId w:val="1"/>
  </w:num>
  <w:num w:numId="11" w16cid:durableId="1973753032">
    <w:abstractNumId w:val="3"/>
  </w:num>
  <w:num w:numId="12" w16cid:durableId="1722317122">
    <w:abstractNumId w:val="4"/>
  </w:num>
  <w:num w:numId="13" w16cid:durableId="536704235">
    <w:abstractNumId w:val="13"/>
  </w:num>
  <w:num w:numId="14" w16cid:durableId="797576844">
    <w:abstractNumId w:val="9"/>
  </w:num>
  <w:num w:numId="15" w16cid:durableId="877275207">
    <w:abstractNumId w:val="7"/>
  </w:num>
  <w:num w:numId="16" w16cid:durableId="1608466732">
    <w:abstractNumId w:val="12"/>
  </w:num>
  <w:num w:numId="17" w16cid:durableId="1671834927">
    <w:abstractNumId w:val="5"/>
  </w:num>
  <w:num w:numId="18" w16cid:durableId="222563802">
    <w:abstractNumId w:val="10"/>
  </w:num>
  <w:num w:numId="19" w16cid:durableId="293367379">
    <w:abstractNumId w:val="16"/>
  </w:num>
  <w:num w:numId="20" w16cid:durableId="8507256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218"/>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6195"/>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2F97"/>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1A3F"/>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CD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63FF3C61-C627-471F-AA4F-C675A6742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337</Words>
  <Characters>1923</Characters>
  <Application>Microsoft Office Word</Application>
  <DocSecurity>4</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Bispectral index, BIS</dc:title>
  <dc:subject/>
  <dc:creator>patrik.jens.johansson@vgregion.se</dc:creator>
  <keywords/>
  <lastModifiedBy>TK.SpStyMigProd</lastModifiedBy>
  <revision>4</revision>
  <lastPrinted>2016-03-31T19:56:00.0000000Z</lastPrinted>
  <dcterms:created xsi:type="dcterms:W3CDTF">2022-05-23T12:20:00.0000000Z</dcterms:created>
  <dcterms:modified xsi:type="dcterms:W3CDTF">2022-06-07T21:55:00.0000000Z</dcterms:modified>
</coreProperties>
</file>