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EF66B" w14:textId="77777777" w:rsidR="00694BD2" w:rsidRDefault="00694BD2" w:rsidP="00694BD2">
      <w:pPr>
        <w:ind w:right="282"/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694BD2" w14:paraId="5876EFFD" w14:textId="77777777" w:rsidTr="00AE695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C670CC7" w14:textId="77777777" w:rsidR="00694BD2" w:rsidRDefault="00694BD2" w:rsidP="00694BD2">
            <w:pPr>
              <w:pStyle w:val="Rubrik1"/>
              <w:ind w:right="282"/>
            </w:pPr>
          </w:p>
          <w:p w14:paraId="41E7C8A8" w14:textId="77777777" w:rsidR="00694BD2" w:rsidRDefault="00694BD2" w:rsidP="00694BD2">
            <w:pPr>
              <w:pStyle w:val="Rubrik1"/>
              <w:ind w:right="282"/>
            </w:pPr>
          </w:p>
          <w:p w14:paraId="314D20C8" w14:textId="77777777" w:rsidR="00694BD2" w:rsidRDefault="00694BD2" w:rsidP="00694BD2">
            <w:pPr>
              <w:pStyle w:val="Rubrik1"/>
              <w:ind w:right="282"/>
            </w:pPr>
          </w:p>
          <w:p w14:paraId="594D97B9" w14:textId="77777777" w:rsidR="00694BD2" w:rsidRDefault="00694BD2" w:rsidP="00694BD2">
            <w:pPr>
              <w:pStyle w:val="Rubrik1"/>
              <w:ind w:right="282"/>
            </w:pPr>
          </w:p>
          <w:p w14:paraId="111270DC" w14:textId="77777777" w:rsidR="00694BD2" w:rsidRDefault="00694BD2" w:rsidP="00694BD2">
            <w:pPr>
              <w:pStyle w:val="Rubrik1"/>
              <w:ind w:right="282"/>
            </w:pPr>
          </w:p>
          <w:p w14:paraId="32E00D9C" w14:textId="10C2826E" w:rsidR="00694BD2" w:rsidRDefault="00694BD2" w:rsidP="00694BD2">
            <w:pPr>
              <w:pStyle w:val="Rubrik1"/>
              <w:ind w:right="282"/>
            </w:pPr>
            <w:r>
              <w:t xml:space="preserve">TLH (total laparoskopisk </w:t>
            </w:r>
            <w:proofErr w:type="spellStart"/>
            <w:proofErr w:type="gramStart"/>
            <w:r>
              <w:t>hysterektomi</w:t>
            </w:r>
            <w:proofErr w:type="spellEnd"/>
            <w:r>
              <w:t>)/</w:t>
            </w:r>
            <w:proofErr w:type="spellStart"/>
            <w:proofErr w:type="gramEnd"/>
            <w:r>
              <w:t>Sakropexi</w:t>
            </w:r>
            <w:proofErr w:type="spellEnd"/>
          </w:p>
        </w:tc>
      </w:tr>
    </w:tbl>
    <w:p w14:paraId="101155AC" w14:textId="77777777" w:rsidR="000D0C83" w:rsidRDefault="000D0C83" w:rsidP="00694BD2">
      <w:pPr>
        <w:pStyle w:val="Rubrik2"/>
        <w:ind w:right="282"/>
        <w:rPr>
          <w:rStyle w:val="Formatmall1Char"/>
          <w:szCs w:val="26"/>
        </w:rPr>
      </w:pPr>
      <w:bookmarkStart w:id="0" w:name="_Toc501440349"/>
    </w:p>
    <w:p w14:paraId="1BD104DF" w14:textId="56EAFDA4" w:rsidR="00694BD2" w:rsidRPr="00694BD2" w:rsidRDefault="00694BD2" w:rsidP="00A04E80">
      <w:pPr>
        <w:pStyle w:val="Rubrik2"/>
        <w:spacing w:before="120" w:after="0"/>
        <w:ind w:right="284"/>
      </w:pPr>
      <w:r w:rsidRPr="00694BD2">
        <w:rPr>
          <w:rStyle w:val="Formatmall1Char"/>
          <w:szCs w:val="26"/>
        </w:rPr>
        <w:t>Revidering i denna version</w:t>
      </w:r>
      <w:r w:rsidRPr="00694BD2">
        <w:t xml:space="preserve"> </w:t>
      </w:r>
      <w:bookmarkEnd w:id="0"/>
    </w:p>
    <w:p w14:paraId="3CB49BA1" w14:textId="77777777" w:rsidR="00694BD2" w:rsidRDefault="00694BD2" w:rsidP="00A04E80">
      <w:pPr>
        <w:pStyle w:val="Rubrik2"/>
        <w:spacing w:before="120" w:after="0"/>
        <w:ind w:right="284"/>
        <w:rPr>
          <w:b/>
          <w:bCs w:val="0"/>
          <w:sz w:val="24"/>
          <w:szCs w:val="24"/>
        </w:rPr>
      </w:pPr>
      <w:bookmarkStart w:id="1" w:name="_Toc501440348"/>
      <w:r w:rsidRPr="5566C878">
        <w:rPr>
          <w:bCs w:val="0"/>
          <w:sz w:val="24"/>
          <w:szCs w:val="24"/>
        </w:rPr>
        <w:t>Reviderad i samtliga avsnitt.</w:t>
      </w:r>
    </w:p>
    <w:p w14:paraId="77C3474D" w14:textId="77777777" w:rsidR="00694BD2" w:rsidRPr="00694BD2" w:rsidRDefault="00694BD2" w:rsidP="00694BD2">
      <w:pPr>
        <w:pStyle w:val="Rubrik2"/>
        <w:ind w:right="282"/>
        <w:rPr>
          <w:rStyle w:val="Formatmall1Char"/>
          <w:szCs w:val="26"/>
        </w:rPr>
      </w:pPr>
      <w:r w:rsidRPr="00694BD2">
        <w:rPr>
          <w:rStyle w:val="Formatmall1Char"/>
          <w:szCs w:val="26"/>
        </w:rPr>
        <w:t xml:space="preserve">Bakgrund </w:t>
      </w:r>
      <w:bookmarkEnd w:id="1"/>
    </w:p>
    <w:p w14:paraId="199350AF" w14:textId="77777777" w:rsidR="00694BD2" w:rsidRDefault="00694BD2" w:rsidP="000D0C83">
      <w:pPr>
        <w:spacing w:after="0"/>
        <w:ind w:right="284"/>
      </w:pPr>
      <w:r>
        <w:t xml:space="preserve">TLH (total laparoskopisk </w:t>
      </w:r>
      <w:proofErr w:type="spellStart"/>
      <w:r>
        <w:t>hysterektomi</w:t>
      </w:r>
      <w:proofErr w:type="spellEnd"/>
      <w:r>
        <w:t xml:space="preserve">) och </w:t>
      </w:r>
      <w:proofErr w:type="spellStart"/>
      <w:r>
        <w:t>Sakropexier</w:t>
      </w:r>
      <w:proofErr w:type="spellEnd"/>
      <w:r>
        <w:t xml:space="preserve"> innebär ofta längre operationstider jämfört med andra gynekologiska laparoskopier. Praktiskt innebär detta en annan uppläggning, en annan anestesiform och att man planerar för inneliggande vård. </w:t>
      </w:r>
    </w:p>
    <w:p w14:paraId="438AF8DB" w14:textId="77777777" w:rsidR="00694BD2" w:rsidRPr="005C7FA5" w:rsidRDefault="00694BD2" w:rsidP="000D0C83">
      <w:pPr>
        <w:spacing w:after="0"/>
        <w:ind w:right="284"/>
      </w:pPr>
      <w:r>
        <w:t>Gynekologen kan önska ”TLH-spåret” även för ”vanliga” laparoskopier. Om ingreppet förväntas vara tekniskt svårt eller ta längre tid ska det meddelas i operationsanmälan i Orbit.</w:t>
      </w:r>
    </w:p>
    <w:p w14:paraId="4579B4A3" w14:textId="77777777" w:rsidR="00694BD2" w:rsidRPr="00260902" w:rsidRDefault="00694BD2" w:rsidP="00694BD2">
      <w:pPr>
        <w:ind w:right="282"/>
      </w:pPr>
    </w:p>
    <w:p w14:paraId="6913AB34" w14:textId="77777777" w:rsidR="00694BD2" w:rsidRPr="00694BD2" w:rsidRDefault="00694BD2" w:rsidP="00694BD2">
      <w:pPr>
        <w:pStyle w:val="Rubrik2"/>
        <w:ind w:right="282"/>
        <w:rPr>
          <w:rStyle w:val="Formatmall1Char"/>
          <w:szCs w:val="26"/>
        </w:rPr>
      </w:pPr>
      <w:bookmarkStart w:id="2" w:name="_Toc501440350"/>
      <w:r w:rsidRPr="00694BD2">
        <w:rPr>
          <w:rStyle w:val="Formatmall1Char"/>
          <w:szCs w:val="26"/>
        </w:rPr>
        <w:t xml:space="preserve">Syfte </w:t>
      </w:r>
      <w:bookmarkEnd w:id="2"/>
    </w:p>
    <w:p w14:paraId="329BC980" w14:textId="77777777" w:rsidR="00694BD2" w:rsidRDefault="00694BD2" w:rsidP="00694BD2">
      <w:pPr>
        <w:ind w:right="282"/>
      </w:pPr>
      <w:bookmarkStart w:id="3" w:name="_Toc501440351"/>
      <w:r>
        <w:t xml:space="preserve">Enhetligt omhändertagande av patienter vid TLH.  </w:t>
      </w:r>
    </w:p>
    <w:p w14:paraId="1D8E04A6" w14:textId="77777777" w:rsidR="00694BD2" w:rsidRDefault="00694BD2" w:rsidP="00694BD2">
      <w:pPr>
        <w:ind w:right="282"/>
      </w:pPr>
    </w:p>
    <w:bookmarkEnd w:id="3"/>
    <w:p w14:paraId="6C552347" w14:textId="77777777" w:rsidR="00694BD2" w:rsidRDefault="00694BD2" w:rsidP="00694BD2">
      <w:pPr>
        <w:pStyle w:val="Rubrik2"/>
        <w:ind w:right="282"/>
      </w:pPr>
      <w:r>
        <w:t>Vilka berörs</w:t>
      </w:r>
    </w:p>
    <w:p w14:paraId="193745DE" w14:textId="77777777" w:rsidR="00694BD2" w:rsidRDefault="00694BD2" w:rsidP="000D0C83">
      <w:pPr>
        <w:spacing w:after="0"/>
        <w:ind w:right="284"/>
      </w:pPr>
      <w:r>
        <w:t>Anestesi- och operationssjuksköterskor, anestesiläkare och undersköterskor</w:t>
      </w:r>
    </w:p>
    <w:p w14:paraId="78801EDA" w14:textId="77777777" w:rsidR="00694BD2" w:rsidRDefault="00694BD2" w:rsidP="000D0C83">
      <w:pPr>
        <w:spacing w:after="0"/>
        <w:ind w:right="284"/>
      </w:pPr>
      <w:r>
        <w:t>på Operation, samt läkare på KK, NÄL.</w:t>
      </w:r>
    </w:p>
    <w:p w14:paraId="662C7CCA" w14:textId="77777777" w:rsidR="00694BD2" w:rsidRDefault="00694BD2" w:rsidP="00694BD2">
      <w:pPr>
        <w:ind w:right="282"/>
      </w:pPr>
    </w:p>
    <w:p w14:paraId="53BC4B4A" w14:textId="77777777" w:rsidR="00694BD2" w:rsidRPr="00260902" w:rsidRDefault="00694BD2" w:rsidP="00694BD2">
      <w:pPr>
        <w:ind w:right="282"/>
      </w:pPr>
    </w:p>
    <w:p w14:paraId="79A14406" w14:textId="77777777" w:rsidR="00694BD2" w:rsidRDefault="00694BD2" w:rsidP="00694BD2">
      <w:pPr>
        <w:pStyle w:val="Rubrik2"/>
        <w:ind w:right="282"/>
      </w:pPr>
      <w:r>
        <w:t>Premedicinering</w:t>
      </w:r>
    </w:p>
    <w:p w14:paraId="3ABB9AD5" w14:textId="77777777" w:rsidR="00694BD2" w:rsidRDefault="00694BD2" w:rsidP="000D0C83">
      <w:pPr>
        <w:spacing w:after="0"/>
        <w:ind w:right="284"/>
      </w:pPr>
      <w:r>
        <w:t>T Alvedon</w:t>
      </w:r>
      <w:bookmarkStart w:id="4" w:name="_Hlk27476112"/>
      <w:r>
        <w:t>®</w:t>
      </w:r>
      <w:bookmarkEnd w:id="4"/>
      <w:r>
        <w:t xml:space="preserve"> (Paracetamol) 1 g. </w:t>
      </w:r>
    </w:p>
    <w:p w14:paraId="4A2FB292" w14:textId="77777777" w:rsidR="00694BD2" w:rsidRDefault="00694BD2" w:rsidP="000D0C83">
      <w:pPr>
        <w:spacing w:after="0"/>
        <w:ind w:right="284"/>
      </w:pPr>
      <w:r>
        <w:t xml:space="preserve">T </w:t>
      </w:r>
      <w:proofErr w:type="spellStart"/>
      <w:r>
        <w:t>OxyContin</w:t>
      </w:r>
      <w:proofErr w:type="spellEnd"/>
      <w:r w:rsidRPr="005C7FA5">
        <w:t>®</w:t>
      </w:r>
      <w:r>
        <w:t xml:space="preserve"> (</w:t>
      </w:r>
      <w:proofErr w:type="spellStart"/>
      <w:r>
        <w:t>Oxykodon</w:t>
      </w:r>
      <w:proofErr w:type="spellEnd"/>
      <w:r>
        <w:t>), 5 – 15 mg beroende på ålder, vikt och ingreppets art.</w:t>
      </w:r>
    </w:p>
    <w:p w14:paraId="22E27909" w14:textId="77777777" w:rsidR="00694BD2" w:rsidRDefault="00694BD2" w:rsidP="000D0C83">
      <w:pPr>
        <w:spacing w:after="0"/>
        <w:ind w:right="284"/>
        <w:rPr>
          <w:rStyle w:val="Hyperlnk"/>
        </w:rPr>
      </w:pPr>
      <w:r>
        <w:t xml:space="preserve">T Arcoxia® (Etoricoxib), 120 mg </w:t>
      </w:r>
      <w:r w:rsidRPr="00E40688">
        <w:t xml:space="preserve"> </w:t>
      </w:r>
      <w:hyperlink r:id="rId12" w:history="1">
        <w:r>
          <w:rPr>
            <w:rStyle w:val="Hyperlnk"/>
          </w:rPr>
          <w:t>V g se rutin för Arcoxia (Etoricoxib)</w:t>
        </w:r>
      </w:hyperlink>
    </w:p>
    <w:p w14:paraId="5EA259FE" w14:textId="77777777" w:rsidR="00A04E80" w:rsidRDefault="00A04E80" w:rsidP="000D0C83">
      <w:pPr>
        <w:spacing w:after="0"/>
        <w:ind w:right="284"/>
      </w:pPr>
    </w:p>
    <w:p w14:paraId="66EC231F" w14:textId="77777777" w:rsidR="00694BD2" w:rsidRDefault="00694BD2" w:rsidP="00694BD2">
      <w:pPr>
        <w:pStyle w:val="Rubrik2"/>
        <w:ind w:right="282"/>
      </w:pPr>
      <w:r>
        <w:t>Anestesiförslag</w:t>
      </w:r>
    </w:p>
    <w:p w14:paraId="0C0C428B" w14:textId="77777777" w:rsidR="00694BD2" w:rsidRDefault="00694BD2" w:rsidP="000D0C83">
      <w:pPr>
        <w:spacing w:after="0"/>
        <w:ind w:right="284"/>
      </w:pPr>
      <w:r>
        <w:t xml:space="preserve">Intubation, </w:t>
      </w:r>
      <w:proofErr w:type="spellStart"/>
      <w:r>
        <w:t>propofol</w:t>
      </w:r>
      <w:proofErr w:type="spellEnd"/>
      <w:r>
        <w:t xml:space="preserve">, </w:t>
      </w:r>
      <w:proofErr w:type="spellStart"/>
      <w:r>
        <w:t>remifentanil</w:t>
      </w:r>
      <w:proofErr w:type="spellEnd"/>
      <w:r>
        <w:t xml:space="preserve"> (</w:t>
      </w:r>
      <w:proofErr w:type="spellStart"/>
      <w:r>
        <w:t>Ultiva</w:t>
      </w:r>
      <w:proofErr w:type="spellEnd"/>
      <w:proofErr w:type="gramStart"/>
      <w:r w:rsidRPr="007E7D1B">
        <w:t>®</w:t>
      </w:r>
      <w:r>
        <w:t>)-</w:t>
      </w:r>
      <w:proofErr w:type="gramEnd"/>
      <w:r>
        <w:t xml:space="preserve">TCI, </w:t>
      </w:r>
      <w:proofErr w:type="spellStart"/>
      <w:r>
        <w:t>sevoflurane</w:t>
      </w:r>
      <w:proofErr w:type="spellEnd"/>
      <w:r>
        <w:t>.</w:t>
      </w:r>
    </w:p>
    <w:p w14:paraId="4D617FA6" w14:textId="77777777" w:rsidR="00694BD2" w:rsidRDefault="00694BD2" w:rsidP="000D0C83">
      <w:pPr>
        <w:spacing w:after="0"/>
        <w:ind w:right="284"/>
      </w:pPr>
      <w:r>
        <w:t xml:space="preserve">Med fördel ge </w:t>
      </w:r>
      <w:proofErr w:type="spellStart"/>
      <w:r>
        <w:t>Catapresan</w:t>
      </w:r>
      <w:proofErr w:type="spellEnd"/>
      <w:r>
        <w:t>® (</w:t>
      </w:r>
      <w:proofErr w:type="spellStart"/>
      <w:r>
        <w:t>Klonidin</w:t>
      </w:r>
      <w:proofErr w:type="spellEnd"/>
      <w:r>
        <w:t xml:space="preserve">), särskilt vid </w:t>
      </w:r>
      <w:proofErr w:type="spellStart"/>
      <w:r>
        <w:t>hysterektomi</w:t>
      </w:r>
      <w:proofErr w:type="spellEnd"/>
      <w:r>
        <w:t>.</w:t>
      </w:r>
    </w:p>
    <w:p w14:paraId="306AE324" w14:textId="77777777" w:rsidR="00694BD2" w:rsidRDefault="00694BD2" w:rsidP="000D0C83">
      <w:pPr>
        <w:spacing w:after="0"/>
        <w:ind w:right="284"/>
      </w:pPr>
      <w:r>
        <w:t xml:space="preserve">PONV-profylax med </w:t>
      </w:r>
      <w:proofErr w:type="spellStart"/>
      <w:r>
        <w:t>inj</w:t>
      </w:r>
      <w:proofErr w:type="spellEnd"/>
      <w:r>
        <w:t xml:space="preserve"> Betapred</w:t>
      </w:r>
      <w:bookmarkStart w:id="5" w:name="_Hlk27577726"/>
      <w:r w:rsidRPr="00655E89">
        <w:t>®</w:t>
      </w:r>
      <w:bookmarkEnd w:id="5"/>
      <w:r>
        <w:t xml:space="preserve"> och </w:t>
      </w:r>
      <w:proofErr w:type="spellStart"/>
      <w:r>
        <w:t>inj</w:t>
      </w:r>
      <w:proofErr w:type="spellEnd"/>
      <w:r>
        <w:t xml:space="preserve"> </w:t>
      </w:r>
      <w:proofErr w:type="spellStart"/>
      <w:r>
        <w:t>ondansetron</w:t>
      </w:r>
      <w:proofErr w:type="spellEnd"/>
      <w:r>
        <w:t>.</w:t>
      </w:r>
    </w:p>
    <w:p w14:paraId="43CAB780" w14:textId="77777777" w:rsidR="000D0C83" w:rsidRDefault="000D0C83" w:rsidP="00694BD2">
      <w:pPr>
        <w:ind w:right="282"/>
      </w:pPr>
    </w:p>
    <w:p w14:paraId="0F989BC5" w14:textId="77777777" w:rsidR="00694BD2" w:rsidRDefault="00694BD2" w:rsidP="00694BD2">
      <w:pPr>
        <w:pStyle w:val="Rubrik2"/>
        <w:ind w:right="282"/>
      </w:pPr>
      <w:r>
        <w:t>Övervakning/Utrustning</w:t>
      </w:r>
    </w:p>
    <w:p w14:paraId="6C9C972D" w14:textId="77777777" w:rsidR="00694BD2" w:rsidRDefault="00694BD2" w:rsidP="0087309B">
      <w:pPr>
        <w:numPr>
          <w:ilvl w:val="0"/>
          <w:numId w:val="22"/>
        </w:numPr>
        <w:spacing w:after="0" w:line="240" w:lineRule="auto"/>
        <w:ind w:left="1418" w:right="282"/>
      </w:pPr>
      <w:r>
        <w:t>Standard (</w:t>
      </w:r>
      <w:proofErr w:type="spellStart"/>
      <w:r>
        <w:t>noninvasivt</w:t>
      </w:r>
      <w:proofErr w:type="spellEnd"/>
      <w:r>
        <w:t xml:space="preserve"> BT, EKG, </w:t>
      </w:r>
      <w:proofErr w:type="spellStart"/>
      <w:r>
        <w:t>pulsoxymetri</w:t>
      </w:r>
      <w:proofErr w:type="spellEnd"/>
      <w:r>
        <w:t xml:space="preserve">, etCO2, gasmätning, </w:t>
      </w:r>
      <w:proofErr w:type="spellStart"/>
      <w:r>
        <w:t>örontemp</w:t>
      </w:r>
      <w:proofErr w:type="spellEnd"/>
      <w:r>
        <w:t>, NMT).</w:t>
      </w:r>
    </w:p>
    <w:p w14:paraId="4E60858B" w14:textId="77777777" w:rsidR="00694BD2" w:rsidRDefault="00694BD2" w:rsidP="0087309B">
      <w:pPr>
        <w:numPr>
          <w:ilvl w:val="0"/>
          <w:numId w:val="22"/>
        </w:numPr>
        <w:spacing w:after="0" w:line="240" w:lineRule="auto"/>
        <w:ind w:left="1418" w:right="282"/>
      </w:pPr>
      <w:r>
        <w:t>BIS ska användas för TIVA/TCI.</w:t>
      </w:r>
    </w:p>
    <w:p w14:paraId="67F00A6C" w14:textId="77777777" w:rsidR="00694BD2" w:rsidRDefault="00694BD2" w:rsidP="0087309B">
      <w:pPr>
        <w:numPr>
          <w:ilvl w:val="0"/>
          <w:numId w:val="22"/>
        </w:numPr>
        <w:spacing w:after="0" w:line="240" w:lineRule="auto"/>
        <w:ind w:left="1418" w:right="282"/>
      </w:pPr>
      <w:r>
        <w:t>OBS: V-sond till alla patienter innan operationsstart och under hela ingreppet!</w:t>
      </w:r>
    </w:p>
    <w:p w14:paraId="7ECCC4C5" w14:textId="77777777" w:rsidR="00694BD2" w:rsidRDefault="00694BD2" w:rsidP="0087309B">
      <w:pPr>
        <w:numPr>
          <w:ilvl w:val="0"/>
          <w:numId w:val="22"/>
        </w:numPr>
        <w:spacing w:after="0" w:line="240" w:lineRule="auto"/>
        <w:ind w:left="1418" w:right="282"/>
      </w:pPr>
      <w:r>
        <w:t xml:space="preserve">KAD sätts inför operationen och tas vanligtvis bort innan väckning. </w:t>
      </w:r>
    </w:p>
    <w:p w14:paraId="2A2C59E7" w14:textId="77777777" w:rsidR="000D0C83" w:rsidRDefault="000D0C83" w:rsidP="000D0C83">
      <w:pPr>
        <w:spacing w:after="0" w:line="240" w:lineRule="auto"/>
        <w:ind w:left="1418" w:right="282"/>
      </w:pPr>
    </w:p>
    <w:p w14:paraId="10A5BD38" w14:textId="77777777" w:rsidR="00694BD2" w:rsidRDefault="00694BD2" w:rsidP="00694BD2">
      <w:pPr>
        <w:pStyle w:val="Rubrik2"/>
        <w:ind w:right="282"/>
      </w:pPr>
      <w:r>
        <w:t>Blodgruppering/</w:t>
      </w:r>
      <w:proofErr w:type="spellStart"/>
      <w:r>
        <w:t>bastest</w:t>
      </w:r>
      <w:proofErr w:type="spellEnd"/>
    </w:p>
    <w:p w14:paraId="4158C65D" w14:textId="77777777" w:rsidR="00694BD2" w:rsidRDefault="00694BD2" w:rsidP="00694BD2">
      <w:pPr>
        <w:ind w:right="282"/>
      </w:pPr>
      <w:r>
        <w:t>Ja/Ja</w:t>
      </w:r>
    </w:p>
    <w:p w14:paraId="4A509A3D" w14:textId="77777777" w:rsidR="000D0C83" w:rsidRDefault="000D0C83" w:rsidP="00694BD2">
      <w:pPr>
        <w:ind w:right="282"/>
      </w:pPr>
    </w:p>
    <w:p w14:paraId="05BEC065" w14:textId="77777777" w:rsidR="00694BD2" w:rsidRDefault="00694BD2" w:rsidP="00694BD2">
      <w:pPr>
        <w:pStyle w:val="Rubrik2"/>
        <w:ind w:right="282"/>
      </w:pPr>
      <w:r>
        <w:t xml:space="preserve">Operationsbord/läge </w:t>
      </w:r>
      <w:r w:rsidRPr="1C6FD378">
        <w:rPr>
          <w:u w:val="single"/>
        </w:rPr>
        <w:t xml:space="preserve">vid </w:t>
      </w:r>
      <w:r>
        <w:t xml:space="preserve">TLH, </w:t>
      </w:r>
      <w:proofErr w:type="spellStart"/>
      <w:r>
        <w:t>Sakropexi</w:t>
      </w:r>
      <w:proofErr w:type="spellEnd"/>
      <w:r>
        <w:t xml:space="preserve"> och LAVH</w:t>
      </w:r>
    </w:p>
    <w:p w14:paraId="01E797AB" w14:textId="77777777" w:rsidR="00694BD2" w:rsidRDefault="00694BD2" w:rsidP="0087309B">
      <w:pPr>
        <w:numPr>
          <w:ilvl w:val="0"/>
          <w:numId w:val="21"/>
        </w:numPr>
        <w:spacing w:after="0" w:line="240" w:lineRule="auto"/>
        <w:ind w:left="1418" w:right="282"/>
      </w:pPr>
      <w:r w:rsidRPr="007E7D1B">
        <w:t>Bootsbord, med benen i boots.</w:t>
      </w:r>
    </w:p>
    <w:p w14:paraId="2CB23EB5" w14:textId="77777777" w:rsidR="00694BD2" w:rsidRDefault="00694BD2" w:rsidP="0087309B">
      <w:pPr>
        <w:numPr>
          <w:ilvl w:val="0"/>
          <w:numId w:val="21"/>
        </w:numPr>
        <w:spacing w:after="0" w:line="240" w:lineRule="auto"/>
        <w:ind w:left="1418" w:right="282"/>
      </w:pPr>
      <w:r>
        <w:t xml:space="preserve">Båda armar längs med kroppen. Tänk på att armarna och händerna ska ligga utan risk för klämskada. </w:t>
      </w:r>
    </w:p>
    <w:p w14:paraId="4D1C7973" w14:textId="77777777" w:rsidR="00694BD2" w:rsidRDefault="00694BD2" w:rsidP="0087309B">
      <w:pPr>
        <w:numPr>
          <w:ilvl w:val="0"/>
          <w:numId w:val="21"/>
        </w:numPr>
        <w:spacing w:after="0" w:line="240" w:lineRule="auto"/>
        <w:ind w:left="1418" w:right="282"/>
      </w:pPr>
      <w:r>
        <w:t xml:space="preserve">Axelstöd för att undvika glidning. Observera risk för tryckskada. Alternativt kan </w:t>
      </w:r>
      <w:proofErr w:type="spellStart"/>
      <w:r>
        <w:t>PinkPad</w:t>
      </w:r>
      <w:proofErr w:type="spellEnd"/>
      <w:r>
        <w:t xml:space="preserve"> användas </w:t>
      </w:r>
      <w:proofErr w:type="gramStart"/>
      <w:r>
        <w:t>istället</w:t>
      </w:r>
      <w:proofErr w:type="gramEnd"/>
      <w:r>
        <w:t xml:space="preserve"> för axelstöd. </w:t>
      </w:r>
    </w:p>
    <w:p w14:paraId="2DC2B04F" w14:textId="77777777" w:rsidR="0087309B" w:rsidRDefault="0087309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5A12FD8" w14:textId="77777777" w:rsidR="0087309B" w:rsidRDefault="0087309B" w:rsidP="00694BD2">
      <w:pPr>
        <w:pStyle w:val="Rubrik2"/>
        <w:ind w:right="282"/>
      </w:pPr>
    </w:p>
    <w:p w14:paraId="586C1D7F" w14:textId="20F29740" w:rsidR="00694BD2" w:rsidRDefault="00694BD2" w:rsidP="00694BD2">
      <w:pPr>
        <w:pStyle w:val="Rubrik2"/>
        <w:ind w:right="282"/>
      </w:pPr>
      <w:r>
        <w:t xml:space="preserve">Operationsbord/läge om </w:t>
      </w:r>
      <w:r w:rsidRPr="1C6FD378">
        <w:rPr>
          <w:u w:val="single"/>
        </w:rPr>
        <w:t xml:space="preserve">inte </w:t>
      </w:r>
      <w:r>
        <w:t xml:space="preserve">TLH, </w:t>
      </w:r>
      <w:proofErr w:type="spellStart"/>
      <w:r>
        <w:t>Sakropexi</w:t>
      </w:r>
      <w:proofErr w:type="spellEnd"/>
      <w:r>
        <w:t xml:space="preserve"> eller LAVH</w:t>
      </w:r>
    </w:p>
    <w:p w14:paraId="46B4807B" w14:textId="77777777" w:rsidR="00694BD2" w:rsidRPr="00540440" w:rsidRDefault="00694BD2" w:rsidP="0087309B">
      <w:pPr>
        <w:numPr>
          <w:ilvl w:val="0"/>
          <w:numId w:val="21"/>
        </w:numPr>
        <w:spacing w:after="0" w:line="240" w:lineRule="auto"/>
        <w:ind w:left="1418" w:right="282"/>
      </w:pPr>
      <w:proofErr w:type="spellStart"/>
      <w:r>
        <w:t>Unibord</w:t>
      </w:r>
      <w:proofErr w:type="spellEnd"/>
      <w:r>
        <w:t xml:space="preserve"> </w:t>
      </w:r>
    </w:p>
    <w:p w14:paraId="15B1C561" w14:textId="77777777" w:rsidR="00694BD2" w:rsidRPr="00540440" w:rsidRDefault="00694BD2" w:rsidP="0087309B">
      <w:pPr>
        <w:numPr>
          <w:ilvl w:val="0"/>
          <w:numId w:val="21"/>
        </w:numPr>
        <w:spacing w:after="0" w:line="240" w:lineRule="auto"/>
        <w:ind w:left="1418" w:right="282"/>
      </w:pPr>
      <w:r>
        <w:t xml:space="preserve">Båda armar längs med kroppen. Tänk på att armarna och händerna ska ligga utan risk för klämskada. </w:t>
      </w:r>
    </w:p>
    <w:p w14:paraId="5FEDD3C8" w14:textId="77777777" w:rsidR="00694BD2" w:rsidRPr="00540440" w:rsidRDefault="00694BD2" w:rsidP="0087309B">
      <w:pPr>
        <w:pStyle w:val="Liststycke"/>
        <w:numPr>
          <w:ilvl w:val="0"/>
          <w:numId w:val="21"/>
        </w:numPr>
        <w:spacing w:after="0" w:line="240" w:lineRule="auto"/>
        <w:ind w:left="1418" w:right="282"/>
      </w:pPr>
      <w:r w:rsidRPr="32CF1C16">
        <w:t>Axelstöd för att undvika glidning. Observera risk för tryckskada.</w:t>
      </w:r>
    </w:p>
    <w:p w14:paraId="41E28CAD" w14:textId="77777777" w:rsidR="00694BD2" w:rsidRPr="00540440" w:rsidRDefault="00694BD2" w:rsidP="0087309B">
      <w:pPr>
        <w:ind w:left="1418" w:right="282"/>
      </w:pPr>
    </w:p>
    <w:p w14:paraId="2B3BADB4" w14:textId="66DE4286" w:rsidR="00694BD2" w:rsidRPr="00694BD2" w:rsidRDefault="00694BD2" w:rsidP="000D0C83">
      <w:pPr>
        <w:pStyle w:val="Rubrik2"/>
        <w:ind w:right="282"/>
        <w:rPr>
          <w:rStyle w:val="Formatmall1Char"/>
          <w:szCs w:val="26"/>
        </w:rPr>
      </w:pPr>
      <w:r w:rsidRPr="00694BD2">
        <w:rPr>
          <w:rStyle w:val="Formatmall1Char"/>
          <w:szCs w:val="26"/>
        </w:rPr>
        <w:t>Praktiska råd</w:t>
      </w:r>
    </w:p>
    <w:p w14:paraId="2B83989A" w14:textId="77777777" w:rsidR="00694BD2" w:rsidRPr="00540440" w:rsidRDefault="00694BD2" w:rsidP="0087309B">
      <w:pPr>
        <w:numPr>
          <w:ilvl w:val="0"/>
          <w:numId w:val="21"/>
        </w:numPr>
        <w:spacing w:after="0" w:line="240" w:lineRule="auto"/>
        <w:ind w:left="1418" w:right="282"/>
      </w:pPr>
      <w:r w:rsidRPr="32CF1C16">
        <w:t xml:space="preserve">Tejpa ögonen. </w:t>
      </w:r>
    </w:p>
    <w:p w14:paraId="728206FC" w14:textId="77AAF3C1" w:rsidR="00694BD2" w:rsidRPr="00540440" w:rsidRDefault="00694BD2" w:rsidP="0087309B">
      <w:pPr>
        <w:numPr>
          <w:ilvl w:val="0"/>
          <w:numId w:val="21"/>
        </w:numPr>
        <w:spacing w:after="0" w:line="240" w:lineRule="auto"/>
        <w:ind w:left="1418" w:right="282"/>
      </w:pPr>
      <w:r w:rsidRPr="32CF1C16">
        <w:t xml:space="preserve">Förlängningsslangar till </w:t>
      </w:r>
      <w:proofErr w:type="spellStart"/>
      <w:r w:rsidRPr="32CF1C16">
        <w:t>PVK</w:t>
      </w:r>
      <w:r w:rsidR="000D0C83">
        <w:t>:</w:t>
      </w:r>
      <w:r w:rsidRPr="32CF1C16">
        <w:t>er</w:t>
      </w:r>
      <w:proofErr w:type="spellEnd"/>
      <w:r w:rsidRPr="32CF1C16">
        <w:t xml:space="preserve">. Gärna dubbla förlängningsslangar till </w:t>
      </w:r>
      <w:proofErr w:type="spellStart"/>
      <w:r w:rsidRPr="32CF1C16">
        <w:t>Ultiva</w:t>
      </w:r>
      <w:proofErr w:type="spellEnd"/>
      <w:r w:rsidRPr="32CF1C16">
        <w:t xml:space="preserve">. </w:t>
      </w:r>
    </w:p>
    <w:p w14:paraId="0152F6D9" w14:textId="77777777" w:rsidR="00694BD2" w:rsidRPr="00540440" w:rsidRDefault="00694BD2" w:rsidP="0087309B">
      <w:pPr>
        <w:numPr>
          <w:ilvl w:val="0"/>
          <w:numId w:val="21"/>
        </w:numPr>
        <w:spacing w:after="0" w:line="240" w:lineRule="auto"/>
        <w:ind w:left="1418" w:right="282"/>
      </w:pPr>
      <w:r w:rsidRPr="32CF1C16">
        <w:t>Narkosbåge placerad lågt och långt bak mot huvudet.</w:t>
      </w:r>
    </w:p>
    <w:p w14:paraId="66D49BB3" w14:textId="77777777" w:rsidR="00694BD2" w:rsidRPr="00540440" w:rsidRDefault="00694BD2" w:rsidP="0087309B">
      <w:pPr>
        <w:ind w:left="1418" w:right="282"/>
      </w:pPr>
    </w:p>
    <w:p w14:paraId="05661D11" w14:textId="77777777" w:rsidR="00694BD2" w:rsidRDefault="00694BD2" w:rsidP="00694BD2">
      <w:pPr>
        <w:pStyle w:val="Rubrik3"/>
        <w:ind w:right="282"/>
      </w:pPr>
    </w:p>
    <w:p w14:paraId="76B9F95B" w14:textId="24513497" w:rsidR="00536A5A" w:rsidRPr="00694BD2" w:rsidRDefault="00536A5A" w:rsidP="00694BD2">
      <w:pPr>
        <w:ind w:right="282"/>
      </w:pPr>
    </w:p>
    <w:sectPr w:rsidR="00536A5A" w:rsidRPr="00694BD2" w:rsidSect="00907103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A11DA2"/>
    <w:multiLevelType w:val="hybridMultilevel"/>
    <w:tmpl w:val="0BE47824"/>
    <w:lvl w:ilvl="0" w:tplc="66F67C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1B0EF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BE42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CC98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08D4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20200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A88A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80CE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EC1F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6E7E4C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0EB0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B0260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FC32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24C3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398A7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84EE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A4AC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EAE7B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D1F65FE"/>
    <w:multiLevelType w:val="hybridMultilevel"/>
    <w:tmpl w:val="2E224FF6"/>
    <w:lvl w:ilvl="0" w:tplc="793C8A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2D860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04BC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D0F4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04183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E24B7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3616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38B1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54D9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61118">
    <w:abstractNumId w:val="20"/>
  </w:num>
  <w:num w:numId="2" w16cid:durableId="1306353724">
    <w:abstractNumId w:val="16"/>
  </w:num>
  <w:num w:numId="3" w16cid:durableId="1582837401">
    <w:abstractNumId w:val="0"/>
  </w:num>
  <w:num w:numId="4" w16cid:durableId="783378863">
    <w:abstractNumId w:val="8"/>
  </w:num>
  <w:num w:numId="5" w16cid:durableId="1151868192">
    <w:abstractNumId w:val="17"/>
  </w:num>
  <w:num w:numId="6" w16cid:durableId="1276982029">
    <w:abstractNumId w:val="3"/>
  </w:num>
  <w:num w:numId="7" w16cid:durableId="345058406">
    <w:abstractNumId w:val="13"/>
  </w:num>
  <w:num w:numId="8" w16cid:durableId="174729335">
    <w:abstractNumId w:val="10"/>
  </w:num>
  <w:num w:numId="9" w16cid:durableId="920215896">
    <w:abstractNumId w:val="1"/>
  </w:num>
  <w:num w:numId="10" w16cid:durableId="84349653">
    <w:abstractNumId w:val="1"/>
  </w:num>
  <w:num w:numId="11" w16cid:durableId="1232160684">
    <w:abstractNumId w:val="4"/>
  </w:num>
  <w:num w:numId="12" w16cid:durableId="81952189">
    <w:abstractNumId w:val="5"/>
  </w:num>
  <w:num w:numId="13" w16cid:durableId="1160846561">
    <w:abstractNumId w:val="15"/>
  </w:num>
  <w:num w:numId="14" w16cid:durableId="932981435">
    <w:abstractNumId w:val="11"/>
  </w:num>
  <w:num w:numId="15" w16cid:durableId="1026566323">
    <w:abstractNumId w:val="9"/>
  </w:num>
  <w:num w:numId="16" w16cid:durableId="1368023253">
    <w:abstractNumId w:val="14"/>
  </w:num>
  <w:num w:numId="17" w16cid:durableId="1538085839">
    <w:abstractNumId w:val="6"/>
  </w:num>
  <w:num w:numId="18" w16cid:durableId="1893881745">
    <w:abstractNumId w:val="12"/>
  </w:num>
  <w:num w:numId="19" w16cid:durableId="1072629461">
    <w:abstractNumId w:val="18"/>
  </w:num>
  <w:num w:numId="20" w16cid:durableId="548692296">
    <w:abstractNumId w:val="7"/>
  </w:num>
  <w:num w:numId="21" w16cid:durableId="1550072279">
    <w:abstractNumId w:val="19"/>
  </w:num>
  <w:num w:numId="22" w16cid:durableId="5952842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C8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BD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09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103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E80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23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279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TLH (total laparoskopisk hysterektomi)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2022-05-23T03:27:00.0000000Z</dcterms:created>
  <dcterms:modified xsi:type="dcterms:W3CDTF">2024-03-21T14:03:00.0000000Z</dcterms:modified>
</coreProperties>
</file>